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20"/>
      </w:pPr>
      <w:r>
        <w:rPr>
          <w:b/>
          <w:color w:val="022B5E"/>
          <w:sz w:val="36"/>
        </w:rPr>
        <w:t>Razorpay &amp; Payment Gateway KYC Checklist</w:t>
      </w:r>
    </w:p>
    <w:p>
      <w:pPr>
        <w:spacing w:after="120" w:line="276" w:lineRule="auto"/>
      </w:pPr>
      <w:r>
        <w:rPr>
          <w:color w:val="1E293B"/>
          <w:sz w:val="21"/>
        </w:rPr>
      </w:r>
      <w:r>
        <w:rPr>
          <w:b/>
          <w:color w:val="1E293B"/>
          <w:sz w:val="21"/>
        </w:rPr>
        <w:t>Need2Done Live Payment Integration Requirements</w:t>
      </w:r>
      <w:r>
        <w:rPr>
          <w:color w:val="1E293B"/>
          <w:sz w:val="21"/>
        </w:rPr>
      </w:r>
    </w:p>
    <w:p>
      <w:pPr>
        <w:spacing w:before="120" w:after="120"/>
      </w:pPr>
      <w:r>
        <w:rPr>
          <w:color w:val="E2E8F0"/>
        </w:rPr>
        <w:t>———————————————————————————————————————————————————————</w:t>
      </w:r>
    </w:p>
    <w:p>
      <w:pPr>
        <w:spacing w:before="240" w:after="80"/>
      </w:pPr>
      <w:r>
        <w:rPr>
          <w:b/>
          <w:color w:val="022B5E"/>
          <w:sz w:val="28"/>
        </w:rPr>
        <w:t>1. Razorpay Live Account Onboarding Requirements</w:t>
      </w:r>
    </w:p>
    <w:p>
      <w:pPr>
        <w:spacing w:after="120" w:line="276" w:lineRule="auto"/>
      </w:pPr>
      <w:r>
        <w:rPr>
          <w:color w:val="1E293B"/>
          <w:sz w:val="21"/>
        </w:rPr>
        <w:t>To enable live credit/debit card, UPI, and Netbanking payments on Need2Done:</w:t>
      </w:r>
    </w:p>
    <w:p>
      <w:pPr>
        <w:spacing w:before="200" w:after="60"/>
      </w:pPr>
      <w:r>
        <w:rPr>
          <w:b/>
          <w:color w:val="FF7D00"/>
          <w:sz w:val="24"/>
        </w:rPr>
        <w:t>A. Business Documentation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  <w:t>Certificate of Incorporation / Partnership Deed / MSME Certificate.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  <w:t>Company PAN Card.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  <w:t>Authorized Signatory PAN &amp; Aadhaar (e-KYC verified).</w:t>
      </w:r>
    </w:p>
    <w:p>
      <w:pPr>
        <w:spacing w:after="60"/>
        <w:ind w:left="360"/>
      </w:pPr>
      <w:r>
        <w:rPr>
          <w:b/>
          <w:color w:val="64748B"/>
        </w:rPr>
        <w:t xml:space="preserve">[  ] </w:t>
      </w:r>
      <w:r>
        <w:rPr>
          <w:color w:val="1E293B"/>
          <w:sz w:val="21"/>
        </w:rPr>
        <w:t>Bank Account Cancelled Cheque / Statement (matching legal entity name).</w:t>
      </w:r>
    </w:p>
    <w:p>
      <w:pPr>
        <w:spacing w:before="200" w:after="60"/>
      </w:pPr>
      <w:r>
        <w:rPr>
          <w:b/>
          <w:color w:val="FF7D00"/>
          <w:sz w:val="24"/>
        </w:rPr>
        <w:t>B. Mandatory Website / Application Compliance Links</w:t>
      </w:r>
    </w:p>
    <w:p>
      <w:pPr>
        <w:spacing w:after="120" w:line="276" w:lineRule="auto"/>
      </w:pPr>
      <w:r>
        <w:rPr>
          <w:color w:val="1E293B"/>
          <w:sz w:val="21"/>
        </w:rPr>
        <w:t>Razorpay compliance auditors require direct, public URLs on your website/app footer before activating live payments:</w:t>
      </w:r>
    </w:p>
    <w:p>
      <w:pPr>
        <w:spacing w:after="60"/>
        <w:ind w:left="360"/>
      </w:pPr>
      <w:r>
        <w:rPr>
          <w:b/>
          <w:color w:val="10B981"/>
        </w:rPr>
        <w:t xml:space="preserve">[✓]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Terms &amp; Conditions:</w:t>
      </w:r>
      <w:r>
        <w:rPr>
          <w:color w:val="1E293B"/>
          <w:sz w:val="21"/>
        </w:rPr>
        <w:t xml:space="preserve"> 01_Customer_Terms_and_Conditions.md</w:t>
      </w:r>
    </w:p>
    <w:p>
      <w:pPr>
        <w:spacing w:after="60"/>
        <w:ind w:left="360"/>
      </w:pPr>
      <w:r>
        <w:rPr>
          <w:b/>
          <w:color w:val="10B981"/>
        </w:rPr>
        <w:t xml:space="preserve">[✓]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Privacy Policy:</w:t>
      </w:r>
      <w:r>
        <w:rPr>
          <w:color w:val="1E293B"/>
          <w:sz w:val="21"/>
        </w:rPr>
        <w:t xml:space="preserve"> 02_Privacy_Policy.md</w:t>
      </w:r>
    </w:p>
    <w:p>
      <w:pPr>
        <w:spacing w:after="60"/>
        <w:ind w:left="360"/>
      </w:pPr>
      <w:r>
        <w:rPr>
          <w:b/>
          <w:color w:val="10B981"/>
        </w:rPr>
        <w:t xml:space="preserve">[✓]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Cancellation Policy:</w:t>
      </w:r>
      <w:r>
        <w:rPr>
          <w:color w:val="1E293B"/>
          <w:sz w:val="21"/>
        </w:rPr>
        <w:t xml:space="preserve"> 03_Cancellation_Policy.md</w:t>
      </w:r>
    </w:p>
    <w:p>
      <w:pPr>
        <w:spacing w:after="60"/>
        <w:ind w:left="360"/>
      </w:pPr>
      <w:r>
        <w:rPr>
          <w:b/>
          <w:color w:val="10B981"/>
        </w:rPr>
        <w:t xml:space="preserve">[✓]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Refund Policy:</w:t>
      </w:r>
      <w:r>
        <w:rPr>
          <w:color w:val="1E293B"/>
          <w:sz w:val="21"/>
        </w:rPr>
        <w:t xml:space="preserve"> 04_Refund_Policy.md</w:t>
      </w:r>
    </w:p>
    <w:p>
      <w:pPr>
        <w:spacing w:after="60"/>
        <w:ind w:left="360"/>
      </w:pPr>
      <w:r>
        <w:rPr>
          <w:b/>
          <w:color w:val="10B981"/>
        </w:rPr>
        <w:t xml:space="preserve">[✓]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Contact Us &amp; Support Procedure:</w:t>
      </w:r>
      <w:r>
        <w:rPr>
          <w:color w:val="1E293B"/>
          <w:sz w:val="21"/>
        </w:rPr>
        <w:t xml:space="preserve"> 09_Complaint_and_Support_Procedure.md</w:t>
      </w:r>
    </w:p>
    <w:p>
      <w:pPr>
        <w:spacing w:after="60"/>
        <w:ind w:left="360"/>
      </w:pPr>
      <w:r>
        <w:rPr>
          <w:b/>
          <w:color w:val="10B981"/>
        </w:rPr>
        <w:t xml:space="preserve">[✓] </w:t>
      </w:r>
      <w:r>
        <w:rPr>
          <w:color w:val="1E293B"/>
          <w:sz w:val="21"/>
        </w:rPr>
      </w:r>
      <w:r>
        <w:rPr>
          <w:b/>
          <w:color w:val="1E293B"/>
          <w:sz w:val="21"/>
        </w:rPr>
        <w:t>Operating Address &amp; Grievance Contact</w:t>
      </w:r>
      <w:r>
        <w:rPr>
          <w:color w:val="1E293B"/>
          <w:sz w:val="21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4A3B8"/>
        <w:sz w:val="17"/>
      </w:rPr>
      <w:t>Confidential &amp; Proprietary • Need2Done (N2D) India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94A3B8"/>
        <w:sz w:val="17"/>
      </w:rPr>
      <w:t>Need2Done | Commercial Launch &amp; Compliance Document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