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400"/>
              <w:bottom w:type="dxa" w:w="400"/>
              <w:right w:type="dxa" w:w="400"/>
            </w:tcMar>
          </w:tcPr>
          <w:p>
            <w:pPr>
              <w:jc w:val="center"/>
            </w:pPr>
            <w:r>
              <w:rPr>
                <w:rFonts w:ascii="Arial" w:cs="Arial" w:eastAsia="Arial" w:hAnsi="Arial"/>
                <w:b/>
                <w:bCs/>
                <w:caps/>
                <w:color w:val="C8A951"/>
                <w:sz w:val="20"/>
                <w:szCs w:val="20"/>
              </w:rPr>
              <w:t xml:space="preserve">CONFIDENTIAL COMMERCIAL PROPOSAL</w:t>
            </w:r>
          </w:p>
          <w:p>
            <w:pPr>
              <w:spacing w:before="200" w:after="100"/>
              <w:jc w:val="center"/>
            </w:pPr>
            <w:r>
              <w:rPr>
                <w:rFonts w:ascii="Arial" w:cs="Arial" w:eastAsia="Arial" w:hAnsi="Arial"/>
                <w:color w:val="FFFFFF"/>
                <w:sz w:val="28"/>
                <w:szCs w:val="28"/>
              </w:rPr>
              <w:t xml:space="preserve">Comprehensive</w:t>
            </w:r>
          </w:p>
          <w:p>
            <w:pPr>
              <w:spacing w:before="0" w:after="0"/>
              <w:jc w:val="center"/>
            </w:pPr>
            <w:r>
              <w:rPr>
                <w:rFonts w:ascii="Arial" w:cs="Arial" w:eastAsia="Arial" w:hAnsi="Arial"/>
                <w:b/>
                <w:bCs/>
                <w:color w:val="C8A951"/>
                <w:sz w:val="52"/>
                <w:szCs w:val="52"/>
              </w:rPr>
              <w:t xml:space="preserve">HRMS · PAYROLL · ESS</w:t>
            </w:r>
          </w:p>
          <w:p>
            <w:pPr>
              <w:spacing w:before="100" w:after="200"/>
              <w:jc w:val="center"/>
            </w:pPr>
            <w:r>
              <w:rPr>
                <w:rFonts w:ascii="Arial" w:cs="Arial" w:eastAsia="Arial" w:hAnsi="Arial"/>
                <w:b/>
                <w:bCs/>
                <w:color w:val="FFFFFF"/>
                <w:sz w:val="36"/>
                <w:szCs w:val="36"/>
              </w:rPr>
              <w:t xml:space="preserve">System Implementation</w:t>
            </w:r>
          </w:p>
          <w:p>
            <w:pPr>
              <w:spacing w:before="80" w:after="80"/>
              <w:jc w:val="center"/>
            </w:pPr>
            <w:r>
              <w:rPr>
                <w:rFonts w:ascii="Arial" w:cs="Arial" w:eastAsia="Arial" w:hAnsi="Arial"/>
                <w:color w:val="B0C4DE"/>
                <w:sz w:val="22"/>
                <w:szCs w:val="22"/>
              </w:rPr>
              <w:t xml:space="preserve">Sultanate of Oman — Fully Compliant with Ministry of Manpower,</w:t>
            </w:r>
          </w:p>
          <w:p>
            <w:pPr>
              <w:spacing w:before="0" w:after="80"/>
              <w:jc w:val="center"/>
            </w:pPr>
            <w:r>
              <w:rPr>
                <w:rFonts w:ascii="Arial" w:cs="Arial" w:eastAsia="Arial" w:hAnsi="Arial"/>
                <w:color w:val="B0C4DE"/>
                <w:sz w:val="22"/>
                <w:szCs w:val="22"/>
              </w:rPr>
              <w:t xml:space="preserve">WPS / CBOS Regulations, Labour Law &amp; PASI Requirements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51" w:sz="4"/>
              <w:left w:val="single" w:color="C8A951" w:sz="4"/>
              <w:bottom w:val="single" w:color="C8A951" w:sz="4"/>
              <w:right w:val="single" w:color="C8A951" w:sz="4"/>
            </w:tcBorders>
            <w:shd w:fill="E8EEF7" w:val="clear"/>
            <w:tcMar>
              <w:top w:type="dxa" w:w="300"/>
              <w:left w:type="dxa" w:w="400"/>
              <w:bottom w:type="dxa" w:w="300"/>
              <w:right w:type="dxa" w:w="400"/>
            </w:tcMar>
          </w:tcPr>
          <w:p>
            <w:pPr>
              <w:jc w:val="center"/>
            </w:pPr>
            <w:r>
              <w:rPr>
                <w:rFonts w:ascii="Arial" w:cs="Arial" w:eastAsia="Arial" w:hAnsi="Arial"/>
                <w:b/>
                <w:bCs/>
                <w:color w:val="1B3A6B"/>
                <w:sz w:val="20"/>
                <w:szCs w:val="20"/>
              </w:rPr>
              <w:t xml:space="preserve">Prepared for:</w:t>
            </w:r>
          </w:p>
          <w:p>
            <w:pPr>
              <w:spacing w:before="60"/>
              <w:jc w:val="center"/>
            </w:pPr>
            <w:r>
              <w:rPr>
                <w:rFonts w:ascii="Arial" w:cs="Arial" w:eastAsia="Arial" w:hAnsi="Arial"/>
                <w:b/>
                <w:bCs/>
                <w:color w:val="2E7D32"/>
                <w:sz w:val="24"/>
                <w:szCs w:val="24"/>
              </w:rPr>
              <w:t xml:space="preserve">AL SAWARI INTERNATIONAL INVESTMENT COMPANY SAOC</w:t>
            </w:r>
          </w:p>
          <w:p>
            <w:pPr>
              <w:spacing w:before="40"/>
              <w:jc w:val="center"/>
            </w:pPr>
            <w:r>
              <w:rPr>
                <w:rFonts w:ascii="Arial" w:cs="Arial" w:eastAsia="Arial" w:hAnsi="Arial"/>
                <w:b/>
                <w:bCs/>
                <w:color w:val="1B3A6B"/>
                <w:sz w:val="20"/>
                <w:szCs w:val="20"/>
              </w:rPr>
              <w:t xml:space="preserve">Attn: Procurement Manager</w:t>
            </w:r>
          </w:p>
          <w:p>
            <w:pPr>
              <w:spacing w:before="40"/>
              <w:jc w:val="center"/>
            </w:pPr>
            <w:r>
              <w:rPr>
                <w:rFonts w:ascii="Arial" w:cs="Arial" w:eastAsia="Arial" w:hAnsi="Arial"/>
                <w:color w:val="212121"/>
                <w:sz w:val="20"/>
                <w:szCs w:val="20"/>
              </w:rPr>
              <w:t xml:space="preserve">Muscat, Sultanate of Oman</w:t>
            </w:r>
          </w:p>
          <w:p>
            <w:pPr>
              <w:spacing w:before="120"/>
              <w:jc w:val="center"/>
            </w:pPr>
            <w:r>
              <w:rPr>
                <w:rFonts w:ascii="Arial" w:cs="Arial" w:eastAsia="Arial" w:hAnsi="Arial"/>
                <w:b/>
                <w:bCs/>
                <w:color w:val="1B3A6B"/>
                <w:sz w:val="20"/>
                <w:szCs w:val="20"/>
              </w:rPr>
              <w:t xml:space="preserve">Prepared &amp; Submitted by:</w:t>
            </w:r>
          </w:p>
          <w:p>
            <w:pPr>
              <w:spacing w:before="60"/>
              <w:jc w:val="center"/>
            </w:pPr>
            <w:r>
              <w:rPr>
                <w:rFonts w:ascii="Arial" w:cs="Arial" w:eastAsia="Arial" w:hAnsi="Arial"/>
                <w:b/>
                <w:bCs/>
                <w:color w:val="2E7D32"/>
                <w:sz w:val="22"/>
                <w:szCs w:val="22"/>
              </w:rPr>
              <w:t xml:space="preserve">Nexura Business Solutions LLC — ERP &amp; HR Technology Solutions</w:t>
            </w:r>
          </w:p>
          <w:p>
            <w:pPr>
              <w:spacing w:before="40"/>
              <w:jc w:val="center"/>
            </w:pPr>
            <w:r>
              <w:rPr>
                <w:rFonts w:ascii="Arial" w:cs="Arial" w:eastAsia="Arial" w:hAnsi="Arial"/>
                <w:color w:val="212121"/>
                <w:sz w:val="20"/>
                <w:szCs w:val="20"/>
              </w:rPr>
              <w:t xml:space="preserve">Muscat, Sultanate of Oman</w:t>
            </w:r>
          </w:p>
          <w:p>
            <w:pPr>
              <w:spacing w:before="80"/>
              <w:jc w:val="center"/>
            </w:pPr>
            <w:r>
              <w:rPr>
                <w:rFonts w:ascii="Arial" w:cs="Arial" w:eastAsia="Arial" w:hAnsi="Arial"/>
                <w:color w:val="212121"/>
                <w:sz w:val="20"/>
                <w:szCs w:val="20"/>
              </w:rPr>
              <w:t xml:space="preserve">Date: March 2026   |   </w:t>
            </w:r>
            <w:r>
              <w:rPr>
                <w:rFonts w:ascii="Arial" w:cs="Arial" w:eastAsia="Arial" w:hAnsi="Arial"/>
                <w:color w:val="212121"/>
                <w:sz w:val="20"/>
                <w:szCs w:val="20"/>
              </w:rPr>
              <w:t xml:space="preserve">Validity: 90 Days   |   </w:t>
            </w:r>
            <w:r>
              <w:rPr>
                <w:rFonts w:ascii="Arial" w:cs="Arial" w:eastAsia="Arial" w:hAnsi="Arial"/>
                <w:color w:val="212121"/>
                <w:sz w:val="20"/>
                <w:szCs w:val="20"/>
              </w:rPr>
              <w:t xml:space="preserve">Version: 1.0</w:t>
            </w:r>
          </w:p>
        </w:tc>
      </w:tr>
    </w:tbl>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1. Executive Summary</w:t>
      </w:r>
    </w:p>
    <w:p>
      <w:pPr>
        <w:spacing w:before="60" w:after="60"/>
        <w:jc w:val="left"/>
      </w:pPr>
      <w:r>
        <w:rPr>
          <w:rFonts w:ascii="Arial" w:cs="Arial" w:eastAsia="Arial" w:hAnsi="Arial"/>
          <w:b w:val="false"/>
          <w:bCs w:val="false"/>
          <w:i w:val="false"/>
          <w:iCs w:val="false"/>
          <w:color w:val="212121"/>
          <w:sz w:val="21"/>
          <w:szCs w:val="21"/>
        </w:rPr>
        <w:t xml:space="preserve">This proposal presents a comprehensive technical and commercial solution for implementing an integrated Human Resource Management System (HRMS), Payroll Management System, and Employee Self-Service (ESS) portal tailored specifically for operations in the Sultanate of Oman.</w:t>
      </w:r>
    </w:p>
    <w:p>
      <w:pPr>
        <w:spacing w:before="60" w:after="60"/>
        <w:jc w:val="left"/>
      </w:pPr>
      <w:r>
        <w:rPr>
          <w:rFonts w:ascii="Arial" w:cs="Arial" w:eastAsia="Arial" w:hAnsi="Arial"/>
          <w:b w:val="false"/>
          <w:bCs w:val="false"/>
          <w:i w:val="false"/>
          <w:iCs w:val="false"/>
          <w:color w:val="212121"/>
          <w:sz w:val="21"/>
          <w:szCs w:val="21"/>
        </w:rPr>
        <w:t xml:space="preserve">The proposed solution is engineered to be fully compliant with all applicable Omani laws and regulations including the Oman Labour Law (Royal Decree 35/2003 and amendments), Ministry of Manpower directives, Wage Protection System (WPS) as mandated by the Central Bank of Oman (CBO), Public Authority for Social Insurance (PASI/SOCPA) contribution frameworks, and the Omanisation (Nitaqat) policy requirements.</w:t>
      </w:r>
    </w:p>
    <w:p>
      <w:pPr>
        <w:pStyle w:val="Heading2"/>
        <w:spacing w:before="280" w:after="120"/>
      </w:pPr>
      <w:r>
        <w:rPr>
          <w:rFonts w:ascii="Arial" w:cs="Arial" w:eastAsia="Arial" w:hAnsi="Arial"/>
          <w:b/>
          <w:bCs/>
          <w:color w:val="1B3A6B"/>
          <w:sz w:val="26"/>
          <w:szCs w:val="26"/>
        </w:rPr>
        <w:t xml:space="preserve">1.1 Business Drivers</w:t>
      </w:r>
    </w:p>
    <w:p>
      <w:pPr>
        <w:spacing w:before="60" w:after="60"/>
        <w:jc w:val="left"/>
      </w:pPr>
      <w:r>
        <w:rPr>
          <w:rFonts w:ascii="Arial" w:cs="Arial" w:eastAsia="Arial" w:hAnsi="Arial"/>
          <w:b w:val="false"/>
          <w:bCs w:val="false"/>
          <w:i w:val="false"/>
          <w:iCs w:val="false"/>
          <w:color w:val="212121"/>
          <w:sz w:val="21"/>
          <w:szCs w:val="21"/>
        </w:rPr>
        <w:t xml:space="preserve">Organisations operating in Oman face an increasingly complex regulatory environment that demands precision, auditability, and real-time compliance. Key drivers for adopting an integrated HRMS-Payroll-ESS solution include:</w:t>
      </w:r>
    </w:p>
    <w:p>
      <w:pPr>
        <w:pStyle w:val="ListParagraph"/>
        <w:numPr>
          <w:ilvl w:val="0"/>
          <w:numId w:val="2"/>
        </w:numPr>
        <w:spacing w:before="40" w:after="40"/>
      </w:pPr>
      <w:r>
        <w:rPr>
          <w:rFonts w:ascii="Arial" w:cs="Arial" w:eastAsia="Arial" w:hAnsi="Arial"/>
          <w:color w:val="212121"/>
          <w:sz w:val="21"/>
          <w:szCs w:val="21"/>
        </w:rPr>
        <w:t xml:space="preserve">Mandatory WPS electronic salary transfer compliance with CBO-accredited banks</w:t>
      </w:r>
    </w:p>
    <w:p>
      <w:pPr>
        <w:pStyle w:val="ListParagraph"/>
        <w:numPr>
          <w:ilvl w:val="0"/>
          <w:numId w:val="2"/>
        </w:numPr>
        <w:spacing w:before="40" w:after="40"/>
      </w:pPr>
      <w:r>
        <w:rPr>
          <w:rFonts w:ascii="Arial" w:cs="Arial" w:eastAsia="Arial" w:hAnsi="Arial"/>
          <w:color w:val="212121"/>
          <w:sz w:val="21"/>
          <w:szCs w:val="21"/>
        </w:rPr>
        <w:t xml:space="preserve">PASI/SOCPA contribution calculations for both Omani nationals and expatriates</w:t>
      </w:r>
    </w:p>
    <w:p>
      <w:pPr>
        <w:pStyle w:val="ListParagraph"/>
        <w:numPr>
          <w:ilvl w:val="0"/>
          <w:numId w:val="2"/>
        </w:numPr>
        <w:spacing w:before="40" w:after="40"/>
      </w:pPr>
      <w:r>
        <w:rPr>
          <w:rFonts w:ascii="Arial" w:cs="Arial" w:eastAsia="Arial" w:hAnsi="Arial"/>
          <w:color w:val="212121"/>
          <w:sz w:val="21"/>
          <w:szCs w:val="21"/>
        </w:rPr>
        <w:t xml:space="preserve">Leave management aligned with Labour Law entitlements and public holiday calendar</w:t>
      </w:r>
    </w:p>
    <w:p>
      <w:pPr>
        <w:pStyle w:val="ListParagraph"/>
        <w:numPr>
          <w:ilvl w:val="0"/>
          <w:numId w:val="2"/>
        </w:numPr>
        <w:spacing w:before="40" w:after="40"/>
      </w:pPr>
      <w:r>
        <w:rPr>
          <w:rFonts w:ascii="Arial" w:cs="Arial" w:eastAsia="Arial" w:hAnsi="Arial"/>
          <w:color w:val="212121"/>
          <w:sz w:val="21"/>
          <w:szCs w:val="21"/>
        </w:rPr>
        <w:t xml:space="preserve">End Fund (Gratuity) and End of Service Benefit (EOSB) computations per Omani statute</w:t>
      </w:r>
    </w:p>
    <w:p>
      <w:pPr>
        <w:pStyle w:val="ListParagraph"/>
        <w:numPr>
          <w:ilvl w:val="0"/>
          <w:numId w:val="2"/>
        </w:numPr>
        <w:spacing w:before="40" w:after="40"/>
      </w:pPr>
      <w:r>
        <w:rPr>
          <w:rFonts w:ascii="Arial" w:cs="Arial" w:eastAsia="Arial" w:hAnsi="Arial"/>
          <w:color w:val="212121"/>
          <w:sz w:val="21"/>
          <w:szCs w:val="21"/>
        </w:rPr>
        <w:t xml:space="preserve">Omanisation quota monitoring, reporting and workforce nationalisation targets</w:t>
      </w:r>
    </w:p>
    <w:p>
      <w:pPr>
        <w:pStyle w:val="ListParagraph"/>
        <w:numPr>
          <w:ilvl w:val="0"/>
          <w:numId w:val="2"/>
        </w:numPr>
        <w:spacing w:before="40" w:after="40"/>
      </w:pPr>
      <w:r>
        <w:rPr>
          <w:rFonts w:ascii="Arial" w:cs="Arial" w:eastAsia="Arial" w:hAnsi="Arial"/>
          <w:color w:val="212121"/>
          <w:sz w:val="21"/>
          <w:szCs w:val="21"/>
        </w:rPr>
        <w:t xml:space="preserve">Elimination of manual, error-prone payroll processes and paper-based HR workflows</w:t>
      </w:r>
    </w:p>
    <w:p>
      <w:pPr>
        <w:pStyle w:val="ListParagraph"/>
        <w:numPr>
          <w:ilvl w:val="0"/>
          <w:numId w:val="2"/>
        </w:numPr>
        <w:spacing w:before="40" w:after="40"/>
      </w:pPr>
      <w:r>
        <w:rPr>
          <w:rFonts w:ascii="Arial" w:cs="Arial" w:eastAsia="Arial" w:hAnsi="Arial"/>
          <w:color w:val="212121"/>
          <w:sz w:val="21"/>
          <w:szCs w:val="21"/>
        </w:rPr>
        <w:t xml:space="preserve">Self-service capability to reduce HR administrative burden by up to 60%</w:t>
      </w:r>
    </w:p>
    <w:p>
      <w:pPr>
        <w:pStyle w:val="Heading2"/>
        <w:spacing w:before="280" w:after="120"/>
      </w:pPr>
      <w:r>
        <w:rPr>
          <w:rFonts w:ascii="Arial" w:cs="Arial" w:eastAsia="Arial" w:hAnsi="Arial"/>
          <w:b/>
          <w:bCs/>
          <w:color w:val="1B3A6B"/>
          <w:sz w:val="26"/>
          <w:szCs w:val="26"/>
        </w:rPr>
        <w:t xml:space="preserve">1.2 Proposal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71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Solution Type</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Cloud-hosted SaaS / On-Premise (client choice) with mobile-responsive ESS</w:t>
            </w:r>
          </w:p>
        </w:tc>
      </w:tr>
      <w:tr>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Core Modules</w:t>
            </w:r>
          </w:p>
        </w:tc>
        <w:tc>
          <w:tcPr>
            <w:tcW w:type="dxa" w:w="71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HRMS, Payroll, ESS, Leave, Attendance, Recruitment, Appraisal, Training, Reports</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Oman Compliance</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WPS, PASI/SOCPA, Labour Law, MOM reporting, Omanisation Dashboard</w:t>
            </w:r>
          </w:p>
        </w:tc>
      </w:tr>
      <w:tr>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Integration</w:t>
            </w:r>
          </w:p>
        </w:tc>
        <w:tc>
          <w:tcPr>
            <w:tcW w:type="dxa" w:w="71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Bank WPS files, PASI portal, Ministry of Manpower LMIS, Biometrics, ERP</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Languages</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English &amp; Arabic (full bilingual interface)</w:t>
            </w:r>
          </w:p>
        </w:tc>
      </w:tr>
      <w:tr>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Mobile App</w:t>
            </w:r>
          </w:p>
        </w:tc>
        <w:tc>
          <w:tcPr>
            <w:tcW w:type="dxa" w:w="71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iOS &amp; Android Employee Self-Service app</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Implementation</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12–16 weeks phased rollout with data migration &amp; training</w:t>
            </w:r>
          </w:p>
        </w:tc>
      </w:tr>
      <w:tr>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Support</w:t>
            </w:r>
          </w:p>
        </w:tc>
        <w:tc>
          <w:tcPr>
            <w:tcW w:type="dxa" w:w="71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24/7 helpdesk, dedicated account manager, quarterly compliance updates</w:t>
            </w:r>
          </w:p>
        </w:tc>
      </w:tr>
    </w:tbl>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2. Oman Regulatory &amp; Legal Framework</w:t>
      </w:r>
    </w:p>
    <w:p>
      <w:pPr>
        <w:spacing w:before="60" w:after="60"/>
        <w:jc w:val="left"/>
      </w:pPr>
      <w:r>
        <w:rPr>
          <w:rFonts w:ascii="Arial" w:cs="Arial" w:eastAsia="Arial" w:hAnsi="Arial"/>
          <w:b w:val="false"/>
          <w:bCs w:val="false"/>
          <w:i w:val="false"/>
          <w:iCs w:val="false"/>
          <w:color w:val="212121"/>
          <w:sz w:val="21"/>
          <w:szCs w:val="21"/>
        </w:rPr>
        <w:t xml:space="preserve">All modules are developed and maintained to comply with the following regulatory instruments. The system includes an automatic compliance update mechanism to track legislative changes.</w:t>
      </w:r>
    </w:p>
    <w:p>
      <w:pPr>
        <w:pStyle w:val="Heading2"/>
        <w:spacing w:before="280" w:after="120"/>
      </w:pPr>
      <w:r>
        <w:rPr>
          <w:rFonts w:ascii="Arial" w:cs="Arial" w:eastAsia="Arial" w:hAnsi="Arial"/>
          <w:b/>
          <w:bCs/>
          <w:color w:val="1B3A6B"/>
          <w:sz w:val="26"/>
          <w:szCs w:val="26"/>
        </w:rPr>
        <w:t xml:space="preserve">2.1 Labour Law — Royal Decree 35/2003 &amp; Amendments</w:t>
      </w:r>
    </w:p>
    <w:p>
      <w:pPr>
        <w:spacing w:before="60" w:after="60"/>
        <w:jc w:val="left"/>
      </w:pPr>
      <w:r>
        <w:rPr>
          <w:rFonts w:ascii="Arial" w:cs="Arial" w:eastAsia="Arial" w:hAnsi="Arial"/>
          <w:b w:val="false"/>
          <w:bCs w:val="false"/>
          <w:i w:val="false"/>
          <w:iCs w:val="false"/>
          <w:color w:val="212121"/>
          <w:sz w:val="21"/>
          <w:szCs w:val="21"/>
        </w:rPr>
        <w:t xml:space="preserve">The Oman Labour Law governs all aspects of the employment relationship. Key provisions coded into the system include:</w:t>
      </w:r>
    </w:p>
    <w:p>
      <w:pPr>
        <w:pStyle w:val="ListParagraph"/>
        <w:numPr>
          <w:ilvl w:val="0"/>
          <w:numId w:val="2"/>
        </w:numPr>
        <w:spacing w:before="40" w:after="40"/>
      </w:pPr>
      <w:r>
        <w:rPr>
          <w:rFonts w:ascii="Arial" w:cs="Arial" w:eastAsia="Arial" w:hAnsi="Arial"/>
          <w:color w:val="212121"/>
          <w:sz w:val="21"/>
          <w:szCs w:val="21"/>
        </w:rPr>
        <w:t xml:space="preserve">Working hours: 9 hours/day or 45 hours/week (reduced to 6 hours/day during Ramadan for Muslim employees)</w:t>
      </w:r>
    </w:p>
    <w:p>
      <w:pPr>
        <w:pStyle w:val="ListParagraph"/>
        <w:numPr>
          <w:ilvl w:val="0"/>
          <w:numId w:val="2"/>
        </w:numPr>
        <w:spacing w:before="40" w:after="40"/>
      </w:pPr>
      <w:r>
        <w:rPr>
          <w:rFonts w:ascii="Arial" w:cs="Arial" w:eastAsia="Arial" w:hAnsi="Arial"/>
          <w:color w:val="212121"/>
          <w:sz w:val="21"/>
          <w:szCs w:val="21"/>
        </w:rPr>
        <w:t xml:space="preserve">Annual Leave: Minimum 30 calendar days per year after completion of one year of service</w:t>
      </w:r>
    </w:p>
    <w:p>
      <w:pPr>
        <w:pStyle w:val="ListParagraph"/>
        <w:numPr>
          <w:ilvl w:val="0"/>
          <w:numId w:val="2"/>
        </w:numPr>
        <w:spacing w:before="40" w:after="40"/>
      </w:pPr>
      <w:r>
        <w:rPr>
          <w:rFonts w:ascii="Arial" w:cs="Arial" w:eastAsia="Arial" w:hAnsi="Arial"/>
          <w:color w:val="212121"/>
          <w:sz w:val="21"/>
          <w:szCs w:val="21"/>
        </w:rPr>
        <w:t xml:space="preserve">Sick Leave: 10 days full pay, 20 days half pay, then 30 days without pay per year</w:t>
      </w:r>
    </w:p>
    <w:p>
      <w:pPr>
        <w:pStyle w:val="ListParagraph"/>
        <w:numPr>
          <w:ilvl w:val="0"/>
          <w:numId w:val="2"/>
        </w:numPr>
        <w:spacing w:before="40" w:after="40"/>
      </w:pPr>
      <w:r>
        <w:rPr>
          <w:rFonts w:ascii="Arial" w:cs="Arial" w:eastAsia="Arial" w:hAnsi="Arial"/>
          <w:color w:val="212121"/>
          <w:sz w:val="21"/>
          <w:szCs w:val="21"/>
        </w:rPr>
        <w:t xml:space="preserve">Maternity Leave: 50 calendar days at full pay (increased per 2023 amendment); paternity leave provisions</w:t>
      </w:r>
    </w:p>
    <w:p>
      <w:pPr>
        <w:pStyle w:val="ListParagraph"/>
        <w:numPr>
          <w:ilvl w:val="0"/>
          <w:numId w:val="2"/>
        </w:numPr>
        <w:spacing w:before="40" w:after="40"/>
      </w:pPr>
      <w:r>
        <w:rPr>
          <w:rFonts w:ascii="Arial" w:cs="Arial" w:eastAsia="Arial" w:hAnsi="Arial"/>
          <w:color w:val="212121"/>
          <w:sz w:val="21"/>
          <w:szCs w:val="21"/>
        </w:rPr>
        <w:t xml:space="preserve">Hajj Leave: 15 days once during service for Muslim employees</w:t>
      </w:r>
    </w:p>
    <w:p>
      <w:pPr>
        <w:pStyle w:val="ListParagraph"/>
        <w:numPr>
          <w:ilvl w:val="0"/>
          <w:numId w:val="2"/>
        </w:numPr>
        <w:spacing w:before="40" w:after="40"/>
      </w:pPr>
      <w:r>
        <w:rPr>
          <w:rFonts w:ascii="Arial" w:cs="Arial" w:eastAsia="Arial" w:hAnsi="Arial"/>
          <w:color w:val="212121"/>
          <w:sz w:val="21"/>
          <w:szCs w:val="21"/>
        </w:rPr>
        <w:t xml:space="preserve">Bereavement Leave: 3 days for immediate family; extended provisions per company policy</w:t>
      </w:r>
    </w:p>
    <w:p>
      <w:pPr>
        <w:pStyle w:val="ListParagraph"/>
        <w:numPr>
          <w:ilvl w:val="0"/>
          <w:numId w:val="2"/>
        </w:numPr>
        <w:spacing w:before="40" w:after="40"/>
      </w:pPr>
      <w:r>
        <w:rPr>
          <w:rFonts w:ascii="Arial" w:cs="Arial" w:eastAsia="Arial" w:hAnsi="Arial"/>
          <w:color w:val="212121"/>
          <w:sz w:val="21"/>
          <w:szCs w:val="21"/>
        </w:rPr>
        <w:t xml:space="preserve">End of Service Benefit (EOSB): 15 days basic salary per year for first 3 years, then 30 days per year thereafter</w:t>
      </w:r>
    </w:p>
    <w:p>
      <w:pPr>
        <w:pStyle w:val="ListParagraph"/>
        <w:numPr>
          <w:ilvl w:val="0"/>
          <w:numId w:val="2"/>
        </w:numPr>
        <w:spacing w:before="40" w:after="40"/>
      </w:pPr>
      <w:r>
        <w:rPr>
          <w:rFonts w:ascii="Arial" w:cs="Arial" w:eastAsia="Arial" w:hAnsi="Arial"/>
          <w:color w:val="212121"/>
          <w:sz w:val="21"/>
          <w:szCs w:val="21"/>
        </w:rPr>
        <w:t xml:space="preserve">Notice Period: Minimum 30 days (worker); minimum 1 month (employer) unless terminable for cause</w:t>
      </w:r>
    </w:p>
    <w:p>
      <w:pPr>
        <w:pStyle w:val="ListParagraph"/>
        <w:numPr>
          <w:ilvl w:val="0"/>
          <w:numId w:val="2"/>
        </w:numPr>
        <w:spacing w:before="40" w:after="40"/>
      </w:pPr>
      <w:r>
        <w:rPr>
          <w:rFonts w:ascii="Arial" w:cs="Arial" w:eastAsia="Arial" w:hAnsi="Arial"/>
          <w:color w:val="212121"/>
          <w:sz w:val="21"/>
          <w:szCs w:val="21"/>
        </w:rPr>
        <w:t xml:space="preserve">Overtime: 125% on regular days; 150% on rest days; 200% on public holidays</w:t>
      </w:r>
    </w:p>
    <w:p>
      <w:pPr>
        <w:pStyle w:val="Heading2"/>
        <w:spacing w:before="280" w:after="120"/>
      </w:pPr>
      <w:r>
        <w:rPr>
          <w:rFonts w:ascii="Arial" w:cs="Arial" w:eastAsia="Arial" w:hAnsi="Arial"/>
          <w:b/>
          <w:bCs/>
          <w:color w:val="1B3A6B"/>
          <w:sz w:val="26"/>
          <w:szCs w:val="26"/>
        </w:rPr>
        <w:t xml:space="preserve">2.2 Wage Protection System (WPS)</w:t>
      </w:r>
    </w:p>
    <w:p>
      <w:pPr>
        <w:spacing w:before="60" w:after="60"/>
        <w:jc w:val="left"/>
      </w:pPr>
      <w:r>
        <w:rPr>
          <w:rFonts w:ascii="Arial" w:cs="Arial" w:eastAsia="Arial" w:hAnsi="Arial"/>
          <w:b w:val="false"/>
          <w:bCs w:val="false"/>
          <w:i w:val="false"/>
          <w:iCs w:val="false"/>
          <w:color w:val="212121"/>
          <w:sz w:val="21"/>
          <w:szCs w:val="21"/>
        </w:rPr>
        <w:t xml:space="preserve">The Wage Protection System is mandated by the Ministry of Manpower and Central Bank of Oman. Non-compliance results in suspension of new work permit issuance. The system generates:</w:t>
      </w:r>
    </w:p>
    <w:p>
      <w:pPr>
        <w:pStyle w:val="ListParagraph"/>
        <w:numPr>
          <w:ilvl w:val="0"/>
          <w:numId w:val="2"/>
        </w:numPr>
        <w:spacing w:before="40" w:after="40"/>
      </w:pPr>
      <w:r>
        <w:rPr>
          <w:rFonts w:ascii="Arial" w:cs="Arial" w:eastAsia="Arial" w:hAnsi="Arial"/>
          <w:color w:val="212121"/>
          <w:sz w:val="21"/>
          <w:szCs w:val="21"/>
        </w:rPr>
        <w:t xml:space="preserve">WPS-compliant SIF (Salary Information File) in the prescribed XML/CSV format</w:t>
      </w:r>
    </w:p>
    <w:p>
      <w:pPr>
        <w:pStyle w:val="ListParagraph"/>
        <w:numPr>
          <w:ilvl w:val="0"/>
          <w:numId w:val="2"/>
        </w:numPr>
        <w:spacing w:before="40" w:after="40"/>
      </w:pPr>
      <w:r>
        <w:rPr>
          <w:rFonts w:ascii="Arial" w:cs="Arial" w:eastAsia="Arial" w:hAnsi="Arial"/>
          <w:color w:val="212121"/>
          <w:sz w:val="21"/>
          <w:szCs w:val="21"/>
        </w:rPr>
        <w:t xml:space="preserve">Electronic Funds Transfer (EFT) files for all CBO-accredited WPS banks (Bank Muscat, HSBC, National Bank of Oman, Ahli Bank, etc.)</w:t>
      </w:r>
    </w:p>
    <w:p>
      <w:pPr>
        <w:pStyle w:val="ListParagraph"/>
        <w:numPr>
          <w:ilvl w:val="0"/>
          <w:numId w:val="2"/>
        </w:numPr>
        <w:spacing w:before="40" w:after="40"/>
      </w:pPr>
      <w:r>
        <w:rPr>
          <w:rFonts w:ascii="Arial" w:cs="Arial" w:eastAsia="Arial" w:hAnsi="Arial"/>
          <w:color w:val="212121"/>
          <w:sz w:val="21"/>
          <w:szCs w:val="21"/>
        </w:rPr>
        <w:t xml:space="preserve">WPS Monthly Salary Report for MOM portal upload</w:t>
      </w:r>
    </w:p>
    <w:p>
      <w:pPr>
        <w:pStyle w:val="ListParagraph"/>
        <w:numPr>
          <w:ilvl w:val="0"/>
          <w:numId w:val="2"/>
        </w:numPr>
        <w:spacing w:before="40" w:after="40"/>
      </w:pPr>
      <w:r>
        <w:rPr>
          <w:rFonts w:ascii="Arial" w:cs="Arial" w:eastAsia="Arial" w:hAnsi="Arial"/>
          <w:color w:val="212121"/>
          <w:sz w:val="21"/>
          <w:szCs w:val="21"/>
        </w:rPr>
        <w:t xml:space="preserve">Exception reporting for delayed or partial salary payments</w:t>
      </w:r>
    </w:p>
    <w:p>
      <w:pPr>
        <w:pStyle w:val="ListParagraph"/>
        <w:numPr>
          <w:ilvl w:val="0"/>
          <w:numId w:val="2"/>
        </w:numPr>
        <w:spacing w:before="40" w:after="40"/>
      </w:pPr>
      <w:r>
        <w:rPr>
          <w:rFonts w:ascii="Arial" w:cs="Arial" w:eastAsia="Arial" w:hAnsi="Arial"/>
          <w:color w:val="212121"/>
          <w:sz w:val="21"/>
          <w:szCs w:val="21"/>
        </w:rPr>
        <w:t xml:space="preserve">Automatic payroll-to-bank reconciliation and WPS confirmation tracking</w:t>
      </w:r>
    </w:p>
    <w:p>
      <w:pPr>
        <w:pStyle w:val="Heading2"/>
        <w:spacing w:before="280" w:after="120"/>
      </w:pPr>
      <w:r>
        <w:rPr>
          <w:rFonts w:ascii="Arial" w:cs="Arial" w:eastAsia="Arial" w:hAnsi="Arial"/>
          <w:b/>
          <w:bCs/>
          <w:color w:val="1B3A6B"/>
          <w:sz w:val="26"/>
          <w:szCs w:val="26"/>
        </w:rPr>
        <w:t xml:space="preserve">2.3 PASI / SOCPA Contributions</w:t>
      </w:r>
    </w:p>
    <w:p>
      <w:pPr>
        <w:spacing w:before="60" w:after="60"/>
        <w:jc w:val="left"/>
      </w:pPr>
      <w:r>
        <w:rPr>
          <w:rFonts w:ascii="Arial" w:cs="Arial" w:eastAsia="Arial" w:hAnsi="Arial"/>
          <w:b w:val="false"/>
          <w:bCs w:val="false"/>
          <w:i w:val="false"/>
          <w:iCs w:val="false"/>
          <w:color w:val="212121"/>
          <w:sz w:val="21"/>
          <w:szCs w:val="21"/>
        </w:rPr>
        <w:t xml:space="preserve">The Public Authority for Social Insurance (PASI) — previously SOCPA — administers Oman's social insurance scheme. The system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21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Employee %</w:t>
            </w:r>
          </w:p>
        </w:tc>
        <w:tc>
          <w:tcPr>
            <w:tcW w:type="dxa" w:w="21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Employer %</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Government %</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Omani Nationals — Pension</w:t>
            </w:r>
          </w:p>
        </w:tc>
        <w:tc>
          <w:tcPr>
            <w:tcW w:type="dxa" w:w="21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7%</w:t>
            </w:r>
          </w:p>
        </w:tc>
        <w:tc>
          <w:tcPr>
            <w:tcW w:type="dxa" w:w="21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10.5%</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5.5%</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Omani Nationals — Occupational Hazard</w:t>
            </w:r>
          </w:p>
        </w:tc>
        <w:tc>
          <w:tcPr>
            <w:tcW w:type="dxa" w:w="21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t>
            </w:r>
          </w:p>
        </w:tc>
        <w:tc>
          <w:tcPr>
            <w:tcW w:type="dxa" w:w="21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Expatriates — Occupational Hazard</w:t>
            </w:r>
          </w:p>
        </w:tc>
        <w:tc>
          <w:tcPr>
            <w:tcW w:type="dxa" w:w="21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t>
            </w:r>
          </w:p>
        </w:tc>
        <w:tc>
          <w:tcPr>
            <w:tcW w:type="dxa" w:w="21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Calculation Base</w:t>
            </w:r>
          </w:p>
        </w:tc>
        <w:tc>
          <w:tcPr>
            <w:tcW w:type="dxa" w:w="21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Basic + Housing Allowance (capped at OMR 1,500)</w:t>
            </w:r>
          </w:p>
        </w:tc>
        <w:tc>
          <w:tcPr>
            <w:tcW w:type="dxa" w:w="21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Same</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Same</w:t>
            </w:r>
          </w:p>
        </w:tc>
      </w:tr>
    </w:tbl>
    <w:p>
      <w:pPr>
        <w:spacing w:before="120" w:after="60"/>
        <w:jc w:val="left"/>
      </w:pPr>
      <w:r>
        <w:rPr>
          <w:rFonts w:ascii="Arial" w:cs="Arial" w:eastAsia="Arial" w:hAnsi="Arial"/>
          <w:b w:val="false"/>
          <w:bCs w:val="false"/>
          <w:i w:val="false"/>
          <w:iCs w:val="false"/>
          <w:color w:val="212121"/>
          <w:sz w:val="21"/>
          <w:szCs w:val="21"/>
        </w:rPr>
        <w:t xml:space="preserve">The system generates PASI monthly contribution schedules, Form 4 (new registrations), Form 6 (salary changes), and Form 10 (terminations) in PASI-approved formats.</w:t>
      </w:r>
    </w:p>
    <w:p>
      <w:pPr>
        <w:pStyle w:val="Heading2"/>
        <w:spacing w:before="280" w:after="120"/>
      </w:pPr>
      <w:r>
        <w:rPr>
          <w:rFonts w:ascii="Arial" w:cs="Arial" w:eastAsia="Arial" w:hAnsi="Arial"/>
          <w:b/>
          <w:bCs/>
          <w:color w:val="1B3A6B"/>
          <w:sz w:val="26"/>
          <w:szCs w:val="26"/>
        </w:rPr>
        <w:t xml:space="preserve">2.4 Omanisation (Nationalisation Policy)</w:t>
      </w:r>
    </w:p>
    <w:p>
      <w:pPr>
        <w:spacing w:before="60" w:after="60"/>
        <w:jc w:val="left"/>
      </w:pPr>
      <w:r>
        <w:rPr>
          <w:rFonts w:ascii="Arial" w:cs="Arial" w:eastAsia="Arial" w:hAnsi="Arial"/>
          <w:b w:val="false"/>
          <w:bCs w:val="false"/>
          <w:i w:val="false"/>
          <w:iCs w:val="false"/>
          <w:color w:val="212121"/>
          <w:sz w:val="21"/>
          <w:szCs w:val="21"/>
        </w:rPr>
        <w:t xml:space="preserve">The Ministry of Manpower enforces Omanisation quotas by industry sector. The HRMS provides:</w:t>
      </w:r>
    </w:p>
    <w:p>
      <w:pPr>
        <w:pStyle w:val="ListParagraph"/>
        <w:numPr>
          <w:ilvl w:val="0"/>
          <w:numId w:val="2"/>
        </w:numPr>
        <w:spacing w:before="40" w:after="40"/>
      </w:pPr>
      <w:r>
        <w:rPr>
          <w:rFonts w:ascii="Arial" w:cs="Arial" w:eastAsia="Arial" w:hAnsi="Arial"/>
          <w:color w:val="212121"/>
          <w:sz w:val="21"/>
          <w:szCs w:val="21"/>
        </w:rPr>
        <w:t xml:space="preserve">Real-time Omanisation percentage dashboard by department and category</w:t>
      </w:r>
    </w:p>
    <w:p>
      <w:pPr>
        <w:pStyle w:val="ListParagraph"/>
        <w:numPr>
          <w:ilvl w:val="0"/>
          <w:numId w:val="2"/>
        </w:numPr>
        <w:spacing w:before="40" w:after="40"/>
      </w:pPr>
      <w:r>
        <w:rPr>
          <w:rFonts w:ascii="Arial" w:cs="Arial" w:eastAsia="Arial" w:hAnsi="Arial"/>
          <w:color w:val="212121"/>
          <w:sz w:val="21"/>
          <w:szCs w:val="21"/>
        </w:rPr>
        <w:t xml:space="preserve">Nitaqat band classification (Platinum, Green, Yellow, Red) based on current workforce</w:t>
      </w:r>
    </w:p>
    <w:p>
      <w:pPr>
        <w:pStyle w:val="ListParagraph"/>
        <w:numPr>
          <w:ilvl w:val="0"/>
          <w:numId w:val="2"/>
        </w:numPr>
        <w:spacing w:before="40" w:after="40"/>
      </w:pPr>
      <w:r>
        <w:rPr>
          <w:rFonts w:ascii="Arial" w:cs="Arial" w:eastAsia="Arial" w:hAnsi="Arial"/>
          <w:color w:val="212121"/>
          <w:sz w:val="21"/>
          <w:szCs w:val="21"/>
        </w:rPr>
        <w:t xml:space="preserve">Alerts when approaching quota thresholds</w:t>
      </w:r>
    </w:p>
    <w:p>
      <w:pPr>
        <w:pStyle w:val="ListParagraph"/>
        <w:numPr>
          <w:ilvl w:val="0"/>
          <w:numId w:val="2"/>
        </w:numPr>
        <w:spacing w:before="40" w:after="40"/>
      </w:pPr>
      <w:r>
        <w:rPr>
          <w:rFonts w:ascii="Arial" w:cs="Arial" w:eastAsia="Arial" w:hAnsi="Arial"/>
          <w:color w:val="212121"/>
          <w:sz w:val="21"/>
          <w:szCs w:val="21"/>
        </w:rPr>
        <w:t xml:space="preserve">Automated workforce planning recommendations to maintain compliance</w:t>
      </w:r>
    </w:p>
    <w:p>
      <w:pPr>
        <w:pStyle w:val="Heading2"/>
        <w:spacing w:before="280" w:after="120"/>
      </w:pPr>
      <w:r>
        <w:rPr>
          <w:rFonts w:ascii="Arial" w:cs="Arial" w:eastAsia="Arial" w:hAnsi="Arial"/>
          <w:b/>
          <w:bCs/>
          <w:color w:val="1B3A6B"/>
          <w:sz w:val="26"/>
          <w:szCs w:val="26"/>
        </w:rPr>
        <w:t xml:space="preserve">2.5 Public Holidays &amp; Work Calendar</w:t>
      </w:r>
    </w:p>
    <w:p>
      <w:pPr>
        <w:spacing w:before="60" w:after="60"/>
        <w:jc w:val="left"/>
      </w:pPr>
      <w:r>
        <w:rPr>
          <w:rFonts w:ascii="Arial" w:cs="Arial" w:eastAsia="Arial" w:hAnsi="Arial"/>
          <w:b w:val="false"/>
          <w:bCs w:val="false"/>
          <w:i w:val="false"/>
          <w:iCs w:val="false"/>
          <w:color w:val="212121"/>
          <w:sz w:val="21"/>
          <w:szCs w:val="21"/>
        </w:rPr>
        <w:t xml:space="preserve">The system maintains the official Sultanate of Oman public holiday calendar including Islamic holidays (calculated by Hijri calendar with official announcement reconciliation), National Day (18–19 November), Renaissance Day, and Labour Day, with provisions for adjustment when holidays fall on weekends.</w:t>
      </w:r>
    </w:p>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3. HRMS — Human Resource Management System</w:t>
      </w:r>
    </w:p>
    <w:p>
      <w:pPr>
        <w:pStyle w:val="Heading2"/>
        <w:spacing w:before="280" w:after="120"/>
      </w:pPr>
      <w:r>
        <w:rPr>
          <w:rFonts w:ascii="Arial" w:cs="Arial" w:eastAsia="Arial" w:hAnsi="Arial"/>
          <w:b/>
          <w:bCs/>
          <w:color w:val="1B3A6B"/>
          <w:sz w:val="26"/>
          <w:szCs w:val="26"/>
        </w:rPr>
        <w:t xml:space="preserve">3.1 Employee Information Management</w:t>
      </w:r>
    </w:p>
    <w:p>
      <w:pPr>
        <w:spacing w:before="60" w:after="60"/>
        <w:jc w:val="left"/>
      </w:pPr>
      <w:r>
        <w:rPr>
          <w:rFonts w:ascii="Arial" w:cs="Arial" w:eastAsia="Arial" w:hAnsi="Arial"/>
          <w:b w:val="false"/>
          <w:bCs w:val="false"/>
          <w:i w:val="false"/>
          <w:iCs w:val="false"/>
          <w:color w:val="212121"/>
          <w:sz w:val="21"/>
          <w:szCs w:val="21"/>
        </w:rPr>
        <w:t xml:space="preserve">The central repository of all employee data with full lifecycle management:</w:t>
      </w:r>
    </w:p>
    <w:p>
      <w:pPr>
        <w:pStyle w:val="ListParagraph"/>
        <w:numPr>
          <w:ilvl w:val="0"/>
          <w:numId w:val="2"/>
        </w:numPr>
        <w:spacing w:before="40" w:after="40"/>
      </w:pPr>
      <w:r>
        <w:rPr>
          <w:rFonts w:ascii="Arial" w:cs="Arial" w:eastAsia="Arial" w:hAnsi="Arial"/>
          <w:color w:val="212121"/>
          <w:sz w:val="21"/>
          <w:szCs w:val="21"/>
        </w:rPr>
        <w:t xml:space="preserve">Comprehensive employee profile: personal, contact, emergency, passport, visa, and residency details</w:t>
      </w:r>
    </w:p>
    <w:p>
      <w:pPr>
        <w:pStyle w:val="ListParagraph"/>
        <w:numPr>
          <w:ilvl w:val="0"/>
          <w:numId w:val="2"/>
        </w:numPr>
        <w:spacing w:before="40" w:after="40"/>
      </w:pPr>
      <w:r>
        <w:rPr>
          <w:rFonts w:ascii="Arial" w:cs="Arial" w:eastAsia="Arial" w:hAnsi="Arial"/>
          <w:color w:val="212121"/>
          <w:sz w:val="21"/>
          <w:szCs w:val="21"/>
        </w:rPr>
        <w:t xml:space="preserve">Document vault: visa, labour card, civil ID, educational certificates, professional certifications with expiry alerts</w:t>
      </w:r>
    </w:p>
    <w:p>
      <w:pPr>
        <w:pStyle w:val="ListParagraph"/>
        <w:numPr>
          <w:ilvl w:val="0"/>
          <w:numId w:val="2"/>
        </w:numPr>
        <w:spacing w:before="40" w:after="40"/>
      </w:pPr>
      <w:r>
        <w:rPr>
          <w:rFonts w:ascii="Arial" w:cs="Arial" w:eastAsia="Arial" w:hAnsi="Arial"/>
          <w:color w:val="212121"/>
          <w:sz w:val="21"/>
          <w:szCs w:val="21"/>
        </w:rPr>
        <w:t xml:space="preserve">Organisational hierarchy: multi-company, multi-branch, multi-department structure</w:t>
      </w:r>
    </w:p>
    <w:p>
      <w:pPr>
        <w:pStyle w:val="ListParagraph"/>
        <w:numPr>
          <w:ilvl w:val="0"/>
          <w:numId w:val="2"/>
        </w:numPr>
        <w:spacing w:before="40" w:after="40"/>
      </w:pPr>
      <w:r>
        <w:rPr>
          <w:rFonts w:ascii="Arial" w:cs="Arial" w:eastAsia="Arial" w:hAnsi="Arial"/>
          <w:color w:val="212121"/>
          <w:sz w:val="21"/>
          <w:szCs w:val="21"/>
        </w:rPr>
        <w:t xml:space="preserve">Employment history, promotions, transfers, and secondments</w:t>
      </w:r>
    </w:p>
    <w:p>
      <w:pPr>
        <w:pStyle w:val="ListParagraph"/>
        <w:numPr>
          <w:ilvl w:val="0"/>
          <w:numId w:val="2"/>
        </w:numPr>
        <w:spacing w:before="40" w:after="40"/>
      </w:pPr>
      <w:r>
        <w:rPr>
          <w:rFonts w:ascii="Arial" w:cs="Arial" w:eastAsia="Arial" w:hAnsi="Arial"/>
          <w:color w:val="212121"/>
          <w:sz w:val="21"/>
          <w:szCs w:val="21"/>
        </w:rPr>
        <w:t xml:space="preserve">Contractual details: employment type (permanent, fixed-term, part-time), probation tracking</w:t>
      </w:r>
    </w:p>
    <w:p>
      <w:pPr>
        <w:pStyle w:val="ListParagraph"/>
        <w:numPr>
          <w:ilvl w:val="0"/>
          <w:numId w:val="2"/>
        </w:numPr>
        <w:spacing w:before="40" w:after="40"/>
      </w:pPr>
      <w:r>
        <w:rPr>
          <w:rFonts w:ascii="Arial" w:cs="Arial" w:eastAsia="Arial" w:hAnsi="Arial"/>
          <w:color w:val="212121"/>
          <w:sz w:val="21"/>
          <w:szCs w:val="21"/>
        </w:rPr>
        <w:t xml:space="preserve">Employee categorisation: Omani national vs. expatriate, with nationality and visa tracking</w:t>
      </w:r>
    </w:p>
    <w:p>
      <w:pPr>
        <w:pStyle w:val="ListParagraph"/>
        <w:numPr>
          <w:ilvl w:val="0"/>
          <w:numId w:val="2"/>
        </w:numPr>
        <w:spacing w:before="40" w:after="40"/>
      </w:pPr>
      <w:r>
        <w:rPr>
          <w:rFonts w:ascii="Arial" w:cs="Arial" w:eastAsia="Arial" w:hAnsi="Arial"/>
          <w:color w:val="212121"/>
          <w:sz w:val="21"/>
          <w:szCs w:val="21"/>
        </w:rPr>
        <w:t xml:space="preserve">Dependant and beneficiary information for insurance and EOSB purposes</w:t>
      </w:r>
    </w:p>
    <w:p>
      <w:pPr>
        <w:pStyle w:val="ListParagraph"/>
        <w:numPr>
          <w:ilvl w:val="0"/>
          <w:numId w:val="2"/>
        </w:numPr>
        <w:spacing w:before="40" w:after="40"/>
      </w:pPr>
      <w:r>
        <w:rPr>
          <w:rFonts w:ascii="Arial" w:cs="Arial" w:eastAsia="Arial" w:hAnsi="Arial"/>
          <w:color w:val="212121"/>
          <w:sz w:val="21"/>
          <w:szCs w:val="21"/>
        </w:rPr>
        <w:t xml:space="preserve">Photo management and digital signature capture</w:t>
      </w:r>
    </w:p>
    <w:p>
      <w:pPr>
        <w:pStyle w:val="Heading2"/>
        <w:spacing w:before="280" w:after="120"/>
      </w:pPr>
      <w:r>
        <w:rPr>
          <w:rFonts w:ascii="Arial" w:cs="Arial" w:eastAsia="Arial" w:hAnsi="Arial"/>
          <w:b/>
          <w:bCs/>
          <w:color w:val="1B3A6B"/>
          <w:sz w:val="26"/>
          <w:szCs w:val="26"/>
        </w:rPr>
        <w:t xml:space="preserve">3.2 Organisational Structure Management</w:t>
      </w:r>
    </w:p>
    <w:p>
      <w:pPr>
        <w:pStyle w:val="ListParagraph"/>
        <w:numPr>
          <w:ilvl w:val="0"/>
          <w:numId w:val="2"/>
        </w:numPr>
        <w:spacing w:before="40" w:after="40"/>
      </w:pPr>
      <w:r>
        <w:rPr>
          <w:rFonts w:ascii="Arial" w:cs="Arial" w:eastAsia="Arial" w:hAnsi="Arial"/>
          <w:color w:val="212121"/>
          <w:sz w:val="21"/>
          <w:szCs w:val="21"/>
        </w:rPr>
        <w:t xml:space="preserve">Dynamic org chart builder with drag-and-drop hierarchy management</w:t>
      </w:r>
    </w:p>
    <w:p>
      <w:pPr>
        <w:pStyle w:val="ListParagraph"/>
        <w:numPr>
          <w:ilvl w:val="0"/>
          <w:numId w:val="2"/>
        </w:numPr>
        <w:spacing w:before="40" w:after="40"/>
      </w:pPr>
      <w:r>
        <w:rPr>
          <w:rFonts w:ascii="Arial" w:cs="Arial" w:eastAsia="Arial" w:hAnsi="Arial"/>
          <w:color w:val="212121"/>
          <w:sz w:val="21"/>
          <w:szCs w:val="21"/>
        </w:rPr>
        <w:t xml:space="preserve">Job position catalogue with grading and band structures</w:t>
      </w:r>
    </w:p>
    <w:p>
      <w:pPr>
        <w:pStyle w:val="ListParagraph"/>
        <w:numPr>
          <w:ilvl w:val="0"/>
          <w:numId w:val="2"/>
        </w:numPr>
        <w:spacing w:before="40" w:after="40"/>
      </w:pPr>
      <w:r>
        <w:rPr>
          <w:rFonts w:ascii="Arial" w:cs="Arial" w:eastAsia="Arial" w:hAnsi="Arial"/>
          <w:color w:val="212121"/>
          <w:sz w:val="21"/>
          <w:szCs w:val="21"/>
        </w:rPr>
        <w:t xml:space="preserve">Reporting lines and delegation of authority matrix</w:t>
      </w:r>
    </w:p>
    <w:p>
      <w:pPr>
        <w:pStyle w:val="ListParagraph"/>
        <w:numPr>
          <w:ilvl w:val="0"/>
          <w:numId w:val="2"/>
        </w:numPr>
        <w:spacing w:before="40" w:after="40"/>
      </w:pPr>
      <w:r>
        <w:rPr>
          <w:rFonts w:ascii="Arial" w:cs="Arial" w:eastAsia="Arial" w:hAnsi="Arial"/>
          <w:color w:val="212121"/>
          <w:sz w:val="21"/>
          <w:szCs w:val="21"/>
        </w:rPr>
        <w:t xml:space="preserve">Cost centre and GL account mapping for payroll posting</w:t>
      </w:r>
    </w:p>
    <w:p>
      <w:pPr>
        <w:pStyle w:val="ListParagraph"/>
        <w:numPr>
          <w:ilvl w:val="0"/>
          <w:numId w:val="2"/>
        </w:numPr>
        <w:spacing w:before="40" w:after="40"/>
      </w:pPr>
      <w:r>
        <w:rPr>
          <w:rFonts w:ascii="Arial" w:cs="Arial" w:eastAsia="Arial" w:hAnsi="Arial"/>
          <w:color w:val="212121"/>
          <w:sz w:val="21"/>
          <w:szCs w:val="21"/>
        </w:rPr>
        <w:t xml:space="preserve">Headcount planning and approved positions tracking</w:t>
      </w:r>
    </w:p>
    <w:p>
      <w:pPr>
        <w:pStyle w:val="ListParagraph"/>
        <w:numPr>
          <w:ilvl w:val="0"/>
          <w:numId w:val="2"/>
        </w:numPr>
        <w:spacing w:before="40" w:after="40"/>
      </w:pPr>
      <w:r>
        <w:rPr>
          <w:rFonts w:ascii="Arial" w:cs="Arial" w:eastAsia="Arial" w:hAnsi="Arial"/>
          <w:color w:val="212121"/>
          <w:sz w:val="21"/>
          <w:szCs w:val="21"/>
        </w:rPr>
        <w:t xml:space="preserve">Vacancy management and manpower requisition workflow</w:t>
      </w:r>
    </w:p>
    <w:p>
      <w:pPr>
        <w:pStyle w:val="Heading2"/>
        <w:spacing w:before="280" w:after="120"/>
      </w:pPr>
      <w:r>
        <w:rPr>
          <w:rFonts w:ascii="Arial" w:cs="Arial" w:eastAsia="Arial" w:hAnsi="Arial"/>
          <w:b/>
          <w:bCs/>
          <w:color w:val="1B3A6B"/>
          <w:sz w:val="26"/>
          <w:szCs w:val="26"/>
        </w:rPr>
        <w:t xml:space="preserve">3.3 Recruitment Management</w:t>
      </w:r>
    </w:p>
    <w:p>
      <w:pPr>
        <w:pStyle w:val="ListParagraph"/>
        <w:numPr>
          <w:ilvl w:val="0"/>
          <w:numId w:val="2"/>
        </w:numPr>
        <w:spacing w:before="40" w:after="40"/>
      </w:pPr>
      <w:r>
        <w:rPr>
          <w:rFonts w:ascii="Arial" w:cs="Arial" w:eastAsia="Arial" w:hAnsi="Arial"/>
          <w:color w:val="212121"/>
          <w:sz w:val="21"/>
          <w:szCs w:val="21"/>
        </w:rPr>
        <w:t xml:space="preserve">Manpower requisition with multi-level approval workflow</w:t>
      </w:r>
    </w:p>
    <w:p>
      <w:pPr>
        <w:pStyle w:val="ListParagraph"/>
        <w:numPr>
          <w:ilvl w:val="0"/>
          <w:numId w:val="2"/>
        </w:numPr>
        <w:spacing w:before="40" w:after="40"/>
      </w:pPr>
      <w:r>
        <w:rPr>
          <w:rFonts w:ascii="Arial" w:cs="Arial" w:eastAsia="Arial" w:hAnsi="Arial"/>
          <w:color w:val="212121"/>
          <w:sz w:val="21"/>
          <w:szCs w:val="21"/>
        </w:rPr>
        <w:t xml:space="preserve">Job posting to internal portal, career sites, and job boards</w:t>
      </w:r>
    </w:p>
    <w:p>
      <w:pPr>
        <w:pStyle w:val="ListParagraph"/>
        <w:numPr>
          <w:ilvl w:val="0"/>
          <w:numId w:val="2"/>
        </w:numPr>
        <w:spacing w:before="40" w:after="40"/>
      </w:pPr>
      <w:r>
        <w:rPr>
          <w:rFonts w:ascii="Arial" w:cs="Arial" w:eastAsia="Arial" w:hAnsi="Arial"/>
          <w:color w:val="212121"/>
          <w:sz w:val="21"/>
          <w:szCs w:val="21"/>
        </w:rPr>
        <w:t xml:space="preserve">Applicant Tracking System (ATS) with pipeline stages</w:t>
      </w:r>
    </w:p>
    <w:p>
      <w:pPr>
        <w:pStyle w:val="ListParagraph"/>
        <w:numPr>
          <w:ilvl w:val="0"/>
          <w:numId w:val="2"/>
        </w:numPr>
        <w:spacing w:before="40" w:after="40"/>
      </w:pPr>
      <w:r>
        <w:rPr>
          <w:rFonts w:ascii="Arial" w:cs="Arial" w:eastAsia="Arial" w:hAnsi="Arial"/>
          <w:color w:val="212121"/>
          <w:sz w:val="21"/>
          <w:szCs w:val="21"/>
        </w:rPr>
        <w:t xml:space="preserve">CV parsing and candidate database</w:t>
      </w:r>
    </w:p>
    <w:p>
      <w:pPr>
        <w:pStyle w:val="ListParagraph"/>
        <w:numPr>
          <w:ilvl w:val="0"/>
          <w:numId w:val="2"/>
        </w:numPr>
        <w:spacing w:before="40" w:after="40"/>
      </w:pPr>
      <w:r>
        <w:rPr>
          <w:rFonts w:ascii="Arial" w:cs="Arial" w:eastAsia="Arial" w:hAnsi="Arial"/>
          <w:color w:val="212121"/>
          <w:sz w:val="21"/>
          <w:szCs w:val="21"/>
        </w:rPr>
        <w:t xml:space="preserve">Interview scheduling, panel evaluation forms, and scoring</w:t>
      </w:r>
    </w:p>
    <w:p>
      <w:pPr>
        <w:pStyle w:val="ListParagraph"/>
        <w:numPr>
          <w:ilvl w:val="0"/>
          <w:numId w:val="2"/>
        </w:numPr>
        <w:spacing w:before="40" w:after="40"/>
      </w:pPr>
      <w:r>
        <w:rPr>
          <w:rFonts w:ascii="Arial" w:cs="Arial" w:eastAsia="Arial" w:hAnsi="Arial"/>
          <w:color w:val="212121"/>
          <w:sz w:val="21"/>
          <w:szCs w:val="21"/>
        </w:rPr>
        <w:t xml:space="preserve">Offer letter generation with e-signature capability</w:t>
      </w:r>
    </w:p>
    <w:p>
      <w:pPr>
        <w:pStyle w:val="ListParagraph"/>
        <w:numPr>
          <w:ilvl w:val="0"/>
          <w:numId w:val="2"/>
        </w:numPr>
        <w:spacing w:before="40" w:after="40"/>
      </w:pPr>
      <w:r>
        <w:rPr>
          <w:rFonts w:ascii="Arial" w:cs="Arial" w:eastAsia="Arial" w:hAnsi="Arial"/>
          <w:color w:val="212121"/>
          <w:sz w:val="21"/>
          <w:szCs w:val="21"/>
        </w:rPr>
        <w:t xml:space="preserve">Onboarding checklist and induction workflow</w:t>
      </w:r>
    </w:p>
    <w:p>
      <w:pPr>
        <w:pStyle w:val="ListParagraph"/>
        <w:numPr>
          <w:ilvl w:val="0"/>
          <w:numId w:val="2"/>
        </w:numPr>
        <w:spacing w:before="40" w:after="40"/>
      </w:pPr>
      <w:r>
        <w:rPr>
          <w:rFonts w:ascii="Arial" w:cs="Arial" w:eastAsia="Arial" w:hAnsi="Arial"/>
          <w:color w:val="212121"/>
          <w:sz w:val="21"/>
          <w:szCs w:val="21"/>
        </w:rPr>
        <w:t xml:space="preserve">Ministry of Manpower work permit application tracking</w:t>
      </w:r>
    </w:p>
    <w:p>
      <w:pPr>
        <w:pStyle w:val="ListParagraph"/>
        <w:numPr>
          <w:ilvl w:val="0"/>
          <w:numId w:val="2"/>
        </w:numPr>
        <w:spacing w:before="40" w:after="40"/>
      </w:pPr>
      <w:r>
        <w:rPr>
          <w:rFonts w:ascii="Arial" w:cs="Arial" w:eastAsia="Arial" w:hAnsi="Arial"/>
          <w:color w:val="212121"/>
          <w:sz w:val="21"/>
          <w:szCs w:val="21"/>
        </w:rPr>
        <w:t xml:space="preserve">Omanisation impact analysis for each hire</w:t>
      </w:r>
    </w:p>
    <w:p>
      <w:pPr>
        <w:pStyle w:val="Heading2"/>
        <w:spacing w:before="280" w:after="120"/>
      </w:pPr>
      <w:r>
        <w:rPr>
          <w:rFonts w:ascii="Arial" w:cs="Arial" w:eastAsia="Arial" w:hAnsi="Arial"/>
          <w:b/>
          <w:bCs/>
          <w:color w:val="1B3A6B"/>
          <w:sz w:val="26"/>
          <w:szCs w:val="26"/>
        </w:rPr>
        <w:t xml:space="preserve">3.4 Attendance &amp; Time Management</w:t>
      </w:r>
    </w:p>
    <w:p>
      <w:pPr>
        <w:pStyle w:val="ListParagraph"/>
        <w:numPr>
          <w:ilvl w:val="0"/>
          <w:numId w:val="2"/>
        </w:numPr>
        <w:spacing w:before="40" w:after="40"/>
      </w:pPr>
      <w:r>
        <w:rPr>
          <w:rFonts w:ascii="Arial" w:cs="Arial" w:eastAsia="Arial" w:hAnsi="Arial"/>
          <w:color w:val="212121"/>
          <w:sz w:val="21"/>
          <w:szCs w:val="21"/>
        </w:rPr>
        <w:t xml:space="preserve">Integration with biometric devices (fingerprint, face recognition, card readers) via SDK/API</w:t>
      </w:r>
    </w:p>
    <w:p>
      <w:pPr>
        <w:pStyle w:val="ListParagraph"/>
        <w:numPr>
          <w:ilvl w:val="0"/>
          <w:numId w:val="2"/>
        </w:numPr>
        <w:spacing w:before="40" w:after="40"/>
      </w:pPr>
      <w:r>
        <w:rPr>
          <w:rFonts w:ascii="Arial" w:cs="Arial" w:eastAsia="Arial" w:hAnsi="Arial"/>
          <w:color w:val="212121"/>
          <w:sz w:val="21"/>
          <w:szCs w:val="21"/>
        </w:rPr>
        <w:t xml:space="preserve">Shift scheduling: fixed, rotating, flexible, and split shifts</w:t>
      </w:r>
    </w:p>
    <w:p>
      <w:pPr>
        <w:pStyle w:val="ListParagraph"/>
        <w:numPr>
          <w:ilvl w:val="0"/>
          <w:numId w:val="2"/>
        </w:numPr>
        <w:spacing w:before="40" w:after="40"/>
      </w:pPr>
      <w:r>
        <w:rPr>
          <w:rFonts w:ascii="Arial" w:cs="Arial" w:eastAsia="Arial" w:hAnsi="Arial"/>
          <w:color w:val="212121"/>
          <w:sz w:val="21"/>
          <w:szCs w:val="21"/>
        </w:rPr>
        <w:t xml:space="preserve">Real-time attendance monitoring and exception management</w:t>
      </w:r>
    </w:p>
    <w:p>
      <w:pPr>
        <w:pStyle w:val="ListParagraph"/>
        <w:numPr>
          <w:ilvl w:val="0"/>
          <w:numId w:val="2"/>
        </w:numPr>
        <w:spacing w:before="40" w:after="40"/>
      </w:pPr>
      <w:r>
        <w:rPr>
          <w:rFonts w:ascii="Arial" w:cs="Arial" w:eastAsia="Arial" w:hAnsi="Arial"/>
          <w:color w:val="212121"/>
          <w:sz w:val="21"/>
          <w:szCs w:val="21"/>
        </w:rPr>
        <w:t xml:space="preserve">Overtime calculation per Oman Labour Law rates (125%, 150%, 200%)</w:t>
      </w:r>
    </w:p>
    <w:p>
      <w:pPr>
        <w:pStyle w:val="ListParagraph"/>
        <w:numPr>
          <w:ilvl w:val="0"/>
          <w:numId w:val="2"/>
        </w:numPr>
        <w:spacing w:before="40" w:after="40"/>
      </w:pPr>
      <w:r>
        <w:rPr>
          <w:rFonts w:ascii="Arial" w:cs="Arial" w:eastAsia="Arial" w:hAnsi="Arial"/>
          <w:color w:val="212121"/>
          <w:sz w:val="21"/>
          <w:szCs w:val="21"/>
        </w:rPr>
        <w:t xml:space="preserve">Field staff GPS check-in/check-out via mobile app</w:t>
      </w:r>
    </w:p>
    <w:p>
      <w:pPr>
        <w:pStyle w:val="ListParagraph"/>
        <w:numPr>
          <w:ilvl w:val="0"/>
          <w:numId w:val="2"/>
        </w:numPr>
        <w:spacing w:before="40" w:after="40"/>
      </w:pPr>
      <w:r>
        <w:rPr>
          <w:rFonts w:ascii="Arial" w:cs="Arial" w:eastAsia="Arial" w:hAnsi="Arial"/>
          <w:color w:val="212121"/>
          <w:sz w:val="21"/>
          <w:szCs w:val="21"/>
        </w:rPr>
        <w:t xml:space="preserve">Timesheet submission, approval workflow, and locking</w:t>
      </w:r>
    </w:p>
    <w:p>
      <w:pPr>
        <w:pStyle w:val="ListParagraph"/>
        <w:numPr>
          <w:ilvl w:val="0"/>
          <w:numId w:val="2"/>
        </w:numPr>
        <w:spacing w:before="40" w:after="40"/>
      </w:pPr>
      <w:r>
        <w:rPr>
          <w:rFonts w:ascii="Arial" w:cs="Arial" w:eastAsia="Arial" w:hAnsi="Arial"/>
          <w:color w:val="212121"/>
          <w:sz w:val="21"/>
          <w:szCs w:val="21"/>
        </w:rPr>
        <w:t xml:space="preserve">Late arrival, early departure, and absenteeism tracking</w:t>
      </w:r>
    </w:p>
    <w:p>
      <w:pPr>
        <w:pStyle w:val="ListParagraph"/>
        <w:numPr>
          <w:ilvl w:val="0"/>
          <w:numId w:val="2"/>
        </w:numPr>
        <w:spacing w:before="40" w:after="40"/>
      </w:pPr>
      <w:r>
        <w:rPr>
          <w:rFonts w:ascii="Arial" w:cs="Arial" w:eastAsia="Arial" w:hAnsi="Arial"/>
          <w:color w:val="212121"/>
          <w:sz w:val="21"/>
          <w:szCs w:val="21"/>
        </w:rPr>
        <w:t xml:space="preserve">Comp-off and time-off-in-lieu management</w:t>
      </w:r>
    </w:p>
    <w:p>
      <w:pPr>
        <w:pStyle w:val="ListParagraph"/>
        <w:numPr>
          <w:ilvl w:val="0"/>
          <w:numId w:val="2"/>
        </w:numPr>
        <w:spacing w:before="40" w:after="40"/>
      </w:pPr>
      <w:r>
        <w:rPr>
          <w:rFonts w:ascii="Arial" w:cs="Arial" w:eastAsia="Arial" w:hAnsi="Arial"/>
          <w:color w:val="212121"/>
          <w:sz w:val="21"/>
          <w:szCs w:val="21"/>
        </w:rPr>
        <w:t xml:space="preserve">Automatic payroll feed from approved timesheets</w:t>
      </w:r>
    </w:p>
    <w:p>
      <w:pPr>
        <w:pStyle w:val="Heading2"/>
        <w:spacing w:before="280" w:after="120"/>
      </w:pPr>
      <w:r>
        <w:rPr>
          <w:rFonts w:ascii="Arial" w:cs="Arial" w:eastAsia="Arial" w:hAnsi="Arial"/>
          <w:b/>
          <w:bCs/>
          <w:color w:val="1B3A6B"/>
          <w:sz w:val="26"/>
          <w:szCs w:val="26"/>
        </w:rPr>
        <w:t xml:space="preserve">3.5 Leave Management</w:t>
      </w:r>
    </w:p>
    <w:p>
      <w:pPr>
        <w:spacing w:before="60" w:after="60"/>
        <w:jc w:val="left"/>
      </w:pPr>
      <w:r>
        <w:rPr>
          <w:rFonts w:ascii="Arial" w:cs="Arial" w:eastAsia="Arial" w:hAnsi="Arial"/>
          <w:b w:val="false"/>
          <w:bCs w:val="false"/>
          <w:i w:val="false"/>
          <w:iCs w:val="false"/>
          <w:color w:val="212121"/>
          <w:sz w:val="21"/>
          <w:szCs w:val="21"/>
        </w:rPr>
        <w:t xml:space="preserve">Fully aligned with Oman Labour Law leave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Leave Type</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Entitlement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Carry Forward</w:t>
            </w:r>
          </w:p>
        </w:tc>
        <w:tc>
          <w:tcPr>
            <w:tcW w:type="dxa" w:w="2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Annual Leave</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30 calendar days/yr</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30 days</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Pro-rated in first year</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Sick Leave (Full Pay)</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10 days/yr</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No</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Medical certificate required &gt;2 days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Sick Leave (Half Pay)</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20 days/yr</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No</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Follows 10 days full pay</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Sick Leave (Unpaid)</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30 days/yr</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No</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After half pay exhausted</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Maternity Leave</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50 calendar days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N/A</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Full pay; one-time extension option</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Paternity Leave</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3–7 days</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N/A</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company policy / RD amendments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Hajj Leave</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15 days (once)</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N/A</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Muslim employees only</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Bereavement Leave</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 days</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N/A</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Immediate family member</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Emergency / Urgent</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policy</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No</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Manager discretion</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Study / Exam Leave</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policy</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No</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With supporting documents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Unpaid Leave</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Unlimited (approval)</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N/A</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Payroll deduction applied</w:t>
            </w:r>
          </w:p>
        </w:tc>
      </w:tr>
    </w:tbl>
    <w:p>
      <w:pPr>
        <w:spacing w:before="120" w:after="60"/>
        <w:jc w:val="left"/>
      </w:pPr>
      <w:r>
        <w:rPr>
          <w:rFonts w:ascii="Arial" w:cs="Arial" w:eastAsia="Arial" w:hAnsi="Arial"/>
          <w:b w:val="false"/>
          <w:bCs w:val="false"/>
          <w:i w:val="false"/>
          <w:iCs w:val="false"/>
          <w:color w:val="212121"/>
          <w:sz w:val="21"/>
          <w:szCs w:val="21"/>
        </w:rPr>
        <w:t xml:space="preserve">Additional capabilities:</w:t>
      </w:r>
    </w:p>
    <w:p>
      <w:pPr>
        <w:pStyle w:val="ListParagraph"/>
        <w:numPr>
          <w:ilvl w:val="0"/>
          <w:numId w:val="2"/>
        </w:numPr>
        <w:spacing w:before="40" w:after="40"/>
      </w:pPr>
      <w:r>
        <w:rPr>
          <w:rFonts w:ascii="Arial" w:cs="Arial" w:eastAsia="Arial" w:hAnsi="Arial"/>
          <w:color w:val="212121"/>
          <w:sz w:val="21"/>
          <w:szCs w:val="21"/>
        </w:rPr>
        <w:t xml:space="preserve">Leave accrual engine with real-time balance calculation</w:t>
      </w:r>
    </w:p>
    <w:p>
      <w:pPr>
        <w:pStyle w:val="ListParagraph"/>
        <w:numPr>
          <w:ilvl w:val="0"/>
          <w:numId w:val="2"/>
        </w:numPr>
        <w:spacing w:before="40" w:after="40"/>
      </w:pPr>
      <w:r>
        <w:rPr>
          <w:rFonts w:ascii="Arial" w:cs="Arial" w:eastAsia="Arial" w:hAnsi="Arial"/>
          <w:color w:val="212121"/>
          <w:sz w:val="21"/>
          <w:szCs w:val="21"/>
        </w:rPr>
        <w:t xml:space="preserve">Public holiday exclusion from leave counts (Islamic and national calendar)</w:t>
      </w:r>
    </w:p>
    <w:p>
      <w:pPr>
        <w:pStyle w:val="ListParagraph"/>
        <w:numPr>
          <w:ilvl w:val="0"/>
          <w:numId w:val="2"/>
        </w:numPr>
        <w:spacing w:before="40" w:after="40"/>
      </w:pPr>
      <w:r>
        <w:rPr>
          <w:rFonts w:ascii="Arial" w:cs="Arial" w:eastAsia="Arial" w:hAnsi="Arial"/>
          <w:color w:val="212121"/>
          <w:sz w:val="21"/>
          <w:szCs w:val="21"/>
        </w:rPr>
        <w:t xml:space="preserve">Leave encashment calculation per basic salary rate</w:t>
      </w:r>
    </w:p>
    <w:p>
      <w:pPr>
        <w:pStyle w:val="ListParagraph"/>
        <w:numPr>
          <w:ilvl w:val="0"/>
          <w:numId w:val="2"/>
        </w:numPr>
        <w:spacing w:before="40" w:after="40"/>
      </w:pPr>
      <w:r>
        <w:rPr>
          <w:rFonts w:ascii="Arial" w:cs="Arial" w:eastAsia="Arial" w:hAnsi="Arial"/>
          <w:color w:val="212121"/>
          <w:sz w:val="21"/>
          <w:szCs w:val="21"/>
        </w:rPr>
        <w:t xml:space="preserve">Multi-level approval workflow with email/push notification</w:t>
      </w:r>
    </w:p>
    <w:p>
      <w:pPr>
        <w:pStyle w:val="ListParagraph"/>
        <w:numPr>
          <w:ilvl w:val="0"/>
          <w:numId w:val="2"/>
        </w:numPr>
        <w:spacing w:before="40" w:after="40"/>
      </w:pPr>
      <w:r>
        <w:rPr>
          <w:rFonts w:ascii="Arial" w:cs="Arial" w:eastAsia="Arial" w:hAnsi="Arial"/>
          <w:color w:val="212121"/>
          <w:sz w:val="21"/>
          <w:szCs w:val="21"/>
        </w:rPr>
        <w:t xml:space="preserve">Ticket entitlement tracking (annual air ticket per employment contract)</w:t>
      </w:r>
    </w:p>
    <w:p>
      <w:pPr>
        <w:pStyle w:val="ListParagraph"/>
        <w:numPr>
          <w:ilvl w:val="0"/>
          <w:numId w:val="2"/>
        </w:numPr>
        <w:spacing w:before="40" w:after="40"/>
      </w:pPr>
      <w:r>
        <w:rPr>
          <w:rFonts w:ascii="Arial" w:cs="Arial" w:eastAsia="Arial" w:hAnsi="Arial"/>
          <w:color w:val="212121"/>
          <w:sz w:val="21"/>
          <w:szCs w:val="21"/>
        </w:rPr>
        <w:t xml:space="preserve">Leave resumption and overstay management</w:t>
      </w:r>
    </w:p>
    <w:p>
      <w:pPr>
        <w:pStyle w:val="ListParagraph"/>
        <w:numPr>
          <w:ilvl w:val="0"/>
          <w:numId w:val="2"/>
        </w:numPr>
        <w:spacing w:before="40" w:after="40"/>
      </w:pPr>
      <w:r>
        <w:rPr>
          <w:rFonts w:ascii="Arial" w:cs="Arial" w:eastAsia="Arial" w:hAnsi="Arial"/>
          <w:color w:val="212121"/>
          <w:sz w:val="21"/>
          <w:szCs w:val="21"/>
        </w:rPr>
        <w:t xml:space="preserve">HR analytics: leave trends, absenteeism, and workforce availability reports</w:t>
      </w:r>
    </w:p>
    <w:p>
      <w:pPr>
        <w:pStyle w:val="Heading2"/>
        <w:spacing w:before="280" w:after="120"/>
      </w:pPr>
      <w:r>
        <w:rPr>
          <w:rFonts w:ascii="Arial" w:cs="Arial" w:eastAsia="Arial" w:hAnsi="Arial"/>
          <w:b/>
          <w:bCs/>
          <w:color w:val="1B3A6B"/>
          <w:sz w:val="26"/>
          <w:szCs w:val="26"/>
        </w:rPr>
        <w:t xml:space="preserve">3.6 Performance Management</w:t>
      </w:r>
    </w:p>
    <w:p>
      <w:pPr>
        <w:pStyle w:val="ListParagraph"/>
        <w:numPr>
          <w:ilvl w:val="0"/>
          <w:numId w:val="2"/>
        </w:numPr>
        <w:spacing w:before="40" w:after="40"/>
      </w:pPr>
      <w:r>
        <w:rPr>
          <w:rFonts w:ascii="Arial" w:cs="Arial" w:eastAsia="Arial" w:hAnsi="Arial"/>
          <w:color w:val="212121"/>
          <w:sz w:val="21"/>
          <w:szCs w:val="21"/>
        </w:rPr>
        <w:t xml:space="preserve">Annual and mid-year appraisal cycles with configurable templates</w:t>
      </w:r>
    </w:p>
    <w:p>
      <w:pPr>
        <w:pStyle w:val="ListParagraph"/>
        <w:numPr>
          <w:ilvl w:val="0"/>
          <w:numId w:val="2"/>
        </w:numPr>
        <w:spacing w:before="40" w:after="40"/>
      </w:pPr>
      <w:r>
        <w:rPr>
          <w:rFonts w:ascii="Arial" w:cs="Arial" w:eastAsia="Arial" w:hAnsi="Arial"/>
          <w:color w:val="212121"/>
          <w:sz w:val="21"/>
          <w:szCs w:val="21"/>
        </w:rPr>
        <w:t xml:space="preserve">360-degree feedback: self, manager, peer, and subordinate reviews</w:t>
      </w:r>
    </w:p>
    <w:p>
      <w:pPr>
        <w:pStyle w:val="ListParagraph"/>
        <w:numPr>
          <w:ilvl w:val="0"/>
          <w:numId w:val="2"/>
        </w:numPr>
        <w:spacing w:before="40" w:after="40"/>
      </w:pPr>
      <w:r>
        <w:rPr>
          <w:rFonts w:ascii="Arial" w:cs="Arial" w:eastAsia="Arial" w:hAnsi="Arial"/>
          <w:color w:val="212121"/>
          <w:sz w:val="21"/>
          <w:szCs w:val="21"/>
        </w:rPr>
        <w:t xml:space="preserve">Key Performance Indicators (KPIs) and Objectives &amp; Key Results (OKRs) alignment</w:t>
      </w:r>
    </w:p>
    <w:p>
      <w:pPr>
        <w:pStyle w:val="ListParagraph"/>
        <w:numPr>
          <w:ilvl w:val="0"/>
          <w:numId w:val="2"/>
        </w:numPr>
        <w:spacing w:before="40" w:after="40"/>
      </w:pPr>
      <w:r>
        <w:rPr>
          <w:rFonts w:ascii="Arial" w:cs="Arial" w:eastAsia="Arial" w:hAnsi="Arial"/>
          <w:color w:val="212121"/>
          <w:sz w:val="21"/>
          <w:szCs w:val="21"/>
        </w:rPr>
        <w:t xml:space="preserve">Rating scales and calibration workflows</w:t>
      </w:r>
    </w:p>
    <w:p>
      <w:pPr>
        <w:pStyle w:val="ListParagraph"/>
        <w:numPr>
          <w:ilvl w:val="0"/>
          <w:numId w:val="2"/>
        </w:numPr>
        <w:spacing w:before="40" w:after="40"/>
      </w:pPr>
      <w:r>
        <w:rPr>
          <w:rFonts w:ascii="Arial" w:cs="Arial" w:eastAsia="Arial" w:hAnsi="Arial"/>
          <w:color w:val="212121"/>
          <w:sz w:val="21"/>
          <w:szCs w:val="21"/>
        </w:rPr>
        <w:t xml:space="preserve">Performance Improvement Plan (PIP) tracking</w:t>
      </w:r>
    </w:p>
    <w:p>
      <w:pPr>
        <w:pStyle w:val="ListParagraph"/>
        <w:numPr>
          <w:ilvl w:val="0"/>
          <w:numId w:val="2"/>
        </w:numPr>
        <w:spacing w:before="40" w:after="40"/>
      </w:pPr>
      <w:r>
        <w:rPr>
          <w:rFonts w:ascii="Arial" w:cs="Arial" w:eastAsia="Arial" w:hAnsi="Arial"/>
          <w:color w:val="212121"/>
          <w:sz w:val="21"/>
          <w:szCs w:val="21"/>
        </w:rPr>
        <w:t xml:space="preserve">Bell-curve distribution analysis and forced ranking</w:t>
      </w:r>
    </w:p>
    <w:p>
      <w:pPr>
        <w:pStyle w:val="ListParagraph"/>
        <w:numPr>
          <w:ilvl w:val="0"/>
          <w:numId w:val="2"/>
        </w:numPr>
        <w:spacing w:before="40" w:after="40"/>
      </w:pPr>
      <w:r>
        <w:rPr>
          <w:rFonts w:ascii="Arial" w:cs="Arial" w:eastAsia="Arial" w:hAnsi="Arial"/>
          <w:color w:val="212121"/>
          <w:sz w:val="21"/>
          <w:szCs w:val="21"/>
        </w:rPr>
        <w:t xml:space="preserve">Direct link to salary increment, bonus, and promotion workflows</w:t>
      </w:r>
    </w:p>
    <w:p>
      <w:pPr>
        <w:pStyle w:val="ListParagraph"/>
        <w:numPr>
          <w:ilvl w:val="0"/>
          <w:numId w:val="2"/>
        </w:numPr>
        <w:spacing w:before="40" w:after="40"/>
      </w:pPr>
      <w:r>
        <w:rPr>
          <w:rFonts w:ascii="Arial" w:cs="Arial" w:eastAsia="Arial" w:hAnsi="Arial"/>
          <w:color w:val="212121"/>
          <w:sz w:val="21"/>
          <w:szCs w:val="21"/>
        </w:rPr>
        <w:t xml:space="preserve">Competency framework and skills gap analysis</w:t>
      </w:r>
    </w:p>
    <w:p>
      <w:pPr>
        <w:pStyle w:val="Heading2"/>
        <w:spacing w:before="280" w:after="120"/>
      </w:pPr>
      <w:r>
        <w:rPr>
          <w:rFonts w:ascii="Arial" w:cs="Arial" w:eastAsia="Arial" w:hAnsi="Arial"/>
          <w:b/>
          <w:bCs/>
          <w:color w:val="1B3A6B"/>
          <w:sz w:val="26"/>
          <w:szCs w:val="26"/>
        </w:rPr>
        <w:t xml:space="preserve">3.7 Training &amp; Development</w:t>
      </w:r>
    </w:p>
    <w:p>
      <w:pPr>
        <w:pStyle w:val="ListParagraph"/>
        <w:numPr>
          <w:ilvl w:val="0"/>
          <w:numId w:val="2"/>
        </w:numPr>
        <w:spacing w:before="40" w:after="40"/>
      </w:pPr>
      <w:r>
        <w:rPr>
          <w:rFonts w:ascii="Arial" w:cs="Arial" w:eastAsia="Arial" w:hAnsi="Arial"/>
          <w:color w:val="212121"/>
          <w:sz w:val="21"/>
          <w:szCs w:val="21"/>
        </w:rPr>
        <w:t xml:space="preserve">Training Needs Analysis (TNA) from appraisal outcomes</w:t>
      </w:r>
    </w:p>
    <w:p>
      <w:pPr>
        <w:pStyle w:val="ListParagraph"/>
        <w:numPr>
          <w:ilvl w:val="0"/>
          <w:numId w:val="2"/>
        </w:numPr>
        <w:spacing w:before="40" w:after="40"/>
      </w:pPr>
      <w:r>
        <w:rPr>
          <w:rFonts w:ascii="Arial" w:cs="Arial" w:eastAsia="Arial" w:hAnsi="Arial"/>
          <w:color w:val="212121"/>
          <w:sz w:val="21"/>
          <w:szCs w:val="21"/>
        </w:rPr>
        <w:t xml:space="preserve">Training catalogue with internal and external course library</w:t>
      </w:r>
    </w:p>
    <w:p>
      <w:pPr>
        <w:pStyle w:val="ListParagraph"/>
        <w:numPr>
          <w:ilvl w:val="0"/>
          <w:numId w:val="2"/>
        </w:numPr>
        <w:spacing w:before="40" w:after="40"/>
      </w:pPr>
      <w:r>
        <w:rPr>
          <w:rFonts w:ascii="Arial" w:cs="Arial" w:eastAsia="Arial" w:hAnsi="Arial"/>
          <w:color w:val="212121"/>
          <w:sz w:val="21"/>
          <w:szCs w:val="21"/>
        </w:rPr>
        <w:t xml:space="preserve">Nomination, approval, and scheduling workflow</w:t>
      </w:r>
    </w:p>
    <w:p>
      <w:pPr>
        <w:pStyle w:val="ListParagraph"/>
        <w:numPr>
          <w:ilvl w:val="0"/>
          <w:numId w:val="2"/>
        </w:numPr>
        <w:spacing w:before="40" w:after="40"/>
      </w:pPr>
      <w:r>
        <w:rPr>
          <w:rFonts w:ascii="Arial" w:cs="Arial" w:eastAsia="Arial" w:hAnsi="Arial"/>
          <w:color w:val="212121"/>
          <w:sz w:val="21"/>
          <w:szCs w:val="21"/>
        </w:rPr>
        <w:t xml:space="preserve">e-Learning module integration (SCORM-compliant LMS interface)</w:t>
      </w:r>
    </w:p>
    <w:p>
      <w:pPr>
        <w:pStyle w:val="ListParagraph"/>
        <w:numPr>
          <w:ilvl w:val="0"/>
          <w:numId w:val="2"/>
        </w:numPr>
        <w:spacing w:before="40" w:after="40"/>
      </w:pPr>
      <w:r>
        <w:rPr>
          <w:rFonts w:ascii="Arial" w:cs="Arial" w:eastAsia="Arial" w:hAnsi="Arial"/>
          <w:color w:val="212121"/>
          <w:sz w:val="21"/>
          <w:szCs w:val="21"/>
        </w:rPr>
        <w:t xml:space="preserve">Training budget tracking by department and employee</w:t>
      </w:r>
    </w:p>
    <w:p>
      <w:pPr>
        <w:pStyle w:val="ListParagraph"/>
        <w:numPr>
          <w:ilvl w:val="0"/>
          <w:numId w:val="2"/>
        </w:numPr>
        <w:spacing w:before="40" w:after="40"/>
      </w:pPr>
      <w:r>
        <w:rPr>
          <w:rFonts w:ascii="Arial" w:cs="Arial" w:eastAsia="Arial" w:hAnsi="Arial"/>
          <w:color w:val="212121"/>
          <w:sz w:val="21"/>
          <w:szCs w:val="21"/>
        </w:rPr>
        <w:t xml:space="preserve">Training effectiveness evaluation and ROI reporting</w:t>
      </w:r>
    </w:p>
    <w:p>
      <w:pPr>
        <w:pStyle w:val="ListParagraph"/>
        <w:numPr>
          <w:ilvl w:val="0"/>
          <w:numId w:val="2"/>
        </w:numPr>
        <w:spacing w:before="40" w:after="40"/>
      </w:pPr>
      <w:r>
        <w:rPr>
          <w:rFonts w:ascii="Arial" w:cs="Arial" w:eastAsia="Arial" w:hAnsi="Arial"/>
          <w:color w:val="212121"/>
          <w:sz w:val="21"/>
          <w:szCs w:val="21"/>
        </w:rPr>
        <w:t xml:space="preserve">Professional certification tracking with renewal alerts</w:t>
      </w:r>
    </w:p>
    <w:p>
      <w:pPr>
        <w:pStyle w:val="ListParagraph"/>
        <w:numPr>
          <w:ilvl w:val="0"/>
          <w:numId w:val="2"/>
        </w:numPr>
        <w:spacing w:before="40" w:after="40"/>
      </w:pPr>
      <w:r>
        <w:rPr>
          <w:rFonts w:ascii="Arial" w:cs="Arial" w:eastAsia="Arial" w:hAnsi="Arial"/>
          <w:color w:val="212121"/>
          <w:sz w:val="21"/>
          <w:szCs w:val="21"/>
        </w:rPr>
        <w:t xml:space="preserve">Omanisation-specific training programs tracking for MOM reporting</w:t>
      </w:r>
    </w:p>
    <w:p>
      <w:pPr>
        <w:pStyle w:val="Heading2"/>
        <w:spacing w:before="280" w:after="120"/>
      </w:pPr>
      <w:r>
        <w:rPr>
          <w:rFonts w:ascii="Arial" w:cs="Arial" w:eastAsia="Arial" w:hAnsi="Arial"/>
          <w:b/>
          <w:bCs/>
          <w:color w:val="1B3A6B"/>
          <w:sz w:val="26"/>
          <w:szCs w:val="26"/>
        </w:rPr>
        <w:t xml:space="preserve">3.8 Disciplinary &amp; Grievance Management</w:t>
      </w:r>
    </w:p>
    <w:p>
      <w:pPr>
        <w:pStyle w:val="ListParagraph"/>
        <w:numPr>
          <w:ilvl w:val="0"/>
          <w:numId w:val="2"/>
        </w:numPr>
        <w:spacing w:before="40" w:after="40"/>
      </w:pPr>
      <w:r>
        <w:rPr>
          <w:rFonts w:ascii="Arial" w:cs="Arial" w:eastAsia="Arial" w:hAnsi="Arial"/>
          <w:color w:val="212121"/>
          <w:sz w:val="21"/>
          <w:szCs w:val="21"/>
        </w:rPr>
        <w:t xml:space="preserve">Disciplinary action workflow: warning, suspension, termination</w:t>
      </w:r>
    </w:p>
    <w:p>
      <w:pPr>
        <w:pStyle w:val="ListParagraph"/>
        <w:numPr>
          <w:ilvl w:val="0"/>
          <w:numId w:val="2"/>
        </w:numPr>
        <w:spacing w:before="40" w:after="40"/>
      </w:pPr>
      <w:r>
        <w:rPr>
          <w:rFonts w:ascii="Arial" w:cs="Arial" w:eastAsia="Arial" w:hAnsi="Arial"/>
          <w:color w:val="212121"/>
          <w:sz w:val="21"/>
          <w:szCs w:val="21"/>
        </w:rPr>
        <w:t xml:space="preserve">Show cause notice and response tracking</w:t>
      </w:r>
    </w:p>
    <w:p>
      <w:pPr>
        <w:pStyle w:val="ListParagraph"/>
        <w:numPr>
          <w:ilvl w:val="0"/>
          <w:numId w:val="2"/>
        </w:numPr>
        <w:spacing w:before="40" w:after="40"/>
      </w:pPr>
      <w:r>
        <w:rPr>
          <w:rFonts w:ascii="Arial" w:cs="Arial" w:eastAsia="Arial" w:hAnsi="Arial"/>
          <w:color w:val="212121"/>
          <w:sz w:val="21"/>
          <w:szCs w:val="21"/>
        </w:rPr>
        <w:t xml:space="preserve">Grievance submission and resolution workflow</w:t>
      </w:r>
    </w:p>
    <w:p>
      <w:pPr>
        <w:pStyle w:val="ListParagraph"/>
        <w:numPr>
          <w:ilvl w:val="0"/>
          <w:numId w:val="2"/>
        </w:numPr>
        <w:spacing w:before="40" w:after="40"/>
      </w:pPr>
      <w:r>
        <w:rPr>
          <w:rFonts w:ascii="Arial" w:cs="Arial" w:eastAsia="Arial" w:hAnsi="Arial"/>
          <w:color w:val="212121"/>
          <w:sz w:val="21"/>
          <w:szCs w:val="21"/>
        </w:rPr>
        <w:t xml:space="preserve">Case history and audit trail for legal compliance</w:t>
      </w:r>
    </w:p>
    <w:p>
      <w:pPr>
        <w:pStyle w:val="ListParagraph"/>
        <w:numPr>
          <w:ilvl w:val="0"/>
          <w:numId w:val="2"/>
        </w:numPr>
        <w:spacing w:before="40" w:after="40"/>
      </w:pPr>
      <w:r>
        <w:rPr>
          <w:rFonts w:ascii="Arial" w:cs="Arial" w:eastAsia="Arial" w:hAnsi="Arial"/>
          <w:color w:val="212121"/>
          <w:sz w:val="21"/>
          <w:szCs w:val="21"/>
        </w:rPr>
        <w:t xml:space="preserve">Appeal management process</w:t>
      </w:r>
    </w:p>
    <w:p>
      <w:pPr>
        <w:pStyle w:val="Heading2"/>
        <w:spacing w:before="280" w:after="120"/>
      </w:pPr>
      <w:r>
        <w:rPr>
          <w:rFonts w:ascii="Arial" w:cs="Arial" w:eastAsia="Arial" w:hAnsi="Arial"/>
          <w:b/>
          <w:bCs/>
          <w:color w:val="1B3A6B"/>
          <w:sz w:val="26"/>
          <w:szCs w:val="26"/>
        </w:rPr>
        <w:t xml:space="preserve">3.9 Separation &amp; End of Service</w:t>
      </w:r>
    </w:p>
    <w:p>
      <w:pPr>
        <w:pStyle w:val="ListParagraph"/>
        <w:numPr>
          <w:ilvl w:val="0"/>
          <w:numId w:val="2"/>
        </w:numPr>
        <w:spacing w:before="40" w:after="40"/>
      </w:pPr>
      <w:r>
        <w:rPr>
          <w:rFonts w:ascii="Arial" w:cs="Arial" w:eastAsia="Arial" w:hAnsi="Arial"/>
          <w:color w:val="212121"/>
          <w:sz w:val="21"/>
          <w:szCs w:val="21"/>
        </w:rPr>
        <w:t xml:space="preserve">Resignation, termination, retirement, and contract expiry workflows</w:t>
      </w:r>
    </w:p>
    <w:p>
      <w:pPr>
        <w:pStyle w:val="ListParagraph"/>
        <w:numPr>
          <w:ilvl w:val="0"/>
          <w:numId w:val="2"/>
        </w:numPr>
        <w:spacing w:before="40" w:after="40"/>
      </w:pPr>
      <w:r>
        <w:rPr>
          <w:rFonts w:ascii="Arial" w:cs="Arial" w:eastAsia="Arial" w:hAnsi="Arial"/>
          <w:color w:val="212121"/>
          <w:sz w:val="21"/>
          <w:szCs w:val="21"/>
        </w:rPr>
        <w:t xml:space="preserve">Automated EOSB calculation as per Labour Law Article 39</w:t>
      </w:r>
    </w:p>
    <w:p>
      <w:pPr>
        <w:pStyle w:val="ListParagraph"/>
        <w:numPr>
          <w:ilvl w:val="0"/>
          <w:numId w:val="2"/>
        </w:numPr>
        <w:spacing w:before="40" w:after="40"/>
      </w:pPr>
      <w:r>
        <w:rPr>
          <w:rFonts w:ascii="Arial" w:cs="Arial" w:eastAsia="Arial" w:hAnsi="Arial"/>
          <w:color w:val="212121"/>
          <w:sz w:val="21"/>
          <w:szCs w:val="21"/>
        </w:rPr>
        <w:t xml:space="preserve">Notice period tracking and in-lieu payment computation</w:t>
      </w:r>
    </w:p>
    <w:p>
      <w:pPr>
        <w:pStyle w:val="ListParagraph"/>
        <w:numPr>
          <w:ilvl w:val="0"/>
          <w:numId w:val="2"/>
        </w:numPr>
        <w:spacing w:before="40" w:after="40"/>
      </w:pPr>
      <w:r>
        <w:rPr>
          <w:rFonts w:ascii="Arial" w:cs="Arial" w:eastAsia="Arial" w:hAnsi="Arial"/>
          <w:color w:val="212121"/>
          <w:sz w:val="21"/>
          <w:szCs w:val="21"/>
        </w:rPr>
        <w:t xml:space="preserve">Clearance checklist and asset return management</w:t>
      </w:r>
    </w:p>
    <w:p>
      <w:pPr>
        <w:pStyle w:val="ListParagraph"/>
        <w:numPr>
          <w:ilvl w:val="0"/>
          <w:numId w:val="2"/>
        </w:numPr>
        <w:spacing w:before="40" w:after="40"/>
      </w:pPr>
      <w:r>
        <w:rPr>
          <w:rFonts w:ascii="Arial" w:cs="Arial" w:eastAsia="Arial" w:hAnsi="Arial"/>
          <w:color w:val="212121"/>
          <w:sz w:val="21"/>
          <w:szCs w:val="21"/>
        </w:rPr>
        <w:t xml:space="preserve">Final settlement generation with all statutory deductions</w:t>
      </w:r>
    </w:p>
    <w:p>
      <w:pPr>
        <w:pStyle w:val="ListParagraph"/>
        <w:numPr>
          <w:ilvl w:val="0"/>
          <w:numId w:val="2"/>
        </w:numPr>
        <w:spacing w:before="40" w:after="40"/>
      </w:pPr>
      <w:r>
        <w:rPr>
          <w:rFonts w:ascii="Arial" w:cs="Arial" w:eastAsia="Arial" w:hAnsi="Arial"/>
          <w:color w:val="212121"/>
          <w:sz w:val="21"/>
          <w:szCs w:val="21"/>
        </w:rPr>
        <w:t xml:space="preserve">Experience letter and NOC generation</w:t>
      </w:r>
    </w:p>
    <w:p>
      <w:pPr>
        <w:pStyle w:val="ListParagraph"/>
        <w:numPr>
          <w:ilvl w:val="0"/>
          <w:numId w:val="2"/>
        </w:numPr>
        <w:spacing w:before="40" w:after="40"/>
      </w:pPr>
      <w:r>
        <w:rPr>
          <w:rFonts w:ascii="Arial" w:cs="Arial" w:eastAsia="Arial" w:hAnsi="Arial"/>
          <w:color w:val="212121"/>
          <w:sz w:val="21"/>
          <w:szCs w:val="21"/>
        </w:rPr>
        <w:t xml:space="preserve">PASI Form 10 (termination) auto-generation</w:t>
      </w:r>
    </w:p>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4. Payroll Management System</w:t>
      </w:r>
    </w:p>
    <w:p>
      <w:pPr>
        <w:pStyle w:val="Heading2"/>
        <w:spacing w:before="280" w:after="120"/>
      </w:pPr>
      <w:r>
        <w:rPr>
          <w:rFonts w:ascii="Arial" w:cs="Arial" w:eastAsia="Arial" w:hAnsi="Arial"/>
          <w:b/>
          <w:bCs/>
          <w:color w:val="1B3A6B"/>
          <w:sz w:val="26"/>
          <w:szCs w:val="26"/>
        </w:rPr>
        <w:t xml:space="preserve">4.1 Payroll Engine &amp; Configuration</w:t>
      </w:r>
    </w:p>
    <w:p>
      <w:pPr>
        <w:spacing w:before="60" w:after="60"/>
        <w:jc w:val="left"/>
      </w:pPr>
      <w:r>
        <w:rPr>
          <w:rFonts w:ascii="Arial" w:cs="Arial" w:eastAsia="Arial" w:hAnsi="Arial"/>
          <w:b w:val="false"/>
          <w:bCs w:val="false"/>
          <w:i w:val="false"/>
          <w:iCs w:val="false"/>
          <w:color w:val="212121"/>
          <w:sz w:val="21"/>
          <w:szCs w:val="21"/>
        </w:rPr>
        <w:t xml:space="preserve">The payroll engine supports full multi-entity payroll processing in Omani Rial (OMR) with multi-currency options for expatriate allowances and air ticket calculations:</w:t>
      </w:r>
    </w:p>
    <w:p>
      <w:pPr>
        <w:pStyle w:val="ListParagraph"/>
        <w:numPr>
          <w:ilvl w:val="0"/>
          <w:numId w:val="2"/>
        </w:numPr>
        <w:spacing w:before="40" w:after="40"/>
      </w:pPr>
      <w:r>
        <w:rPr>
          <w:rFonts w:ascii="Arial" w:cs="Arial" w:eastAsia="Arial" w:hAnsi="Arial"/>
          <w:color w:val="212121"/>
          <w:sz w:val="21"/>
          <w:szCs w:val="21"/>
        </w:rPr>
        <w:t xml:space="preserve">Configurable salary structures: basic salary, housing allowance, transport allowance, other allowances</w:t>
      </w:r>
    </w:p>
    <w:p>
      <w:pPr>
        <w:pStyle w:val="ListParagraph"/>
        <w:numPr>
          <w:ilvl w:val="0"/>
          <w:numId w:val="2"/>
        </w:numPr>
        <w:spacing w:before="40" w:after="40"/>
      </w:pPr>
      <w:r>
        <w:rPr>
          <w:rFonts w:ascii="Arial" w:cs="Arial" w:eastAsia="Arial" w:hAnsi="Arial"/>
          <w:color w:val="212121"/>
          <w:sz w:val="21"/>
          <w:szCs w:val="21"/>
        </w:rPr>
        <w:t xml:space="preserve">Grade-based salary scales with automatic step increments</w:t>
      </w:r>
    </w:p>
    <w:p>
      <w:pPr>
        <w:pStyle w:val="ListParagraph"/>
        <w:numPr>
          <w:ilvl w:val="0"/>
          <w:numId w:val="2"/>
        </w:numPr>
        <w:spacing w:before="40" w:after="40"/>
      </w:pPr>
      <w:r>
        <w:rPr>
          <w:rFonts w:ascii="Arial" w:cs="Arial" w:eastAsia="Arial" w:hAnsi="Arial"/>
          <w:color w:val="212121"/>
          <w:sz w:val="21"/>
          <w:szCs w:val="21"/>
        </w:rPr>
        <w:t xml:space="preserve">Multiple payroll calendars: monthly, bi-monthly, weekly</w:t>
      </w:r>
    </w:p>
    <w:p>
      <w:pPr>
        <w:pStyle w:val="ListParagraph"/>
        <w:numPr>
          <w:ilvl w:val="0"/>
          <w:numId w:val="2"/>
        </w:numPr>
        <w:spacing w:before="40" w:after="40"/>
      </w:pPr>
      <w:r>
        <w:rPr>
          <w:rFonts w:ascii="Arial" w:cs="Arial" w:eastAsia="Arial" w:hAnsi="Arial"/>
          <w:color w:val="212121"/>
          <w:sz w:val="21"/>
          <w:szCs w:val="21"/>
        </w:rPr>
        <w:t xml:space="preserve">Mid-month advance processing with final settlement reconciliation</w:t>
      </w:r>
    </w:p>
    <w:p>
      <w:pPr>
        <w:pStyle w:val="ListParagraph"/>
        <w:numPr>
          <w:ilvl w:val="0"/>
          <w:numId w:val="2"/>
        </w:numPr>
        <w:spacing w:before="40" w:after="40"/>
      </w:pPr>
      <w:r>
        <w:rPr>
          <w:rFonts w:ascii="Arial" w:cs="Arial" w:eastAsia="Arial" w:hAnsi="Arial"/>
          <w:color w:val="212121"/>
          <w:sz w:val="21"/>
          <w:szCs w:val="21"/>
        </w:rPr>
        <w:t xml:space="preserve">Bulk payroll processing with parallel computation for large headcounts</w:t>
      </w:r>
    </w:p>
    <w:p>
      <w:pPr>
        <w:pStyle w:val="ListParagraph"/>
        <w:numPr>
          <w:ilvl w:val="0"/>
          <w:numId w:val="2"/>
        </w:numPr>
        <w:spacing w:before="40" w:after="40"/>
      </w:pPr>
      <w:r>
        <w:rPr>
          <w:rFonts w:ascii="Arial" w:cs="Arial" w:eastAsia="Arial" w:hAnsi="Arial"/>
          <w:color w:val="212121"/>
          <w:sz w:val="21"/>
          <w:szCs w:val="21"/>
        </w:rPr>
        <w:t xml:space="preserve">Payroll simulation and what-if analysis before final run</w:t>
      </w:r>
    </w:p>
    <w:p>
      <w:pPr>
        <w:pStyle w:val="ListParagraph"/>
        <w:numPr>
          <w:ilvl w:val="0"/>
          <w:numId w:val="2"/>
        </w:numPr>
        <w:spacing w:before="40" w:after="40"/>
      </w:pPr>
      <w:r>
        <w:rPr>
          <w:rFonts w:ascii="Arial" w:cs="Arial" w:eastAsia="Arial" w:hAnsi="Arial"/>
          <w:color w:val="212121"/>
          <w:sz w:val="21"/>
          <w:szCs w:val="21"/>
        </w:rPr>
        <w:t xml:space="preserve">Payroll lock and unlock with audit log</w:t>
      </w:r>
    </w:p>
    <w:p>
      <w:pPr>
        <w:pStyle w:val="ListParagraph"/>
        <w:numPr>
          <w:ilvl w:val="0"/>
          <w:numId w:val="2"/>
        </w:numPr>
        <w:spacing w:before="40" w:after="40"/>
      </w:pPr>
      <w:r>
        <w:rPr>
          <w:rFonts w:ascii="Arial" w:cs="Arial" w:eastAsia="Arial" w:hAnsi="Arial"/>
          <w:color w:val="212121"/>
          <w:sz w:val="21"/>
          <w:szCs w:val="21"/>
        </w:rPr>
        <w:t xml:space="preserve">Multi-company payroll consolidation and inter-company recharges</w:t>
      </w:r>
    </w:p>
    <w:p>
      <w:pPr>
        <w:pStyle w:val="Heading2"/>
        <w:spacing w:before="280" w:after="120"/>
      </w:pPr>
      <w:r>
        <w:rPr>
          <w:rFonts w:ascii="Arial" w:cs="Arial" w:eastAsia="Arial" w:hAnsi="Arial"/>
          <w:b/>
          <w:bCs/>
          <w:color w:val="1B3A6B"/>
          <w:sz w:val="26"/>
          <w:szCs w:val="26"/>
        </w:rPr>
        <w:t xml:space="preserve">4.2 Earnings &amp;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Earnings (Configurable)</w:t>
            </w:r>
          </w:p>
        </w:tc>
        <w:tc>
          <w:tcPr>
            <w:tcW w:type="dxa" w:w="46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Deductions (Configurable)</w:t>
            </w:r>
          </w:p>
        </w:tc>
      </w:tr>
      <w:tr>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Basic Salary</w:t>
            </w:r>
          </w:p>
        </w:tc>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PASI/SOCPA Employee Contribution</w:t>
            </w:r>
          </w:p>
        </w:tc>
      </w:tr>
      <w:tr>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Housing Allowance</w:t>
            </w:r>
          </w:p>
        </w:tc>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Advance Salary Recovery</w:t>
            </w:r>
          </w:p>
        </w:tc>
      </w:tr>
      <w:tr>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Transport Allowance</w:t>
            </w:r>
          </w:p>
        </w:tc>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Loan / Mortgage Deductions</w:t>
            </w:r>
          </w:p>
        </w:tc>
      </w:tr>
      <w:tr>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Phone / Communication Allowance</w:t>
            </w:r>
          </w:p>
        </w:tc>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Leave Without Pay Deduction</w:t>
            </w:r>
          </w:p>
        </w:tc>
      </w:tr>
      <w:tr>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Education Allowance</w:t>
            </w:r>
          </w:p>
        </w:tc>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Absence / Late Deduction</w:t>
            </w:r>
          </w:p>
        </w:tc>
      </w:tr>
      <w:tr>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Food Allowance</w:t>
            </w:r>
          </w:p>
        </w:tc>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Staff Accommodation Deductions</w:t>
            </w:r>
          </w:p>
        </w:tc>
      </w:tr>
      <w:tr>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Overtime Pay (125%/150%/200%)</w:t>
            </w:r>
          </w:p>
        </w:tc>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Staff Canteen / Facilities Deductions</w:t>
            </w:r>
          </w:p>
        </w:tc>
      </w:tr>
      <w:tr>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Holiday Pay</w:t>
            </w:r>
          </w:p>
        </w:tc>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Medical Insurance Premium</w:t>
            </w:r>
          </w:p>
        </w:tc>
      </w:tr>
      <w:tr>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Shift Allowance / Night Differential</w:t>
            </w:r>
          </w:p>
        </w:tc>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Provident Fund (if applicable)</w:t>
            </w:r>
          </w:p>
        </w:tc>
      </w:tr>
      <w:tr>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Incentive / Commission</w:t>
            </w:r>
          </w:p>
        </w:tc>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Union Dues (if applicable)</w:t>
            </w:r>
          </w:p>
        </w:tc>
      </w:tr>
      <w:tr>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Annual Increment</w:t>
            </w:r>
          </w:p>
        </w:tc>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Garnishment Orders</w:t>
            </w:r>
          </w:p>
        </w:tc>
      </w:tr>
      <w:tr>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Bonus / Performance Pay</w:t>
            </w:r>
          </w:p>
        </w:tc>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Other Voluntary Deductions</w:t>
            </w:r>
          </w:p>
        </w:tc>
      </w:tr>
      <w:tr>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Air Ticket Encashment</w:t>
            </w:r>
          </w:p>
        </w:tc>
        <w:tc>
          <w:tcPr>
            <w:tcW w:type="dxa" w:w="46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Income Tax (for expat countries with DTA)</w:t>
            </w:r>
          </w:p>
        </w:tc>
      </w:tr>
      <w:tr>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Arrears / Back Pay</w:t>
            </w:r>
          </w:p>
        </w:tc>
        <w:tc>
          <w:tcPr>
            <w:tcW w:type="dxa" w:w="46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Court-ordered Deductions</w:t>
            </w:r>
          </w:p>
        </w:tc>
      </w:tr>
    </w:tbl>
    <w:p>
      <w:pPr>
        <w:pStyle w:val="Heading2"/>
        <w:spacing w:before="280" w:after="120"/>
      </w:pPr>
      <w:r>
        <w:rPr>
          <w:rFonts w:ascii="Arial" w:cs="Arial" w:eastAsia="Arial" w:hAnsi="Arial"/>
          <w:b/>
          <w:bCs/>
          <w:color w:val="1B3A6B"/>
          <w:sz w:val="26"/>
          <w:szCs w:val="26"/>
        </w:rPr>
        <w:t xml:space="preserve">4.3 WPS Compliance &amp; Bank Integration</w:t>
      </w:r>
    </w:p>
    <w:p>
      <w:pPr>
        <w:spacing w:before="120" w:after="60"/>
        <w:jc w:val="left"/>
      </w:pPr>
      <w:r>
        <w:rPr>
          <w:rFonts w:ascii="Arial" w:cs="Arial" w:eastAsia="Arial" w:hAnsi="Arial"/>
          <w:b w:val="false"/>
          <w:bCs w:val="false"/>
          <w:i w:val="false"/>
          <w:iCs w:val="false"/>
          <w:color w:val="212121"/>
          <w:sz w:val="21"/>
          <w:szCs w:val="21"/>
        </w:rPr>
        <w:t xml:space="preserve">The WPS module is the most critical compliance feature. The system provides end-to-end WPS automation:</w:t>
      </w:r>
    </w:p>
    <w:p>
      <w:pPr>
        <w:pStyle w:val="ListParagraph"/>
        <w:numPr>
          <w:ilvl w:val="0"/>
          <w:numId w:val="2"/>
        </w:numPr>
        <w:spacing w:before="40" w:after="40"/>
      </w:pPr>
      <w:r>
        <w:rPr>
          <w:rFonts w:ascii="Arial" w:cs="Arial" w:eastAsia="Arial" w:hAnsi="Arial"/>
          <w:color w:val="212121"/>
          <w:sz w:val="21"/>
          <w:szCs w:val="21"/>
        </w:rPr>
        <w:t xml:space="preserve">Automatic generation of CBO-standard Salary Information File (SIF)</w:t>
      </w:r>
    </w:p>
    <w:p>
      <w:pPr>
        <w:pStyle w:val="ListParagraph"/>
        <w:numPr>
          <w:ilvl w:val="0"/>
          <w:numId w:val="2"/>
        </w:numPr>
        <w:spacing w:before="40" w:after="40"/>
      </w:pPr>
      <w:r>
        <w:rPr>
          <w:rFonts w:ascii="Arial" w:cs="Arial" w:eastAsia="Arial" w:hAnsi="Arial"/>
          <w:color w:val="212121"/>
          <w:sz w:val="21"/>
          <w:szCs w:val="21"/>
        </w:rPr>
        <w:t xml:space="preserve">Bank-specific EFT file formats: Bank Muscat, National Bank of Oman, HSBC, Ahli Bank, Sohar International, and all other WPS-accredited banks</w:t>
      </w:r>
    </w:p>
    <w:p>
      <w:pPr>
        <w:pStyle w:val="ListParagraph"/>
        <w:numPr>
          <w:ilvl w:val="0"/>
          <w:numId w:val="2"/>
        </w:numPr>
        <w:spacing w:before="40" w:after="40"/>
      </w:pPr>
      <w:r>
        <w:rPr>
          <w:rFonts w:ascii="Arial" w:cs="Arial" w:eastAsia="Arial" w:hAnsi="Arial"/>
          <w:color w:val="212121"/>
          <w:sz w:val="21"/>
          <w:szCs w:val="21"/>
        </w:rPr>
        <w:t xml:space="preserve">WPS calendar management with warning alerts for payment deadline approach</w:t>
      </w:r>
    </w:p>
    <w:p>
      <w:pPr>
        <w:pStyle w:val="ListParagraph"/>
        <w:numPr>
          <w:ilvl w:val="0"/>
          <w:numId w:val="2"/>
        </w:numPr>
        <w:spacing w:before="40" w:after="40"/>
      </w:pPr>
      <w:r>
        <w:rPr>
          <w:rFonts w:ascii="Arial" w:cs="Arial" w:eastAsia="Arial" w:hAnsi="Arial"/>
          <w:color w:val="212121"/>
          <w:sz w:val="21"/>
          <w:szCs w:val="21"/>
        </w:rPr>
        <w:t xml:space="preserve">IBAN validation for all employee bank accounts</w:t>
      </w:r>
    </w:p>
    <w:p>
      <w:pPr>
        <w:pStyle w:val="ListParagraph"/>
        <w:numPr>
          <w:ilvl w:val="0"/>
          <w:numId w:val="2"/>
        </w:numPr>
        <w:spacing w:before="40" w:after="40"/>
      </w:pPr>
      <w:r>
        <w:rPr>
          <w:rFonts w:ascii="Arial" w:cs="Arial" w:eastAsia="Arial" w:hAnsi="Arial"/>
          <w:color w:val="212121"/>
          <w:sz w:val="21"/>
          <w:szCs w:val="21"/>
        </w:rPr>
        <w:t xml:space="preserve">WPS MOL (Ministry of Labour) upload confirmation tracking</w:t>
      </w:r>
    </w:p>
    <w:p>
      <w:pPr>
        <w:pStyle w:val="ListParagraph"/>
        <w:numPr>
          <w:ilvl w:val="0"/>
          <w:numId w:val="2"/>
        </w:numPr>
        <w:spacing w:before="40" w:after="40"/>
      </w:pPr>
      <w:r>
        <w:rPr>
          <w:rFonts w:ascii="Arial" w:cs="Arial" w:eastAsia="Arial" w:hAnsi="Arial"/>
          <w:color w:val="212121"/>
          <w:sz w:val="21"/>
          <w:szCs w:val="21"/>
        </w:rPr>
        <w:t xml:space="preserve">Partial payment and exception handling for resigned employees</w:t>
      </w:r>
    </w:p>
    <w:p>
      <w:pPr>
        <w:pStyle w:val="ListParagraph"/>
        <w:numPr>
          <w:ilvl w:val="0"/>
          <w:numId w:val="2"/>
        </w:numPr>
        <w:spacing w:before="40" w:after="40"/>
      </w:pPr>
      <w:r>
        <w:rPr>
          <w:rFonts w:ascii="Arial" w:cs="Arial" w:eastAsia="Arial" w:hAnsi="Arial"/>
          <w:color w:val="212121"/>
          <w:sz w:val="21"/>
          <w:szCs w:val="21"/>
        </w:rPr>
        <w:t xml:space="preserve">WPS compliance dashboard with green/amber/red status indicators</w:t>
      </w:r>
    </w:p>
    <w:p>
      <w:pPr>
        <w:pStyle w:val="ListParagraph"/>
        <w:numPr>
          <w:ilvl w:val="0"/>
          <w:numId w:val="2"/>
        </w:numPr>
        <w:spacing w:before="40" w:after="40"/>
      </w:pPr>
      <w:r>
        <w:rPr>
          <w:rFonts w:ascii="Arial" w:cs="Arial" w:eastAsia="Arial" w:hAnsi="Arial"/>
          <w:color w:val="212121"/>
          <w:sz w:val="21"/>
          <w:szCs w:val="21"/>
        </w:rPr>
        <w:t xml:space="preserve">Historical WPS file archive for audit purposes</w:t>
      </w:r>
    </w:p>
    <w:p>
      <w:pPr>
        <w:pStyle w:val="Heading2"/>
        <w:spacing w:before="280" w:after="120"/>
      </w:pPr>
      <w:r>
        <w:rPr>
          <w:rFonts w:ascii="Arial" w:cs="Arial" w:eastAsia="Arial" w:hAnsi="Arial"/>
          <w:b/>
          <w:bCs/>
          <w:color w:val="1B3A6B"/>
          <w:sz w:val="26"/>
          <w:szCs w:val="26"/>
        </w:rPr>
        <w:t xml:space="preserve">4.4 PASI/SOCPA Payroll Integration</w:t>
      </w:r>
    </w:p>
    <w:p>
      <w:pPr>
        <w:pStyle w:val="ListParagraph"/>
        <w:numPr>
          <w:ilvl w:val="0"/>
          <w:numId w:val="2"/>
        </w:numPr>
        <w:spacing w:before="40" w:after="40"/>
      </w:pPr>
      <w:r>
        <w:rPr>
          <w:rFonts w:ascii="Arial" w:cs="Arial" w:eastAsia="Arial" w:hAnsi="Arial"/>
          <w:color w:val="212121"/>
          <w:sz w:val="21"/>
          <w:szCs w:val="21"/>
        </w:rPr>
        <w:t xml:space="preserve">Automatic calculation of employee and employer PASI contributions</w:t>
      </w:r>
    </w:p>
    <w:p>
      <w:pPr>
        <w:pStyle w:val="ListParagraph"/>
        <w:numPr>
          <w:ilvl w:val="0"/>
          <w:numId w:val="2"/>
        </w:numPr>
        <w:spacing w:before="40" w:after="40"/>
      </w:pPr>
      <w:r>
        <w:rPr>
          <w:rFonts w:ascii="Arial" w:cs="Arial" w:eastAsia="Arial" w:hAnsi="Arial"/>
          <w:color w:val="212121"/>
          <w:sz w:val="21"/>
          <w:szCs w:val="21"/>
        </w:rPr>
        <w:t xml:space="preserve">Contribution base: basic salary + housing allowance (capped at OMR 1,500/month)</w:t>
      </w:r>
    </w:p>
    <w:p>
      <w:pPr>
        <w:pStyle w:val="ListParagraph"/>
        <w:numPr>
          <w:ilvl w:val="0"/>
          <w:numId w:val="2"/>
        </w:numPr>
        <w:spacing w:before="40" w:after="40"/>
      </w:pPr>
      <w:r>
        <w:rPr>
          <w:rFonts w:ascii="Arial" w:cs="Arial" w:eastAsia="Arial" w:hAnsi="Arial"/>
          <w:color w:val="212121"/>
          <w:sz w:val="21"/>
          <w:szCs w:val="21"/>
        </w:rPr>
        <w:t xml:space="preserve">New joiner registration schedule (Form 4)</w:t>
      </w:r>
    </w:p>
    <w:p>
      <w:pPr>
        <w:pStyle w:val="ListParagraph"/>
        <w:numPr>
          <w:ilvl w:val="0"/>
          <w:numId w:val="2"/>
        </w:numPr>
        <w:spacing w:before="40" w:after="40"/>
      </w:pPr>
      <w:r>
        <w:rPr>
          <w:rFonts w:ascii="Arial" w:cs="Arial" w:eastAsia="Arial" w:hAnsi="Arial"/>
          <w:color w:val="212121"/>
          <w:sz w:val="21"/>
          <w:szCs w:val="21"/>
        </w:rPr>
        <w:t xml:space="preserve">Monthly contribution schedule generation in PASI portal format</w:t>
      </w:r>
    </w:p>
    <w:p>
      <w:pPr>
        <w:pStyle w:val="ListParagraph"/>
        <w:numPr>
          <w:ilvl w:val="0"/>
          <w:numId w:val="2"/>
        </w:numPr>
        <w:spacing w:before="40" w:after="40"/>
      </w:pPr>
      <w:r>
        <w:rPr>
          <w:rFonts w:ascii="Arial" w:cs="Arial" w:eastAsia="Arial" w:hAnsi="Arial"/>
          <w:color w:val="212121"/>
          <w:sz w:val="21"/>
          <w:szCs w:val="21"/>
        </w:rPr>
        <w:t xml:space="preserve">Salary change notification (Form 6) triggered by payroll master changes</w:t>
      </w:r>
    </w:p>
    <w:p>
      <w:pPr>
        <w:pStyle w:val="ListParagraph"/>
        <w:numPr>
          <w:ilvl w:val="0"/>
          <w:numId w:val="2"/>
        </w:numPr>
        <w:spacing w:before="40" w:after="40"/>
      </w:pPr>
      <w:r>
        <w:rPr>
          <w:rFonts w:ascii="Arial" w:cs="Arial" w:eastAsia="Arial" w:hAnsi="Arial"/>
          <w:color w:val="212121"/>
          <w:sz w:val="21"/>
          <w:szCs w:val="21"/>
        </w:rPr>
        <w:t xml:space="preserve">PASI reconciliation report comparing payroll contributions to PASI statements</w:t>
      </w:r>
    </w:p>
    <w:p>
      <w:pPr>
        <w:pStyle w:val="ListParagraph"/>
        <w:numPr>
          <w:ilvl w:val="0"/>
          <w:numId w:val="2"/>
        </w:numPr>
        <w:spacing w:before="40" w:after="40"/>
      </w:pPr>
      <w:r>
        <w:rPr>
          <w:rFonts w:ascii="Arial" w:cs="Arial" w:eastAsia="Arial" w:hAnsi="Arial"/>
          <w:color w:val="212121"/>
          <w:sz w:val="21"/>
          <w:szCs w:val="21"/>
        </w:rPr>
        <w:t xml:space="preserve">Annual PASI certificate of contribution generation per employee</w:t>
      </w:r>
    </w:p>
    <w:p>
      <w:pPr>
        <w:pStyle w:val="Heading2"/>
        <w:spacing w:before="280" w:after="120"/>
      </w:pPr>
      <w:r>
        <w:rPr>
          <w:rFonts w:ascii="Arial" w:cs="Arial" w:eastAsia="Arial" w:hAnsi="Arial"/>
          <w:b/>
          <w:bCs/>
          <w:color w:val="1B3A6B"/>
          <w:sz w:val="26"/>
          <w:szCs w:val="26"/>
        </w:rPr>
        <w:t xml:space="preserve">4.5 End of Service Benefit (EOSB) Calculation</w:t>
      </w:r>
    </w:p>
    <w:p>
      <w:pPr>
        <w:spacing w:before="60" w:after="60"/>
        <w:jc w:val="left"/>
      </w:pPr>
      <w:r>
        <w:rPr>
          <w:rFonts w:ascii="Arial" w:cs="Arial" w:eastAsia="Arial" w:hAnsi="Arial"/>
          <w:b w:val="false"/>
          <w:bCs w:val="false"/>
          <w:i w:val="false"/>
          <w:iCs w:val="false"/>
          <w:color w:val="212121"/>
          <w:sz w:val="21"/>
          <w:szCs w:val="21"/>
        </w:rPr>
        <w:t xml:space="preserve">Automated EOSB computation per Oman Labour Law Article 39:</w:t>
      </w:r>
    </w:p>
    <w:p>
      <w:pPr>
        <w:pStyle w:val="ListParagraph"/>
        <w:numPr>
          <w:ilvl w:val="0"/>
          <w:numId w:val="2"/>
        </w:numPr>
        <w:spacing w:before="40" w:after="40"/>
      </w:pPr>
      <w:r>
        <w:rPr>
          <w:rFonts w:ascii="Arial" w:cs="Arial" w:eastAsia="Arial" w:hAnsi="Arial"/>
          <w:color w:val="212121"/>
          <w:sz w:val="21"/>
          <w:szCs w:val="21"/>
        </w:rPr>
        <w:t xml:space="preserve">Less than 3 years: 15 working days basic salary per year</w:t>
      </w:r>
    </w:p>
    <w:p>
      <w:pPr>
        <w:pStyle w:val="ListParagraph"/>
        <w:numPr>
          <w:ilvl w:val="0"/>
          <w:numId w:val="2"/>
        </w:numPr>
        <w:spacing w:before="40" w:after="40"/>
      </w:pPr>
      <w:r>
        <w:rPr>
          <w:rFonts w:ascii="Arial" w:cs="Arial" w:eastAsia="Arial" w:hAnsi="Arial"/>
          <w:color w:val="212121"/>
          <w:sz w:val="21"/>
          <w:szCs w:val="21"/>
        </w:rPr>
        <w:t xml:space="preserve">3 years and above: 1 month basic salary per year</w:t>
      </w:r>
    </w:p>
    <w:p>
      <w:pPr>
        <w:pStyle w:val="ListParagraph"/>
        <w:numPr>
          <w:ilvl w:val="0"/>
          <w:numId w:val="2"/>
        </w:numPr>
        <w:spacing w:before="40" w:after="40"/>
      </w:pPr>
      <w:r>
        <w:rPr>
          <w:rFonts w:ascii="Arial" w:cs="Arial" w:eastAsia="Arial" w:hAnsi="Arial"/>
          <w:color w:val="212121"/>
          <w:sz w:val="21"/>
          <w:szCs w:val="21"/>
        </w:rPr>
        <w:t xml:space="preserve">Pro-rated calculation for incomplete years</w:t>
      </w:r>
    </w:p>
    <w:p>
      <w:pPr>
        <w:pStyle w:val="ListParagraph"/>
        <w:numPr>
          <w:ilvl w:val="0"/>
          <w:numId w:val="2"/>
        </w:numPr>
        <w:spacing w:before="40" w:after="40"/>
      </w:pPr>
      <w:r>
        <w:rPr>
          <w:rFonts w:ascii="Arial" w:cs="Arial" w:eastAsia="Arial" w:hAnsi="Arial"/>
          <w:color w:val="212121"/>
          <w:sz w:val="21"/>
          <w:szCs w:val="21"/>
        </w:rPr>
        <w:t xml:space="preserve">Resignation reduction factors: 50% if service 1–3 years; 75% if 3–5 years; 100% if 5+ years</w:t>
      </w:r>
    </w:p>
    <w:p>
      <w:pPr>
        <w:pStyle w:val="ListParagraph"/>
        <w:numPr>
          <w:ilvl w:val="0"/>
          <w:numId w:val="2"/>
        </w:numPr>
        <w:spacing w:before="40" w:after="40"/>
      </w:pPr>
      <w:r>
        <w:rPr>
          <w:rFonts w:ascii="Arial" w:cs="Arial" w:eastAsia="Arial" w:hAnsi="Arial"/>
          <w:color w:val="212121"/>
          <w:sz w:val="21"/>
          <w:szCs w:val="21"/>
        </w:rPr>
        <w:t xml:space="preserve">EOSB provision accounting report for CFO/Finance purposes</w:t>
      </w:r>
    </w:p>
    <w:p>
      <w:pPr>
        <w:pStyle w:val="ListParagraph"/>
        <w:numPr>
          <w:ilvl w:val="0"/>
          <w:numId w:val="2"/>
        </w:numPr>
        <w:spacing w:before="40" w:after="40"/>
      </w:pPr>
      <w:r>
        <w:rPr>
          <w:rFonts w:ascii="Arial" w:cs="Arial" w:eastAsia="Arial" w:hAnsi="Arial"/>
          <w:color w:val="212121"/>
          <w:sz w:val="21"/>
          <w:szCs w:val="21"/>
        </w:rPr>
        <w:t xml:space="preserve">Automated EOSB fund liability report with actuarial aging</w:t>
      </w:r>
    </w:p>
    <w:p>
      <w:pPr>
        <w:pStyle w:val="Heading2"/>
        <w:spacing w:before="280" w:after="120"/>
      </w:pPr>
      <w:r>
        <w:rPr>
          <w:rFonts w:ascii="Arial" w:cs="Arial" w:eastAsia="Arial" w:hAnsi="Arial"/>
          <w:b/>
          <w:bCs/>
          <w:color w:val="1B3A6B"/>
          <w:sz w:val="26"/>
          <w:szCs w:val="26"/>
        </w:rPr>
        <w:t xml:space="preserve">4.6 Payslip &amp; Reporting</w:t>
      </w:r>
    </w:p>
    <w:p>
      <w:pPr>
        <w:pStyle w:val="ListParagraph"/>
        <w:numPr>
          <w:ilvl w:val="0"/>
          <w:numId w:val="2"/>
        </w:numPr>
        <w:spacing w:before="40" w:after="40"/>
      </w:pPr>
      <w:r>
        <w:rPr>
          <w:rFonts w:ascii="Arial" w:cs="Arial" w:eastAsia="Arial" w:hAnsi="Arial"/>
          <w:color w:val="212121"/>
          <w:sz w:val="21"/>
          <w:szCs w:val="21"/>
        </w:rPr>
        <w:t xml:space="preserve">Bilingual payslip (English/Arabic) with digital delivery via ESS portal and email</w:t>
      </w:r>
    </w:p>
    <w:p>
      <w:pPr>
        <w:pStyle w:val="ListParagraph"/>
        <w:numPr>
          <w:ilvl w:val="0"/>
          <w:numId w:val="2"/>
        </w:numPr>
        <w:spacing w:before="40" w:after="40"/>
      </w:pPr>
      <w:r>
        <w:rPr>
          <w:rFonts w:ascii="Arial" w:cs="Arial" w:eastAsia="Arial" w:hAnsi="Arial"/>
          <w:color w:val="212121"/>
          <w:sz w:val="21"/>
          <w:szCs w:val="21"/>
        </w:rPr>
        <w:t xml:space="preserve">Password-protected PDF payslips with tamper-evident watermarking</w:t>
      </w:r>
    </w:p>
    <w:p>
      <w:pPr>
        <w:pStyle w:val="ListParagraph"/>
        <w:numPr>
          <w:ilvl w:val="0"/>
          <w:numId w:val="2"/>
        </w:numPr>
        <w:spacing w:before="40" w:after="40"/>
      </w:pPr>
      <w:r>
        <w:rPr>
          <w:rFonts w:ascii="Arial" w:cs="Arial" w:eastAsia="Arial" w:hAnsi="Arial"/>
          <w:color w:val="212121"/>
          <w:sz w:val="21"/>
          <w:szCs w:val="21"/>
        </w:rPr>
        <w:t xml:space="preserve">Salary certificate and bank letter generation</w:t>
      </w:r>
    </w:p>
    <w:p>
      <w:pPr>
        <w:pStyle w:val="ListParagraph"/>
        <w:numPr>
          <w:ilvl w:val="0"/>
          <w:numId w:val="2"/>
        </w:numPr>
        <w:spacing w:before="40" w:after="40"/>
      </w:pPr>
      <w:r>
        <w:rPr>
          <w:rFonts w:ascii="Arial" w:cs="Arial" w:eastAsia="Arial" w:hAnsi="Arial"/>
          <w:color w:val="212121"/>
          <w:sz w:val="21"/>
          <w:szCs w:val="21"/>
        </w:rPr>
        <w:t xml:space="preserve">Payroll summary, variance analysis (month-over-month), and cost centre reports</w:t>
      </w:r>
    </w:p>
    <w:p>
      <w:pPr>
        <w:pStyle w:val="ListParagraph"/>
        <w:numPr>
          <w:ilvl w:val="0"/>
          <w:numId w:val="2"/>
        </w:numPr>
        <w:spacing w:before="40" w:after="40"/>
      </w:pPr>
      <w:r>
        <w:rPr>
          <w:rFonts w:ascii="Arial" w:cs="Arial" w:eastAsia="Arial" w:hAnsi="Arial"/>
          <w:color w:val="212121"/>
          <w:sz w:val="21"/>
          <w:szCs w:val="21"/>
        </w:rPr>
        <w:t xml:space="preserve">GL (General Ledger) journal posting file for ERP/accounting integration</w:t>
      </w:r>
    </w:p>
    <w:p>
      <w:pPr>
        <w:pStyle w:val="ListParagraph"/>
        <w:numPr>
          <w:ilvl w:val="0"/>
          <w:numId w:val="2"/>
        </w:numPr>
        <w:spacing w:before="40" w:after="40"/>
      </w:pPr>
      <w:r>
        <w:rPr>
          <w:rFonts w:ascii="Arial" w:cs="Arial" w:eastAsia="Arial" w:hAnsi="Arial"/>
          <w:color w:val="212121"/>
          <w:sz w:val="21"/>
          <w:szCs w:val="21"/>
        </w:rPr>
        <w:t xml:space="preserve">Manpower cost analysis by department, nationality, and job grade</w:t>
      </w:r>
    </w:p>
    <w:p>
      <w:pPr>
        <w:pStyle w:val="ListParagraph"/>
        <w:numPr>
          <w:ilvl w:val="0"/>
          <w:numId w:val="2"/>
        </w:numPr>
        <w:spacing w:before="40" w:after="40"/>
      </w:pPr>
      <w:r>
        <w:rPr>
          <w:rFonts w:ascii="Arial" w:cs="Arial" w:eastAsia="Arial" w:hAnsi="Arial"/>
          <w:color w:val="212121"/>
          <w:sz w:val="21"/>
          <w:szCs w:val="21"/>
        </w:rPr>
        <w:t xml:space="preserve">Total compensation benchmarking reports</w:t>
      </w:r>
    </w:p>
    <w:p>
      <w:pPr>
        <w:pStyle w:val="ListParagraph"/>
        <w:numPr>
          <w:ilvl w:val="0"/>
          <w:numId w:val="2"/>
        </w:numPr>
        <w:spacing w:before="40" w:after="40"/>
      </w:pPr>
      <w:r>
        <w:rPr>
          <w:rFonts w:ascii="Arial" w:cs="Arial" w:eastAsia="Arial" w:hAnsi="Arial"/>
          <w:color w:val="212121"/>
          <w:sz w:val="21"/>
          <w:szCs w:val="21"/>
        </w:rPr>
        <w:t xml:space="preserve">Annual leave encashment report and air ticket liability report</w:t>
      </w:r>
    </w:p>
    <w:p>
      <w:pPr>
        <w:pStyle w:val="Heading2"/>
        <w:spacing w:before="280" w:after="120"/>
      </w:pPr>
      <w:r>
        <w:rPr>
          <w:rFonts w:ascii="Arial" w:cs="Arial" w:eastAsia="Arial" w:hAnsi="Arial"/>
          <w:b/>
          <w:bCs/>
          <w:color w:val="1B3A6B"/>
          <w:sz w:val="26"/>
          <w:szCs w:val="26"/>
        </w:rPr>
        <w:t xml:space="preserve">4.7 Loan &amp; Advance Management</w:t>
      </w:r>
    </w:p>
    <w:p>
      <w:pPr>
        <w:pStyle w:val="ListParagraph"/>
        <w:numPr>
          <w:ilvl w:val="0"/>
          <w:numId w:val="2"/>
        </w:numPr>
        <w:spacing w:before="40" w:after="40"/>
      </w:pPr>
      <w:r>
        <w:rPr>
          <w:rFonts w:ascii="Arial" w:cs="Arial" w:eastAsia="Arial" w:hAnsi="Arial"/>
          <w:color w:val="212121"/>
          <w:sz w:val="21"/>
          <w:szCs w:val="21"/>
        </w:rPr>
        <w:t xml:space="preserve">Salary advance processing with automatic recovery schedule</w:t>
      </w:r>
    </w:p>
    <w:p>
      <w:pPr>
        <w:pStyle w:val="ListParagraph"/>
        <w:numPr>
          <w:ilvl w:val="0"/>
          <w:numId w:val="2"/>
        </w:numPr>
        <w:spacing w:before="40" w:after="40"/>
      </w:pPr>
      <w:r>
        <w:rPr>
          <w:rFonts w:ascii="Arial" w:cs="Arial" w:eastAsia="Arial" w:hAnsi="Arial"/>
          <w:color w:val="212121"/>
          <w:sz w:val="21"/>
          <w:szCs w:val="21"/>
        </w:rPr>
        <w:t xml:space="preserve">Employee loans with configurable interest rates and tenures</w:t>
      </w:r>
    </w:p>
    <w:p>
      <w:pPr>
        <w:pStyle w:val="ListParagraph"/>
        <w:numPr>
          <w:ilvl w:val="0"/>
          <w:numId w:val="2"/>
        </w:numPr>
        <w:spacing w:before="40" w:after="40"/>
      </w:pPr>
      <w:r>
        <w:rPr>
          <w:rFonts w:ascii="Arial" w:cs="Arial" w:eastAsia="Arial" w:hAnsi="Arial"/>
          <w:color w:val="212121"/>
          <w:sz w:val="21"/>
          <w:szCs w:val="21"/>
        </w:rPr>
        <w:t xml:space="preserve">Emergency advance facility with expedited approval</w:t>
      </w:r>
    </w:p>
    <w:p>
      <w:pPr>
        <w:pStyle w:val="ListParagraph"/>
        <w:numPr>
          <w:ilvl w:val="0"/>
          <w:numId w:val="2"/>
        </w:numPr>
        <w:spacing w:before="40" w:after="40"/>
      </w:pPr>
      <w:r>
        <w:rPr>
          <w:rFonts w:ascii="Arial" w:cs="Arial" w:eastAsia="Arial" w:hAnsi="Arial"/>
          <w:color w:val="212121"/>
          <w:sz w:val="21"/>
          <w:szCs w:val="21"/>
        </w:rPr>
        <w:t xml:space="preserve">Loan eligibility rules engine (tenure, grade, balance check)</w:t>
      </w:r>
    </w:p>
    <w:p>
      <w:pPr>
        <w:pStyle w:val="ListParagraph"/>
        <w:numPr>
          <w:ilvl w:val="0"/>
          <w:numId w:val="2"/>
        </w:numPr>
        <w:spacing w:before="40" w:after="40"/>
      </w:pPr>
      <w:r>
        <w:rPr>
          <w:rFonts w:ascii="Arial" w:cs="Arial" w:eastAsia="Arial" w:hAnsi="Arial"/>
          <w:color w:val="212121"/>
          <w:sz w:val="21"/>
          <w:szCs w:val="21"/>
        </w:rPr>
        <w:t xml:space="preserve">Loan statement and outstanding balance reports</w:t>
      </w:r>
    </w:p>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5. Employee Self-Service (ESS) Portal</w:t>
      </w:r>
    </w:p>
    <w:p>
      <w:pPr>
        <w:pStyle w:val="Heading2"/>
        <w:spacing w:before="280" w:after="120"/>
      </w:pPr>
      <w:r>
        <w:rPr>
          <w:rFonts w:ascii="Arial" w:cs="Arial" w:eastAsia="Arial" w:hAnsi="Arial"/>
          <w:b/>
          <w:bCs/>
          <w:color w:val="1B3A6B"/>
          <w:sz w:val="26"/>
          <w:szCs w:val="26"/>
        </w:rPr>
        <w:t xml:space="preserve">5.1 ESS Overview</w:t>
      </w:r>
    </w:p>
    <w:p>
      <w:pPr>
        <w:spacing w:before="60" w:after="60"/>
        <w:jc w:val="left"/>
      </w:pPr>
      <w:r>
        <w:rPr>
          <w:rFonts w:ascii="Arial" w:cs="Arial" w:eastAsia="Arial" w:hAnsi="Arial"/>
          <w:b w:val="false"/>
          <w:bCs w:val="false"/>
          <w:i w:val="false"/>
          <w:iCs w:val="false"/>
          <w:color w:val="212121"/>
          <w:sz w:val="21"/>
          <w:szCs w:val="21"/>
        </w:rPr>
        <w:t xml:space="preserve">The ESS portal empowers employees to manage their HR activities independently, reducing HR department workload by up to 60% and improving employee experience. Available as a web portal and native mobile app (iOS and Android) in English and Arabic.</w:t>
      </w:r>
    </w:p>
    <w:p>
      <w:pPr>
        <w:pStyle w:val="Heading2"/>
        <w:spacing w:before="280" w:after="120"/>
      </w:pPr>
      <w:r>
        <w:rPr>
          <w:rFonts w:ascii="Arial" w:cs="Arial" w:eastAsia="Arial" w:hAnsi="Arial"/>
          <w:b/>
          <w:bCs/>
          <w:color w:val="1B3A6B"/>
          <w:sz w:val="26"/>
          <w:szCs w:val="26"/>
        </w:rPr>
        <w:t xml:space="preserve">5.2 Employee-Facing Features</w:t>
      </w:r>
    </w:p>
    <w:p>
      <w:pPr>
        <w:pStyle w:val="ListParagraph"/>
        <w:numPr>
          <w:ilvl w:val="0"/>
          <w:numId w:val="2"/>
        </w:numPr>
        <w:spacing w:before="40" w:after="40"/>
      </w:pPr>
      <w:r>
        <w:rPr>
          <w:rFonts w:ascii="Arial" w:cs="Arial" w:eastAsia="Arial" w:hAnsi="Arial"/>
          <w:color w:val="212121"/>
          <w:sz w:val="21"/>
          <w:szCs w:val="21"/>
        </w:rPr>
        <w:t xml:space="preserve">Personal profile view and update (with HR approval for sensitive fields)</w:t>
      </w:r>
    </w:p>
    <w:p>
      <w:pPr>
        <w:pStyle w:val="ListParagraph"/>
        <w:numPr>
          <w:ilvl w:val="0"/>
          <w:numId w:val="2"/>
        </w:numPr>
        <w:spacing w:before="40" w:after="40"/>
      </w:pPr>
      <w:r>
        <w:rPr>
          <w:rFonts w:ascii="Arial" w:cs="Arial" w:eastAsia="Arial" w:hAnsi="Arial"/>
          <w:color w:val="212121"/>
          <w:sz w:val="21"/>
          <w:szCs w:val="21"/>
        </w:rPr>
        <w:t xml:space="preserve">View and download current and historical payslips</w:t>
      </w:r>
    </w:p>
    <w:p>
      <w:pPr>
        <w:pStyle w:val="ListParagraph"/>
        <w:numPr>
          <w:ilvl w:val="0"/>
          <w:numId w:val="2"/>
        </w:numPr>
        <w:spacing w:before="40" w:after="40"/>
      </w:pPr>
      <w:r>
        <w:rPr>
          <w:rFonts w:ascii="Arial" w:cs="Arial" w:eastAsia="Arial" w:hAnsi="Arial"/>
          <w:color w:val="212121"/>
          <w:sz w:val="21"/>
          <w:szCs w:val="21"/>
        </w:rPr>
        <w:t xml:space="preserve">Apply for all leave types with balance visibility and holiday calendar</w:t>
      </w:r>
    </w:p>
    <w:p>
      <w:pPr>
        <w:pStyle w:val="ListParagraph"/>
        <w:numPr>
          <w:ilvl w:val="0"/>
          <w:numId w:val="2"/>
        </w:numPr>
        <w:spacing w:before="40" w:after="40"/>
      </w:pPr>
      <w:r>
        <w:rPr>
          <w:rFonts w:ascii="Arial" w:cs="Arial" w:eastAsia="Arial" w:hAnsi="Arial"/>
          <w:color w:val="212121"/>
          <w:sz w:val="21"/>
          <w:szCs w:val="21"/>
        </w:rPr>
        <w:t xml:space="preserve">View leave balance, history, and encashment entitlement</w:t>
      </w:r>
    </w:p>
    <w:p>
      <w:pPr>
        <w:pStyle w:val="ListParagraph"/>
        <w:numPr>
          <w:ilvl w:val="0"/>
          <w:numId w:val="2"/>
        </w:numPr>
        <w:spacing w:before="40" w:after="40"/>
      </w:pPr>
      <w:r>
        <w:rPr>
          <w:rFonts w:ascii="Arial" w:cs="Arial" w:eastAsia="Arial" w:hAnsi="Arial"/>
          <w:color w:val="212121"/>
          <w:sz w:val="21"/>
          <w:szCs w:val="21"/>
        </w:rPr>
        <w:t xml:space="preserve">Submit and track loan and advance requests</w:t>
      </w:r>
    </w:p>
    <w:p>
      <w:pPr>
        <w:pStyle w:val="ListParagraph"/>
        <w:numPr>
          <w:ilvl w:val="0"/>
          <w:numId w:val="2"/>
        </w:numPr>
        <w:spacing w:before="40" w:after="40"/>
      </w:pPr>
      <w:r>
        <w:rPr>
          <w:rFonts w:ascii="Arial" w:cs="Arial" w:eastAsia="Arial" w:hAnsi="Arial"/>
          <w:color w:val="212121"/>
          <w:sz w:val="21"/>
          <w:szCs w:val="21"/>
        </w:rPr>
        <w:t xml:space="preserve">Update bank account details (IBAN) with verification workflow</w:t>
      </w:r>
    </w:p>
    <w:p>
      <w:pPr>
        <w:pStyle w:val="ListParagraph"/>
        <w:numPr>
          <w:ilvl w:val="0"/>
          <w:numId w:val="2"/>
        </w:numPr>
        <w:spacing w:before="40" w:after="40"/>
      </w:pPr>
      <w:r>
        <w:rPr>
          <w:rFonts w:ascii="Arial" w:cs="Arial" w:eastAsia="Arial" w:hAnsi="Arial"/>
          <w:color w:val="212121"/>
          <w:sz w:val="21"/>
          <w:szCs w:val="21"/>
        </w:rPr>
        <w:t xml:space="preserve">View performance objectives, KPIs, and submit self-appraisal</w:t>
      </w:r>
    </w:p>
    <w:p>
      <w:pPr>
        <w:pStyle w:val="ListParagraph"/>
        <w:numPr>
          <w:ilvl w:val="0"/>
          <w:numId w:val="2"/>
        </w:numPr>
        <w:spacing w:before="40" w:after="40"/>
      </w:pPr>
      <w:r>
        <w:rPr>
          <w:rFonts w:ascii="Arial" w:cs="Arial" w:eastAsia="Arial" w:hAnsi="Arial"/>
          <w:color w:val="212121"/>
          <w:sz w:val="21"/>
          <w:szCs w:val="21"/>
        </w:rPr>
        <w:t xml:space="preserve">Access and complete training nominations</w:t>
      </w:r>
    </w:p>
    <w:p>
      <w:pPr>
        <w:pStyle w:val="ListParagraph"/>
        <w:numPr>
          <w:ilvl w:val="0"/>
          <w:numId w:val="2"/>
        </w:numPr>
        <w:spacing w:before="40" w:after="40"/>
      </w:pPr>
      <w:r>
        <w:rPr>
          <w:rFonts w:ascii="Arial" w:cs="Arial" w:eastAsia="Arial" w:hAnsi="Arial"/>
          <w:color w:val="212121"/>
          <w:sz w:val="21"/>
          <w:szCs w:val="21"/>
        </w:rPr>
        <w:t xml:space="preserve">Submit and track IT/Admin service requests (helpdesk integration)</w:t>
      </w:r>
    </w:p>
    <w:p>
      <w:pPr>
        <w:pStyle w:val="ListParagraph"/>
        <w:numPr>
          <w:ilvl w:val="0"/>
          <w:numId w:val="2"/>
        </w:numPr>
        <w:spacing w:before="40" w:after="40"/>
      </w:pPr>
      <w:r>
        <w:rPr>
          <w:rFonts w:ascii="Arial" w:cs="Arial" w:eastAsia="Arial" w:hAnsi="Arial"/>
          <w:color w:val="212121"/>
          <w:sz w:val="21"/>
          <w:szCs w:val="21"/>
        </w:rPr>
        <w:t xml:space="preserve">View company announcements, policies, and HR circular</w:t>
      </w:r>
    </w:p>
    <w:p>
      <w:pPr>
        <w:pStyle w:val="ListParagraph"/>
        <w:numPr>
          <w:ilvl w:val="0"/>
          <w:numId w:val="2"/>
        </w:numPr>
        <w:spacing w:before="40" w:after="40"/>
      </w:pPr>
      <w:r>
        <w:rPr>
          <w:rFonts w:ascii="Arial" w:cs="Arial" w:eastAsia="Arial" w:hAnsi="Arial"/>
          <w:color w:val="212121"/>
          <w:sz w:val="21"/>
          <w:szCs w:val="21"/>
        </w:rPr>
        <w:t xml:space="preserve">Submit grievance or feedback anonymously or named</w:t>
      </w:r>
    </w:p>
    <w:p>
      <w:pPr>
        <w:pStyle w:val="ListParagraph"/>
        <w:numPr>
          <w:ilvl w:val="0"/>
          <w:numId w:val="2"/>
        </w:numPr>
        <w:spacing w:before="40" w:after="40"/>
      </w:pPr>
      <w:r>
        <w:rPr>
          <w:rFonts w:ascii="Arial" w:cs="Arial" w:eastAsia="Arial" w:hAnsi="Arial"/>
          <w:color w:val="212121"/>
          <w:sz w:val="21"/>
          <w:szCs w:val="21"/>
        </w:rPr>
        <w:t xml:space="preserve">View and acknowledge company documents (digital signature)</w:t>
      </w:r>
    </w:p>
    <w:p>
      <w:pPr>
        <w:pStyle w:val="ListParagraph"/>
        <w:numPr>
          <w:ilvl w:val="0"/>
          <w:numId w:val="2"/>
        </w:numPr>
        <w:spacing w:before="40" w:after="40"/>
      </w:pPr>
      <w:r>
        <w:rPr>
          <w:rFonts w:ascii="Arial" w:cs="Arial" w:eastAsia="Arial" w:hAnsi="Arial"/>
          <w:color w:val="212121"/>
          <w:sz w:val="21"/>
          <w:szCs w:val="21"/>
        </w:rPr>
        <w:t xml:space="preserve">Request salary certificate, NOC, and experience letter</w:t>
      </w:r>
    </w:p>
    <w:p>
      <w:pPr>
        <w:pStyle w:val="ListParagraph"/>
        <w:numPr>
          <w:ilvl w:val="0"/>
          <w:numId w:val="2"/>
        </w:numPr>
        <w:spacing w:before="40" w:after="40"/>
      </w:pPr>
      <w:r>
        <w:rPr>
          <w:rFonts w:ascii="Arial" w:cs="Arial" w:eastAsia="Arial" w:hAnsi="Arial"/>
          <w:color w:val="212121"/>
          <w:sz w:val="21"/>
          <w:szCs w:val="21"/>
        </w:rPr>
        <w:t xml:space="preserve">Ticket request and air ticket entitlement tracking</w:t>
      </w:r>
    </w:p>
    <w:p>
      <w:pPr>
        <w:pStyle w:val="ListParagraph"/>
        <w:numPr>
          <w:ilvl w:val="0"/>
          <w:numId w:val="2"/>
        </w:numPr>
        <w:spacing w:before="40" w:after="40"/>
      </w:pPr>
      <w:r>
        <w:rPr>
          <w:rFonts w:ascii="Arial" w:cs="Arial" w:eastAsia="Arial" w:hAnsi="Arial"/>
          <w:color w:val="212121"/>
          <w:sz w:val="21"/>
          <w:szCs w:val="21"/>
        </w:rPr>
        <w:t xml:space="preserve">Company directory and organisational chart access</w:t>
      </w:r>
    </w:p>
    <w:p>
      <w:pPr>
        <w:pStyle w:val="Heading2"/>
        <w:spacing w:before="280" w:after="120"/>
      </w:pPr>
      <w:r>
        <w:rPr>
          <w:rFonts w:ascii="Arial" w:cs="Arial" w:eastAsia="Arial" w:hAnsi="Arial"/>
          <w:b/>
          <w:bCs/>
          <w:color w:val="1B3A6B"/>
          <w:sz w:val="26"/>
          <w:szCs w:val="26"/>
        </w:rPr>
        <w:t xml:space="preserve">5.3 Manager Self-Service (MSS) Features</w:t>
      </w:r>
    </w:p>
    <w:p>
      <w:pPr>
        <w:pStyle w:val="ListParagraph"/>
        <w:numPr>
          <w:ilvl w:val="0"/>
          <w:numId w:val="2"/>
        </w:numPr>
        <w:spacing w:before="40" w:after="40"/>
      </w:pPr>
      <w:r>
        <w:rPr>
          <w:rFonts w:ascii="Arial" w:cs="Arial" w:eastAsia="Arial" w:hAnsi="Arial"/>
          <w:color w:val="212121"/>
          <w:sz w:val="21"/>
          <w:szCs w:val="21"/>
        </w:rPr>
        <w:t xml:space="preserve">Team dashboard: headcount, leave plan, attendance, and open positions</w:t>
      </w:r>
    </w:p>
    <w:p>
      <w:pPr>
        <w:pStyle w:val="ListParagraph"/>
        <w:numPr>
          <w:ilvl w:val="0"/>
          <w:numId w:val="2"/>
        </w:numPr>
        <w:spacing w:before="40" w:after="40"/>
      </w:pPr>
      <w:r>
        <w:rPr>
          <w:rFonts w:ascii="Arial" w:cs="Arial" w:eastAsia="Arial" w:hAnsi="Arial"/>
          <w:color w:val="212121"/>
          <w:sz w:val="21"/>
          <w:szCs w:val="21"/>
        </w:rPr>
        <w:t xml:space="preserve">Approve/reject leave requests with team calendar view</w:t>
      </w:r>
    </w:p>
    <w:p>
      <w:pPr>
        <w:pStyle w:val="ListParagraph"/>
        <w:numPr>
          <w:ilvl w:val="0"/>
          <w:numId w:val="2"/>
        </w:numPr>
        <w:spacing w:before="40" w:after="40"/>
      </w:pPr>
      <w:r>
        <w:rPr>
          <w:rFonts w:ascii="Arial" w:cs="Arial" w:eastAsia="Arial" w:hAnsi="Arial"/>
          <w:color w:val="212121"/>
          <w:sz w:val="21"/>
          <w:szCs w:val="21"/>
        </w:rPr>
        <w:t xml:space="preserve">Approve overtime, timesheet, and work-from-home requests</w:t>
      </w:r>
    </w:p>
    <w:p>
      <w:pPr>
        <w:pStyle w:val="ListParagraph"/>
        <w:numPr>
          <w:ilvl w:val="0"/>
          <w:numId w:val="2"/>
        </w:numPr>
        <w:spacing w:before="40" w:after="40"/>
      </w:pPr>
      <w:r>
        <w:rPr>
          <w:rFonts w:ascii="Arial" w:cs="Arial" w:eastAsia="Arial" w:hAnsi="Arial"/>
          <w:color w:val="212121"/>
          <w:sz w:val="21"/>
          <w:szCs w:val="21"/>
        </w:rPr>
        <w:t xml:space="preserve">Initiate performance appraisal and track completion</w:t>
      </w:r>
    </w:p>
    <w:p>
      <w:pPr>
        <w:pStyle w:val="ListParagraph"/>
        <w:numPr>
          <w:ilvl w:val="0"/>
          <w:numId w:val="2"/>
        </w:numPr>
        <w:spacing w:before="40" w:after="40"/>
      </w:pPr>
      <w:r>
        <w:rPr>
          <w:rFonts w:ascii="Arial" w:cs="Arial" w:eastAsia="Arial" w:hAnsi="Arial"/>
          <w:color w:val="212121"/>
          <w:sz w:val="21"/>
          <w:szCs w:val="21"/>
        </w:rPr>
        <w:t xml:space="preserve">Request headcount addition or internal transfer</w:t>
      </w:r>
    </w:p>
    <w:p>
      <w:pPr>
        <w:pStyle w:val="ListParagraph"/>
        <w:numPr>
          <w:ilvl w:val="0"/>
          <w:numId w:val="2"/>
        </w:numPr>
        <w:spacing w:before="40" w:after="40"/>
      </w:pPr>
      <w:r>
        <w:rPr>
          <w:rFonts w:ascii="Arial" w:cs="Arial" w:eastAsia="Arial" w:hAnsi="Arial"/>
          <w:color w:val="212121"/>
          <w:sz w:val="21"/>
          <w:szCs w:val="21"/>
        </w:rPr>
        <w:t xml:space="preserve">View team salary details (with authorisation)</w:t>
      </w:r>
    </w:p>
    <w:p>
      <w:pPr>
        <w:pStyle w:val="ListParagraph"/>
        <w:numPr>
          <w:ilvl w:val="0"/>
          <w:numId w:val="2"/>
        </w:numPr>
        <w:spacing w:before="40" w:after="40"/>
      </w:pPr>
      <w:r>
        <w:rPr>
          <w:rFonts w:ascii="Arial" w:cs="Arial" w:eastAsia="Arial" w:hAnsi="Arial"/>
          <w:color w:val="212121"/>
          <w:sz w:val="21"/>
          <w:szCs w:val="21"/>
        </w:rPr>
        <w:t xml:space="preserve">Disciplinary action initiation workflow</w:t>
      </w:r>
    </w:p>
    <w:p>
      <w:pPr>
        <w:pStyle w:val="ListParagraph"/>
        <w:numPr>
          <w:ilvl w:val="0"/>
          <w:numId w:val="2"/>
        </w:numPr>
        <w:spacing w:before="40" w:after="40"/>
      </w:pPr>
      <w:r>
        <w:rPr>
          <w:rFonts w:ascii="Arial" w:cs="Arial" w:eastAsia="Arial" w:hAnsi="Arial"/>
          <w:color w:val="212121"/>
          <w:sz w:val="21"/>
          <w:szCs w:val="21"/>
        </w:rPr>
        <w:t xml:space="preserve">Training nomination and approval for team members</w:t>
      </w:r>
    </w:p>
    <w:p>
      <w:pPr>
        <w:pStyle w:val="ListParagraph"/>
        <w:numPr>
          <w:ilvl w:val="0"/>
          <w:numId w:val="2"/>
        </w:numPr>
        <w:spacing w:before="40" w:after="40"/>
      </w:pPr>
      <w:r>
        <w:rPr>
          <w:rFonts w:ascii="Arial" w:cs="Arial" w:eastAsia="Arial" w:hAnsi="Arial"/>
          <w:color w:val="212121"/>
          <w:sz w:val="21"/>
          <w:szCs w:val="21"/>
        </w:rPr>
        <w:t xml:space="preserve">Delegation of authority during manager's leave</w:t>
      </w:r>
    </w:p>
    <w:p>
      <w:pPr>
        <w:pStyle w:val="Heading2"/>
        <w:spacing w:before="280" w:after="120"/>
      </w:pPr>
      <w:r>
        <w:rPr>
          <w:rFonts w:ascii="Arial" w:cs="Arial" w:eastAsia="Arial" w:hAnsi="Arial"/>
          <w:b/>
          <w:bCs/>
          <w:color w:val="1B3A6B"/>
          <w:sz w:val="26"/>
          <w:szCs w:val="26"/>
        </w:rPr>
        <w:t xml:space="preserve">5.4 Mobile Application</w:t>
      </w:r>
    </w:p>
    <w:p>
      <w:pPr>
        <w:pStyle w:val="ListParagraph"/>
        <w:numPr>
          <w:ilvl w:val="0"/>
          <w:numId w:val="2"/>
        </w:numPr>
        <w:spacing w:before="40" w:after="40"/>
      </w:pPr>
      <w:r>
        <w:rPr>
          <w:rFonts w:ascii="Arial" w:cs="Arial" w:eastAsia="Arial" w:hAnsi="Arial"/>
          <w:color w:val="212121"/>
          <w:sz w:val="21"/>
          <w:szCs w:val="21"/>
        </w:rPr>
        <w:t xml:space="preserve">Native iOS and Android app with biometric login (fingerprint/face ID)</w:t>
      </w:r>
    </w:p>
    <w:p>
      <w:pPr>
        <w:pStyle w:val="ListParagraph"/>
        <w:numPr>
          <w:ilvl w:val="0"/>
          <w:numId w:val="2"/>
        </w:numPr>
        <w:spacing w:before="40" w:after="40"/>
      </w:pPr>
      <w:r>
        <w:rPr>
          <w:rFonts w:ascii="Arial" w:cs="Arial" w:eastAsia="Arial" w:hAnsi="Arial"/>
          <w:color w:val="212121"/>
          <w:sz w:val="21"/>
          <w:szCs w:val="21"/>
        </w:rPr>
        <w:t xml:space="preserve">Push notifications for approvals, payslip availability, leave status, and alerts</w:t>
      </w:r>
    </w:p>
    <w:p>
      <w:pPr>
        <w:pStyle w:val="ListParagraph"/>
        <w:numPr>
          <w:ilvl w:val="0"/>
          <w:numId w:val="2"/>
        </w:numPr>
        <w:spacing w:before="40" w:after="40"/>
      </w:pPr>
      <w:r>
        <w:rPr>
          <w:rFonts w:ascii="Arial" w:cs="Arial" w:eastAsia="Arial" w:hAnsi="Arial"/>
          <w:color w:val="212121"/>
          <w:sz w:val="21"/>
          <w:szCs w:val="21"/>
        </w:rPr>
        <w:t xml:space="preserve">GPS-based attendance check-in/out for field staff</w:t>
      </w:r>
    </w:p>
    <w:p>
      <w:pPr>
        <w:pStyle w:val="ListParagraph"/>
        <w:numPr>
          <w:ilvl w:val="0"/>
          <w:numId w:val="2"/>
        </w:numPr>
        <w:spacing w:before="40" w:after="40"/>
      </w:pPr>
      <w:r>
        <w:rPr>
          <w:rFonts w:ascii="Arial" w:cs="Arial" w:eastAsia="Arial" w:hAnsi="Arial"/>
          <w:color w:val="212121"/>
          <w:sz w:val="21"/>
          <w:szCs w:val="21"/>
        </w:rPr>
        <w:t xml:space="preserve">Offline mode for basic profile and payslip access</w:t>
      </w:r>
    </w:p>
    <w:p>
      <w:pPr>
        <w:pStyle w:val="ListParagraph"/>
        <w:numPr>
          <w:ilvl w:val="0"/>
          <w:numId w:val="2"/>
        </w:numPr>
        <w:spacing w:before="40" w:after="40"/>
      </w:pPr>
      <w:r>
        <w:rPr>
          <w:rFonts w:ascii="Arial" w:cs="Arial" w:eastAsia="Arial" w:hAnsi="Arial"/>
          <w:color w:val="212121"/>
          <w:sz w:val="21"/>
          <w:szCs w:val="21"/>
        </w:rPr>
        <w:t xml:space="preserve">QR code scanning for visitor management integration</w:t>
      </w:r>
    </w:p>
    <w:p>
      <w:pPr>
        <w:pStyle w:val="ListParagraph"/>
        <w:numPr>
          <w:ilvl w:val="0"/>
          <w:numId w:val="2"/>
        </w:numPr>
        <w:spacing w:before="40" w:after="40"/>
      </w:pPr>
      <w:r>
        <w:rPr>
          <w:rFonts w:ascii="Arial" w:cs="Arial" w:eastAsia="Arial" w:hAnsi="Arial"/>
          <w:color w:val="212121"/>
          <w:sz w:val="21"/>
          <w:szCs w:val="21"/>
        </w:rPr>
        <w:t xml:space="preserve">Calendar integration with device calendar for approved leave and holidays</w:t>
      </w:r>
    </w:p>
    <w:p>
      <w:pPr>
        <w:pStyle w:val="Heading2"/>
        <w:spacing w:before="280" w:after="120"/>
      </w:pPr>
      <w:r>
        <w:rPr>
          <w:rFonts w:ascii="Arial" w:cs="Arial" w:eastAsia="Arial" w:hAnsi="Arial"/>
          <w:b/>
          <w:bCs/>
          <w:color w:val="1B3A6B"/>
          <w:sz w:val="26"/>
          <w:szCs w:val="26"/>
        </w:rPr>
        <w:t xml:space="preserve">5.5 HR Administrator Portal</w:t>
      </w:r>
    </w:p>
    <w:p>
      <w:pPr>
        <w:pStyle w:val="ListParagraph"/>
        <w:numPr>
          <w:ilvl w:val="0"/>
          <w:numId w:val="2"/>
        </w:numPr>
        <w:spacing w:before="40" w:after="40"/>
      </w:pPr>
      <w:r>
        <w:rPr>
          <w:rFonts w:ascii="Arial" w:cs="Arial" w:eastAsia="Arial" w:hAnsi="Arial"/>
          <w:color w:val="212121"/>
          <w:sz w:val="21"/>
          <w:szCs w:val="21"/>
        </w:rPr>
        <w:t xml:space="preserve">Centralised HR operations dashboard with KPI widgets</w:t>
      </w:r>
    </w:p>
    <w:p>
      <w:pPr>
        <w:pStyle w:val="ListParagraph"/>
        <w:numPr>
          <w:ilvl w:val="0"/>
          <w:numId w:val="2"/>
        </w:numPr>
        <w:spacing w:before="40" w:after="40"/>
      </w:pPr>
      <w:r>
        <w:rPr>
          <w:rFonts w:ascii="Arial" w:cs="Arial" w:eastAsia="Arial" w:hAnsi="Arial"/>
          <w:color w:val="212121"/>
          <w:sz w:val="21"/>
          <w:szCs w:val="21"/>
        </w:rPr>
        <w:t xml:space="preserve">Bulk data import/export (Excel, CSV) with validation engine</w:t>
      </w:r>
    </w:p>
    <w:p>
      <w:pPr>
        <w:pStyle w:val="ListParagraph"/>
        <w:numPr>
          <w:ilvl w:val="0"/>
          <w:numId w:val="2"/>
        </w:numPr>
        <w:spacing w:before="40" w:after="40"/>
      </w:pPr>
      <w:r>
        <w:rPr>
          <w:rFonts w:ascii="Arial" w:cs="Arial" w:eastAsia="Arial" w:hAnsi="Arial"/>
          <w:color w:val="212121"/>
          <w:sz w:val="21"/>
          <w:szCs w:val="21"/>
        </w:rPr>
        <w:t xml:space="preserve">Workflow configuration for all approval chains without coding</w:t>
      </w:r>
    </w:p>
    <w:p>
      <w:pPr>
        <w:pStyle w:val="ListParagraph"/>
        <w:numPr>
          <w:ilvl w:val="0"/>
          <w:numId w:val="2"/>
        </w:numPr>
        <w:spacing w:before="40" w:after="40"/>
      </w:pPr>
      <w:r>
        <w:rPr>
          <w:rFonts w:ascii="Arial" w:cs="Arial" w:eastAsia="Arial" w:hAnsi="Arial"/>
          <w:color w:val="212121"/>
          <w:sz w:val="21"/>
          <w:szCs w:val="21"/>
        </w:rPr>
        <w:t xml:space="preserve">User access and role management with fine-grained permissions</w:t>
      </w:r>
    </w:p>
    <w:p>
      <w:pPr>
        <w:pStyle w:val="ListParagraph"/>
        <w:numPr>
          <w:ilvl w:val="0"/>
          <w:numId w:val="2"/>
        </w:numPr>
        <w:spacing w:before="40" w:after="40"/>
      </w:pPr>
      <w:r>
        <w:rPr>
          <w:rFonts w:ascii="Arial" w:cs="Arial" w:eastAsia="Arial" w:hAnsi="Arial"/>
          <w:color w:val="212121"/>
          <w:sz w:val="21"/>
          <w:szCs w:val="21"/>
        </w:rPr>
        <w:t xml:space="preserve">System audit log: all transactions, approvals, and data changes with timestamps</w:t>
      </w:r>
    </w:p>
    <w:p>
      <w:pPr>
        <w:pStyle w:val="ListParagraph"/>
        <w:numPr>
          <w:ilvl w:val="0"/>
          <w:numId w:val="2"/>
        </w:numPr>
        <w:spacing w:before="40" w:after="40"/>
      </w:pPr>
      <w:r>
        <w:rPr>
          <w:rFonts w:ascii="Arial" w:cs="Arial" w:eastAsia="Arial" w:hAnsi="Arial"/>
          <w:color w:val="212121"/>
          <w:sz w:val="21"/>
          <w:szCs w:val="21"/>
        </w:rPr>
        <w:t xml:space="preserve">Announcement and document publishing to all or targeted employee groups</w:t>
      </w:r>
    </w:p>
    <w:p>
      <w:pPr>
        <w:pStyle w:val="ListParagraph"/>
        <w:numPr>
          <w:ilvl w:val="0"/>
          <w:numId w:val="2"/>
        </w:numPr>
        <w:spacing w:before="40" w:after="40"/>
      </w:pPr>
      <w:r>
        <w:rPr>
          <w:rFonts w:ascii="Arial" w:cs="Arial" w:eastAsia="Arial" w:hAnsi="Arial"/>
          <w:color w:val="212121"/>
          <w:sz w:val="21"/>
          <w:szCs w:val="21"/>
        </w:rPr>
        <w:t xml:space="preserve">Compliance calendar with upcoming statutory deadlines</w:t>
      </w:r>
    </w:p>
    <w:p>
      <w:pPr>
        <w:pStyle w:val="ListParagraph"/>
        <w:numPr>
          <w:ilvl w:val="0"/>
          <w:numId w:val="2"/>
        </w:numPr>
        <w:spacing w:before="40" w:after="40"/>
      </w:pPr>
      <w:r>
        <w:rPr>
          <w:rFonts w:ascii="Arial" w:cs="Arial" w:eastAsia="Arial" w:hAnsi="Arial"/>
          <w:color w:val="212121"/>
          <w:sz w:val="21"/>
          <w:szCs w:val="21"/>
        </w:rPr>
        <w:t xml:space="preserve">Report builder: drag-and-drop custom reports with scheduling and email delivery</w:t>
      </w:r>
    </w:p>
    <w:p>
      <w:pPr>
        <w:pStyle w:val="ListParagraph"/>
        <w:numPr>
          <w:ilvl w:val="0"/>
          <w:numId w:val="2"/>
        </w:numPr>
        <w:spacing w:before="40" w:after="40"/>
      </w:pPr>
      <w:r>
        <w:rPr>
          <w:rFonts w:ascii="Arial" w:cs="Arial" w:eastAsia="Arial" w:hAnsi="Arial"/>
          <w:color w:val="212121"/>
          <w:sz w:val="21"/>
          <w:szCs w:val="21"/>
        </w:rPr>
        <w:t xml:space="preserve">HR helpdesk ticketing and SLA tracking</w:t>
      </w:r>
    </w:p>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6. Technical Architecture &amp; Security</w:t>
      </w:r>
    </w:p>
    <w:p>
      <w:pPr>
        <w:pStyle w:val="Heading2"/>
        <w:spacing w:before="280" w:after="120"/>
      </w:pPr>
      <w:r>
        <w:rPr>
          <w:rFonts w:ascii="Arial" w:cs="Arial" w:eastAsia="Arial" w:hAnsi="Arial"/>
          <w:b/>
          <w:bCs/>
          <w:color w:val="1B3A6B"/>
          <w:sz w:val="26"/>
          <w:szCs w:val="26"/>
        </w:rPr>
        <w:t xml:space="preserve">6.1 Architecture Overview</w:t>
      </w:r>
    </w:p>
    <w:p>
      <w:pPr>
        <w:spacing w:before="60" w:after="60"/>
        <w:jc w:val="left"/>
      </w:pPr>
      <w:r>
        <w:rPr>
          <w:rFonts w:ascii="Arial" w:cs="Arial" w:eastAsia="Arial" w:hAnsi="Arial"/>
          <w:b w:val="false"/>
          <w:bCs w:val="false"/>
          <w:i w:val="false"/>
          <w:iCs w:val="false"/>
          <w:color w:val="212121"/>
          <w:sz w:val="21"/>
          <w:szCs w:val="21"/>
        </w:rPr>
        <w:t xml:space="preserve">The system is built on a modern, cloud-native microservices architecture with options for SaaS (hosted on AWS/Azure in UAE/Oman data centres) or on-premise deployment:</w:t>
      </w:r>
    </w:p>
    <w:p>
      <w:pPr>
        <w:pStyle w:val="ListParagraph"/>
        <w:numPr>
          <w:ilvl w:val="0"/>
          <w:numId w:val="2"/>
        </w:numPr>
        <w:spacing w:before="40" w:after="40"/>
      </w:pPr>
      <w:r>
        <w:rPr>
          <w:rFonts w:ascii="Arial" w:cs="Arial" w:eastAsia="Arial" w:hAnsi="Arial"/>
          <w:color w:val="212121"/>
          <w:sz w:val="21"/>
          <w:szCs w:val="21"/>
        </w:rPr>
        <w:t xml:space="preserve">Frontend: React.js with Arabic RTL support and Tailwind CSS — responsive on all devices</w:t>
      </w:r>
    </w:p>
    <w:p>
      <w:pPr>
        <w:pStyle w:val="ListParagraph"/>
        <w:numPr>
          <w:ilvl w:val="0"/>
          <w:numId w:val="2"/>
        </w:numPr>
        <w:spacing w:before="40" w:after="40"/>
      </w:pPr>
      <w:r>
        <w:rPr>
          <w:rFonts w:ascii="Arial" w:cs="Arial" w:eastAsia="Arial" w:hAnsi="Arial"/>
          <w:color w:val="212121"/>
          <w:sz w:val="21"/>
          <w:szCs w:val="21"/>
        </w:rPr>
        <w:t xml:space="preserve">Backend: Node.js / .NET Core API layer with RESTful APIs</w:t>
      </w:r>
    </w:p>
    <w:p>
      <w:pPr>
        <w:pStyle w:val="ListParagraph"/>
        <w:numPr>
          <w:ilvl w:val="0"/>
          <w:numId w:val="2"/>
        </w:numPr>
        <w:spacing w:before="40" w:after="40"/>
      </w:pPr>
      <w:r>
        <w:rPr>
          <w:rFonts w:ascii="Arial" w:cs="Arial" w:eastAsia="Arial" w:hAnsi="Arial"/>
          <w:color w:val="212121"/>
          <w:sz w:val="21"/>
          <w:szCs w:val="21"/>
        </w:rPr>
        <w:t xml:space="preserve">Database: PostgreSQL primary with Redis caching layer</w:t>
      </w:r>
    </w:p>
    <w:p>
      <w:pPr>
        <w:pStyle w:val="ListParagraph"/>
        <w:numPr>
          <w:ilvl w:val="0"/>
          <w:numId w:val="2"/>
        </w:numPr>
        <w:spacing w:before="40" w:after="40"/>
      </w:pPr>
      <w:r>
        <w:rPr>
          <w:rFonts w:ascii="Arial" w:cs="Arial" w:eastAsia="Arial" w:hAnsi="Arial"/>
          <w:color w:val="212121"/>
          <w:sz w:val="21"/>
          <w:szCs w:val="21"/>
        </w:rPr>
        <w:t xml:space="preserve">File Storage: Encrypted object storage (S3-compatible) for documents</w:t>
      </w:r>
    </w:p>
    <w:p>
      <w:pPr>
        <w:pStyle w:val="ListParagraph"/>
        <w:numPr>
          <w:ilvl w:val="0"/>
          <w:numId w:val="2"/>
        </w:numPr>
        <w:spacing w:before="40" w:after="40"/>
      </w:pPr>
      <w:r>
        <w:rPr>
          <w:rFonts w:ascii="Arial" w:cs="Arial" w:eastAsia="Arial" w:hAnsi="Arial"/>
          <w:color w:val="212121"/>
          <w:sz w:val="21"/>
          <w:szCs w:val="21"/>
        </w:rPr>
        <w:t xml:space="preserve">Integration: REST APIs, SFTP for WPS banks, Web Services for PASI</w:t>
      </w:r>
    </w:p>
    <w:p>
      <w:pPr>
        <w:pStyle w:val="ListParagraph"/>
        <w:numPr>
          <w:ilvl w:val="0"/>
          <w:numId w:val="2"/>
        </w:numPr>
        <w:spacing w:before="40" w:after="40"/>
      </w:pPr>
      <w:r>
        <w:rPr>
          <w:rFonts w:ascii="Arial" w:cs="Arial" w:eastAsia="Arial" w:hAnsi="Arial"/>
          <w:color w:val="212121"/>
          <w:sz w:val="21"/>
          <w:szCs w:val="21"/>
        </w:rPr>
        <w:t xml:space="preserve">Authentication: OAuth 2.0 / SAML 2.0 with LDAP / Active Directory integration</w:t>
      </w:r>
    </w:p>
    <w:p>
      <w:pPr>
        <w:pStyle w:val="ListParagraph"/>
        <w:numPr>
          <w:ilvl w:val="0"/>
          <w:numId w:val="2"/>
        </w:numPr>
        <w:spacing w:before="40" w:after="40"/>
      </w:pPr>
      <w:r>
        <w:rPr>
          <w:rFonts w:ascii="Arial" w:cs="Arial" w:eastAsia="Arial" w:hAnsi="Arial"/>
          <w:color w:val="212121"/>
          <w:sz w:val="21"/>
          <w:szCs w:val="21"/>
        </w:rPr>
        <w:t xml:space="preserve">Mobile: React Native for cross-platform iOS and Android</w:t>
      </w:r>
    </w:p>
    <w:p>
      <w:pPr>
        <w:pStyle w:val="Heading2"/>
        <w:spacing w:before="280" w:after="120"/>
      </w:pPr>
      <w:r>
        <w:rPr>
          <w:rFonts w:ascii="Arial" w:cs="Arial" w:eastAsia="Arial" w:hAnsi="Arial"/>
          <w:b/>
          <w:bCs/>
          <w:color w:val="1B3A6B"/>
          <w:sz w:val="26"/>
          <w:szCs w:val="26"/>
        </w:rPr>
        <w:t xml:space="preserve">6.2 Security &amp; Data Protection</w:t>
      </w:r>
    </w:p>
    <w:p>
      <w:pPr>
        <w:pStyle w:val="ListParagraph"/>
        <w:numPr>
          <w:ilvl w:val="0"/>
          <w:numId w:val="2"/>
        </w:numPr>
        <w:spacing w:before="40" w:after="40"/>
      </w:pPr>
      <w:r>
        <w:rPr>
          <w:rFonts w:ascii="Arial" w:cs="Arial" w:eastAsia="Arial" w:hAnsi="Arial"/>
          <w:color w:val="212121"/>
          <w:sz w:val="21"/>
          <w:szCs w:val="21"/>
        </w:rPr>
        <w:t xml:space="preserve">AES-256 encryption for data at rest; TLS 1.3 for data in transit</w:t>
      </w:r>
    </w:p>
    <w:p>
      <w:pPr>
        <w:pStyle w:val="ListParagraph"/>
        <w:numPr>
          <w:ilvl w:val="0"/>
          <w:numId w:val="2"/>
        </w:numPr>
        <w:spacing w:before="40" w:after="40"/>
      </w:pPr>
      <w:r>
        <w:rPr>
          <w:rFonts w:ascii="Arial" w:cs="Arial" w:eastAsia="Arial" w:hAnsi="Arial"/>
          <w:color w:val="212121"/>
          <w:sz w:val="21"/>
          <w:szCs w:val="21"/>
        </w:rPr>
        <w:t xml:space="preserve">Role-based access control (RBAC) with row-level security for salary data</w:t>
      </w:r>
    </w:p>
    <w:p>
      <w:pPr>
        <w:pStyle w:val="ListParagraph"/>
        <w:numPr>
          <w:ilvl w:val="0"/>
          <w:numId w:val="2"/>
        </w:numPr>
        <w:spacing w:before="40" w:after="40"/>
      </w:pPr>
      <w:r>
        <w:rPr>
          <w:rFonts w:ascii="Arial" w:cs="Arial" w:eastAsia="Arial" w:hAnsi="Arial"/>
          <w:color w:val="212121"/>
          <w:sz w:val="21"/>
          <w:szCs w:val="21"/>
        </w:rPr>
        <w:t xml:space="preserve">Multi-factor authentication (MFA) for all admin and manager access</w:t>
      </w:r>
    </w:p>
    <w:p>
      <w:pPr>
        <w:pStyle w:val="ListParagraph"/>
        <w:numPr>
          <w:ilvl w:val="0"/>
          <w:numId w:val="2"/>
        </w:numPr>
        <w:spacing w:before="40" w:after="40"/>
      </w:pPr>
      <w:r>
        <w:rPr>
          <w:rFonts w:ascii="Arial" w:cs="Arial" w:eastAsia="Arial" w:hAnsi="Arial"/>
          <w:color w:val="212121"/>
          <w:sz w:val="21"/>
          <w:szCs w:val="21"/>
        </w:rPr>
        <w:t xml:space="preserve">IP whitelisting and session management with auto-timeout</w:t>
      </w:r>
    </w:p>
    <w:p>
      <w:pPr>
        <w:pStyle w:val="ListParagraph"/>
        <w:numPr>
          <w:ilvl w:val="0"/>
          <w:numId w:val="2"/>
        </w:numPr>
        <w:spacing w:before="40" w:after="40"/>
      </w:pPr>
      <w:r>
        <w:rPr>
          <w:rFonts w:ascii="Arial" w:cs="Arial" w:eastAsia="Arial" w:hAnsi="Arial"/>
          <w:color w:val="212121"/>
          <w:sz w:val="21"/>
          <w:szCs w:val="21"/>
        </w:rPr>
        <w:t xml:space="preserve">Penetration testing and vulnerability assessments (semi-annual)</w:t>
      </w:r>
    </w:p>
    <w:p>
      <w:pPr>
        <w:pStyle w:val="ListParagraph"/>
        <w:numPr>
          <w:ilvl w:val="0"/>
          <w:numId w:val="2"/>
        </w:numPr>
        <w:spacing w:before="40" w:after="40"/>
      </w:pPr>
      <w:r>
        <w:rPr>
          <w:rFonts w:ascii="Arial" w:cs="Arial" w:eastAsia="Arial" w:hAnsi="Arial"/>
          <w:color w:val="212121"/>
          <w:sz w:val="21"/>
          <w:szCs w:val="21"/>
        </w:rPr>
        <w:t xml:space="preserve">GDPR-aligned data privacy controls with consent management</w:t>
      </w:r>
    </w:p>
    <w:p>
      <w:pPr>
        <w:pStyle w:val="ListParagraph"/>
        <w:numPr>
          <w:ilvl w:val="0"/>
          <w:numId w:val="2"/>
        </w:numPr>
        <w:spacing w:before="40" w:after="40"/>
      </w:pPr>
      <w:r>
        <w:rPr>
          <w:rFonts w:ascii="Arial" w:cs="Arial" w:eastAsia="Arial" w:hAnsi="Arial"/>
          <w:color w:val="212121"/>
          <w:sz w:val="21"/>
          <w:szCs w:val="21"/>
        </w:rPr>
        <w:t xml:space="preserve">Complete audit trail: all data access, modification, and deletion logged</w:t>
      </w:r>
    </w:p>
    <w:p>
      <w:pPr>
        <w:pStyle w:val="ListParagraph"/>
        <w:numPr>
          <w:ilvl w:val="0"/>
          <w:numId w:val="2"/>
        </w:numPr>
        <w:spacing w:before="40" w:after="40"/>
      </w:pPr>
      <w:r>
        <w:rPr>
          <w:rFonts w:ascii="Arial" w:cs="Arial" w:eastAsia="Arial" w:hAnsi="Arial"/>
          <w:color w:val="212121"/>
          <w:sz w:val="21"/>
          <w:szCs w:val="21"/>
        </w:rPr>
        <w:t xml:space="preserve">Data residency in Oman / UAE in compliance with local data sovereignty requirements</w:t>
      </w:r>
    </w:p>
    <w:p>
      <w:pPr>
        <w:pStyle w:val="Heading2"/>
        <w:spacing w:before="280" w:after="120"/>
      </w:pPr>
      <w:r>
        <w:rPr>
          <w:rFonts w:ascii="Arial" w:cs="Arial" w:eastAsia="Arial" w:hAnsi="Arial"/>
          <w:b/>
          <w:bCs/>
          <w:color w:val="1B3A6B"/>
          <w:sz w:val="26"/>
          <w:szCs w:val="26"/>
        </w:rPr>
        <w:t xml:space="preserve">6.3 Integration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Integration</w:t>
            </w:r>
          </w:p>
        </w:tc>
        <w:tc>
          <w:tcPr>
            <w:tcW w:type="dxa" w:w="3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3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WPS Banks</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SFTP / API</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SIF file generation and EFT upload</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PASI / SOCPA</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Web Service API</w:t>
            </w:r>
          </w:p>
        </w:tc>
        <w:tc>
          <w:tcPr>
            <w:tcW w:type="dxa" w:w="33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Monthly contributions, forms automation</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Ministry of Manpower</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LMIS Portal API</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Workforce data and Omanisation reports</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Biometric Devices</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SDK / TCP-IP</w:t>
            </w:r>
          </w:p>
        </w:tc>
        <w:tc>
          <w:tcPr>
            <w:tcW w:type="dxa" w:w="33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ZKTeco, Suprema, Hikvision, Anviz</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ERP / Accounting</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REST API / CSV</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SAP, Oracle, Microsoft Dynamics, Odoo</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Email / SMS</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SMTP / Twilio</w:t>
            </w:r>
          </w:p>
        </w:tc>
        <w:tc>
          <w:tcPr>
            <w:tcW w:type="dxa" w:w="33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Notifications and alerts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Active Directory</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LDAP / SAML</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Single sign-on for enterprise users</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Health Insurance</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API</w:t>
            </w:r>
          </w:p>
        </w:tc>
        <w:tc>
          <w:tcPr>
            <w:tcW w:type="dxa" w:w="33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Medical plan enrolment and claims</w:t>
            </w:r>
          </w:p>
        </w:tc>
      </w:tr>
    </w:tbl>
    <w:p>
      <w:pPr>
        <w:pStyle w:val="Heading2"/>
        <w:spacing w:before="280" w:after="120"/>
      </w:pPr>
      <w:r>
        <w:rPr>
          <w:rFonts w:ascii="Arial" w:cs="Arial" w:eastAsia="Arial" w:hAnsi="Arial"/>
          <w:b/>
          <w:bCs/>
          <w:color w:val="1B3A6B"/>
          <w:sz w:val="26"/>
          <w:szCs w:val="26"/>
        </w:rPr>
        <w:t xml:space="preserve">6.4 System Requirements (On-Premise Option)</w:t>
      </w:r>
    </w:p>
    <w:p>
      <w:pPr>
        <w:pStyle w:val="ListParagraph"/>
        <w:numPr>
          <w:ilvl w:val="0"/>
          <w:numId w:val="2"/>
        </w:numPr>
        <w:spacing w:before="40" w:after="40"/>
      </w:pPr>
      <w:r>
        <w:rPr>
          <w:rFonts w:ascii="Arial" w:cs="Arial" w:eastAsia="Arial" w:hAnsi="Arial"/>
          <w:color w:val="212121"/>
          <w:sz w:val="21"/>
          <w:szCs w:val="21"/>
        </w:rPr>
        <w:t xml:space="preserve">Application Server: 16-core CPU, 64GB RAM, Windows Server 2019+ or Ubuntu 20.04+</w:t>
      </w:r>
    </w:p>
    <w:p>
      <w:pPr>
        <w:pStyle w:val="ListParagraph"/>
        <w:numPr>
          <w:ilvl w:val="0"/>
          <w:numId w:val="2"/>
        </w:numPr>
        <w:spacing w:before="40" w:after="40"/>
      </w:pPr>
      <w:r>
        <w:rPr>
          <w:rFonts w:ascii="Arial" w:cs="Arial" w:eastAsia="Arial" w:hAnsi="Arial"/>
          <w:color w:val="212121"/>
          <w:sz w:val="21"/>
          <w:szCs w:val="21"/>
        </w:rPr>
        <w:t xml:space="preserve">Database Server: 8-core CPU, 32GB RAM, SSD storage (min 1TB NVMe)</w:t>
      </w:r>
    </w:p>
    <w:p>
      <w:pPr>
        <w:pStyle w:val="ListParagraph"/>
        <w:numPr>
          <w:ilvl w:val="0"/>
          <w:numId w:val="2"/>
        </w:numPr>
        <w:spacing w:before="40" w:after="40"/>
      </w:pPr>
      <w:r>
        <w:rPr>
          <w:rFonts w:ascii="Arial" w:cs="Arial" w:eastAsia="Arial" w:hAnsi="Arial"/>
          <w:color w:val="212121"/>
          <w:sz w:val="21"/>
          <w:szCs w:val="21"/>
        </w:rPr>
        <w:t xml:space="preserve">Backup: Automated daily backup with 7-year retention; off-site replication</w:t>
      </w:r>
    </w:p>
    <w:p>
      <w:pPr>
        <w:pStyle w:val="ListParagraph"/>
        <w:numPr>
          <w:ilvl w:val="0"/>
          <w:numId w:val="2"/>
        </w:numPr>
        <w:spacing w:before="40" w:after="40"/>
      </w:pPr>
      <w:r>
        <w:rPr>
          <w:rFonts w:ascii="Arial" w:cs="Arial" w:eastAsia="Arial" w:hAnsi="Arial"/>
          <w:color w:val="212121"/>
          <w:sz w:val="21"/>
          <w:szCs w:val="21"/>
        </w:rPr>
        <w:t xml:space="preserve">Network: 100Mbps dedicated internet; internal LAN 1Gbps</w:t>
      </w:r>
    </w:p>
    <w:p>
      <w:pPr>
        <w:pStyle w:val="ListParagraph"/>
        <w:numPr>
          <w:ilvl w:val="0"/>
          <w:numId w:val="2"/>
        </w:numPr>
        <w:spacing w:before="40" w:after="40"/>
      </w:pPr>
      <w:r>
        <w:rPr>
          <w:rFonts w:ascii="Arial" w:cs="Arial" w:eastAsia="Arial" w:hAnsi="Arial"/>
          <w:color w:val="212121"/>
          <w:sz w:val="21"/>
          <w:szCs w:val="21"/>
        </w:rPr>
        <w:t xml:space="preserve">Client: Any modern browser (Chrome, Edge, Firefox, Safari); no client software</w:t>
      </w:r>
    </w:p>
    <w:p>
      <w:pPr>
        <w:pStyle w:val="Heading2"/>
        <w:spacing w:before="280" w:after="120"/>
      </w:pPr>
      <w:r>
        <w:rPr>
          <w:rFonts w:ascii="Arial" w:cs="Arial" w:eastAsia="Arial" w:hAnsi="Arial"/>
          <w:b/>
          <w:bCs/>
          <w:color w:val="1B3A6B"/>
          <w:sz w:val="26"/>
          <w:szCs w:val="26"/>
        </w:rPr>
        <w:t xml:space="preserve">6.5 High Availability &amp; Disaster Recovery</w:t>
      </w:r>
    </w:p>
    <w:p>
      <w:pPr>
        <w:pStyle w:val="ListParagraph"/>
        <w:numPr>
          <w:ilvl w:val="0"/>
          <w:numId w:val="2"/>
        </w:numPr>
        <w:spacing w:before="40" w:after="40"/>
      </w:pPr>
      <w:r>
        <w:rPr>
          <w:rFonts w:ascii="Arial" w:cs="Arial" w:eastAsia="Arial" w:hAnsi="Arial"/>
          <w:color w:val="212121"/>
          <w:sz w:val="21"/>
          <w:szCs w:val="21"/>
        </w:rPr>
        <w:t xml:space="preserve">99.9% uptime SLA for SaaS deployment</w:t>
      </w:r>
    </w:p>
    <w:p>
      <w:pPr>
        <w:pStyle w:val="ListParagraph"/>
        <w:numPr>
          <w:ilvl w:val="0"/>
          <w:numId w:val="2"/>
        </w:numPr>
        <w:spacing w:before="40" w:after="40"/>
      </w:pPr>
      <w:r>
        <w:rPr>
          <w:rFonts w:ascii="Arial" w:cs="Arial" w:eastAsia="Arial" w:hAnsi="Arial"/>
          <w:color w:val="212121"/>
          <w:sz w:val="21"/>
          <w:szCs w:val="21"/>
        </w:rPr>
        <w:t xml:space="preserve">Active-passive failover with automatic switchover under 5 minutes</w:t>
      </w:r>
    </w:p>
    <w:p>
      <w:pPr>
        <w:pStyle w:val="ListParagraph"/>
        <w:numPr>
          <w:ilvl w:val="0"/>
          <w:numId w:val="2"/>
        </w:numPr>
        <w:spacing w:before="40" w:after="40"/>
      </w:pPr>
      <w:r>
        <w:rPr>
          <w:rFonts w:ascii="Arial" w:cs="Arial" w:eastAsia="Arial" w:hAnsi="Arial"/>
          <w:color w:val="212121"/>
          <w:sz w:val="21"/>
          <w:szCs w:val="21"/>
        </w:rPr>
        <w:t xml:space="preserve">Daily incremental and weekly full database backups</w:t>
      </w:r>
    </w:p>
    <w:p>
      <w:pPr>
        <w:pStyle w:val="ListParagraph"/>
        <w:numPr>
          <w:ilvl w:val="0"/>
          <w:numId w:val="2"/>
        </w:numPr>
        <w:spacing w:before="40" w:after="40"/>
      </w:pPr>
      <w:r>
        <w:rPr>
          <w:rFonts w:ascii="Arial" w:cs="Arial" w:eastAsia="Arial" w:hAnsi="Arial"/>
          <w:color w:val="212121"/>
          <w:sz w:val="21"/>
          <w:szCs w:val="21"/>
        </w:rPr>
        <w:t xml:space="preserve">Recovery Point Objective (RPO): 4 hours; Recovery Time Objective (RTO): 2 hours</w:t>
      </w:r>
    </w:p>
    <w:p>
      <w:pPr>
        <w:pStyle w:val="ListParagraph"/>
        <w:numPr>
          <w:ilvl w:val="0"/>
          <w:numId w:val="2"/>
        </w:numPr>
        <w:spacing w:before="40" w:after="40"/>
      </w:pPr>
      <w:r>
        <w:rPr>
          <w:rFonts w:ascii="Arial" w:cs="Arial" w:eastAsia="Arial" w:hAnsi="Arial"/>
          <w:color w:val="212121"/>
          <w:sz w:val="21"/>
          <w:szCs w:val="21"/>
        </w:rPr>
        <w:t xml:space="preserve">Dedicated UAT/staging environment for testing before production updates</w:t>
      </w:r>
    </w:p>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7. Implementation Methodology &amp; Project Plan</w:t>
      </w:r>
    </w:p>
    <w:p>
      <w:pPr>
        <w:pStyle w:val="Heading2"/>
        <w:spacing w:before="280" w:after="120"/>
      </w:pPr>
      <w:r>
        <w:rPr>
          <w:rFonts w:ascii="Arial" w:cs="Arial" w:eastAsia="Arial" w:hAnsi="Arial"/>
          <w:b/>
          <w:bCs/>
          <w:color w:val="1B3A6B"/>
          <w:sz w:val="26"/>
          <w:szCs w:val="26"/>
        </w:rPr>
        <w:t xml:space="preserve">7.1 Implementation Approach</w:t>
      </w:r>
    </w:p>
    <w:p>
      <w:pPr>
        <w:spacing w:before="60" w:after="60"/>
        <w:jc w:val="left"/>
      </w:pPr>
      <w:r>
        <w:rPr>
          <w:rFonts w:ascii="Arial" w:cs="Arial" w:eastAsia="Arial" w:hAnsi="Arial"/>
          <w:b w:val="false"/>
          <w:bCs w:val="false"/>
          <w:i w:val="false"/>
          <w:iCs w:val="false"/>
          <w:color w:val="212121"/>
          <w:sz w:val="21"/>
          <w:szCs w:val="21"/>
        </w:rPr>
        <w:t xml:space="preserve">We follow an Agile-Waterfall hybrid methodology with defined phases and milestones, ensuring structured delivery with flexibility for configuration iterations.</w:t>
      </w:r>
    </w:p>
    <w:p>
      <w:pPr>
        <w:pStyle w:val="Heading2"/>
        <w:spacing w:before="280" w:after="120"/>
      </w:pPr>
      <w:r>
        <w:rPr>
          <w:rFonts w:ascii="Arial" w:cs="Arial" w:eastAsia="Arial" w:hAnsi="Arial"/>
          <w:b/>
          <w:bCs/>
          <w:color w:val="1B3A6B"/>
          <w:sz w:val="26"/>
          <w:szCs w:val="26"/>
        </w:rPr>
        <w:t xml:space="preserve">7.2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rPr>
          <w:tblHeader/>
        </w:trPr>
        <w:tc>
          <w:tcPr>
            <w:tcW w:type="dxa" w:w="1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3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Activities</w:t>
            </w:r>
          </w:p>
        </w:tc>
        <w:tc>
          <w:tcPr>
            <w:tcW w:type="dxa" w:w="2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Duration</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1</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Project Initiation</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Kick-off, team formation, environment setup, access provisioning</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1–2</w:t>
            </w:r>
          </w:p>
        </w:tc>
      </w:tr>
      <w:tr>
        <w:tc>
          <w:tcPr>
            <w:tcW w:type="dxa" w:w="1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2</w:t>
            </w:r>
          </w:p>
        </w:tc>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Discovery &amp; Analysis</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Current state assessment, gap analysis, HR policy mapping, data audit</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2–4</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3</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System Configuration</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Org structure, salary rules, leave types, workflows, WPS &amp; PASI setup</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4–8</w:t>
            </w:r>
          </w:p>
        </w:tc>
      </w:tr>
      <w:tr>
        <w:tc>
          <w:tcPr>
            <w:tcW w:type="dxa" w:w="1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4</w:t>
            </w:r>
          </w:p>
        </w:tc>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Data Migration</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Historical employee data, leave balances, loan balances, payroll history</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6–10</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5</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Integration Setup</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Biometric, bank WPS, PASI, ERP/accounting, AD/SSO integration</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8–11</w:t>
            </w:r>
          </w:p>
        </w:tc>
      </w:tr>
      <w:tr>
        <w:tc>
          <w:tcPr>
            <w:tcW w:type="dxa" w:w="1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6</w:t>
            </w:r>
          </w:p>
        </w:tc>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Testing (UAT)</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User acceptance testing, parallel payroll run, WPS file validation</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11–13</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7</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Training</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Admin training (2 days), HR training (3 days), Manager training (1 day), Employee ESS orientation</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13–14</w:t>
            </w:r>
          </w:p>
        </w:tc>
      </w:tr>
      <w:tr>
        <w:tc>
          <w:tcPr>
            <w:tcW w:type="dxa" w:w="1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8</w:t>
            </w:r>
          </w:p>
        </w:tc>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Go-Live &amp; Hypercare</w:t>
            </w:r>
          </w:p>
        </w:tc>
        <w:tc>
          <w:tcPr>
            <w:tcW w:type="dxa" w:w="3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Production cutover, live support, issue resolution, WPS go-live</w:t>
            </w:r>
          </w:p>
        </w:tc>
        <w:tc>
          <w:tcPr>
            <w:tcW w:type="dxa" w:w="25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Week 15–16</w:t>
            </w:r>
          </w:p>
        </w:tc>
      </w:tr>
    </w:tbl>
    <w:p>
      <w:pPr>
        <w:pStyle w:val="Heading2"/>
        <w:spacing w:before="280" w:after="120"/>
      </w:pPr>
      <w:r>
        <w:rPr>
          <w:rFonts w:ascii="Arial" w:cs="Arial" w:eastAsia="Arial" w:hAnsi="Arial"/>
          <w:b/>
          <w:bCs/>
          <w:color w:val="1B3A6B"/>
          <w:sz w:val="26"/>
          <w:szCs w:val="26"/>
        </w:rPr>
        <w:t xml:space="preserve">7.3 Data Migration</w:t>
      </w:r>
    </w:p>
    <w:p>
      <w:pPr>
        <w:spacing w:before="120" w:after="60"/>
        <w:jc w:val="left"/>
      </w:pPr>
      <w:r>
        <w:rPr>
          <w:rFonts w:ascii="Arial" w:cs="Arial" w:eastAsia="Arial" w:hAnsi="Arial"/>
          <w:b w:val="false"/>
          <w:bCs w:val="false"/>
          <w:i w:val="false"/>
          <w:iCs w:val="false"/>
          <w:color w:val="212121"/>
          <w:sz w:val="21"/>
          <w:szCs w:val="21"/>
        </w:rPr>
        <w:t xml:space="preserve">Data migration is a critical success factor. Our approach includes:</w:t>
      </w:r>
    </w:p>
    <w:p>
      <w:pPr>
        <w:pStyle w:val="ListParagraph"/>
        <w:numPr>
          <w:ilvl w:val="0"/>
          <w:numId w:val="2"/>
        </w:numPr>
        <w:spacing w:before="40" w:after="40"/>
      </w:pPr>
      <w:r>
        <w:rPr>
          <w:rFonts w:ascii="Arial" w:cs="Arial" w:eastAsia="Arial" w:hAnsi="Arial"/>
          <w:color w:val="212121"/>
          <w:sz w:val="21"/>
          <w:szCs w:val="21"/>
        </w:rPr>
        <w:t xml:space="preserve">Data collection templates (Excel) for all HR, payroll, leave, and loan data</w:t>
      </w:r>
    </w:p>
    <w:p>
      <w:pPr>
        <w:pStyle w:val="ListParagraph"/>
        <w:numPr>
          <w:ilvl w:val="0"/>
          <w:numId w:val="2"/>
        </w:numPr>
        <w:spacing w:before="40" w:after="40"/>
      </w:pPr>
      <w:r>
        <w:rPr>
          <w:rFonts w:ascii="Arial" w:cs="Arial" w:eastAsia="Arial" w:hAnsi="Arial"/>
          <w:color w:val="212121"/>
          <w:sz w:val="21"/>
          <w:szCs w:val="21"/>
        </w:rPr>
        <w:t xml:space="preserve">Data cleansing and validation before migration</w:t>
      </w:r>
    </w:p>
    <w:p>
      <w:pPr>
        <w:pStyle w:val="ListParagraph"/>
        <w:numPr>
          <w:ilvl w:val="0"/>
          <w:numId w:val="2"/>
        </w:numPr>
        <w:spacing w:before="40" w:after="40"/>
      </w:pPr>
      <w:r>
        <w:rPr>
          <w:rFonts w:ascii="Arial" w:cs="Arial" w:eastAsia="Arial" w:hAnsi="Arial"/>
          <w:color w:val="212121"/>
          <w:sz w:val="21"/>
          <w:szCs w:val="21"/>
        </w:rPr>
        <w:t xml:space="preserve">3 migration rehearsals before final production migration</w:t>
      </w:r>
    </w:p>
    <w:p>
      <w:pPr>
        <w:pStyle w:val="ListParagraph"/>
        <w:numPr>
          <w:ilvl w:val="0"/>
          <w:numId w:val="2"/>
        </w:numPr>
        <w:spacing w:before="40" w:after="40"/>
      </w:pPr>
      <w:r>
        <w:rPr>
          <w:rFonts w:ascii="Arial" w:cs="Arial" w:eastAsia="Arial" w:hAnsi="Arial"/>
          <w:color w:val="212121"/>
          <w:sz w:val="21"/>
          <w:szCs w:val="21"/>
        </w:rPr>
        <w:t xml:space="preserve">Parallel payroll run (minimum 2 months) to validate migrated data</w:t>
      </w:r>
    </w:p>
    <w:p>
      <w:pPr>
        <w:pStyle w:val="ListParagraph"/>
        <w:numPr>
          <w:ilvl w:val="0"/>
          <w:numId w:val="2"/>
        </w:numPr>
        <w:spacing w:before="40" w:after="40"/>
      </w:pPr>
      <w:r>
        <w:rPr>
          <w:rFonts w:ascii="Arial" w:cs="Arial" w:eastAsia="Arial" w:hAnsi="Arial"/>
          <w:color w:val="212121"/>
          <w:sz w:val="21"/>
          <w:szCs w:val="21"/>
        </w:rPr>
        <w:t xml:space="preserve">Post-migration reconciliation sign-off by client HR and Finance teams</w:t>
      </w:r>
    </w:p>
    <w:p>
      <w:pPr>
        <w:pStyle w:val="Heading2"/>
        <w:spacing w:before="280" w:after="120"/>
      </w:pPr>
      <w:r>
        <w:rPr>
          <w:rFonts w:ascii="Arial" w:cs="Arial" w:eastAsia="Arial" w:hAnsi="Arial"/>
          <w:b/>
          <w:bCs/>
          <w:color w:val="1B3A6B"/>
          <w:sz w:val="26"/>
          <w:szCs w:val="26"/>
        </w:rPr>
        <w:t xml:space="preserve">7.4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Audience</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Duration</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Format</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Topics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System Administrator</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 days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Classroom</w:t>
            </w:r>
          </w:p>
        </w:tc>
        <w:tc>
          <w:tcPr>
            <w:tcW w:type="dxa" w:w="23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Configuration, user mgmt, reporting, backups</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HR &amp; Payroll Team</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 days</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Classroom</w:t>
            </w:r>
          </w:p>
        </w:tc>
        <w:tc>
          <w:tcPr>
            <w:tcW w:type="dxa" w:w="23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All HR modules, payroll processing, WPS, PASI</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Managers / Supervisors</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 day</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Classroom</w:t>
            </w:r>
          </w:p>
        </w:tc>
        <w:tc>
          <w:tcPr>
            <w:tcW w:type="dxa" w:w="23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MSS: approvals, team dashboard, reports</w:t>
            </w:r>
          </w:p>
        </w:tc>
      </w:tr>
      <w:tr>
        <w:tc>
          <w:tcPr>
            <w:tcW w:type="dxa" w:w="2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Employees</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0.5 day</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e-Learning + Orientation</w:t>
            </w:r>
          </w:p>
        </w:tc>
        <w:tc>
          <w:tcPr>
            <w:tcW w:type="dxa" w:w="23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ESS portal, payslip, leave, mobile app</w:t>
            </w:r>
          </w:p>
        </w:tc>
      </w:tr>
    </w:tbl>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8. Commercial Proposal</w:t>
      </w:r>
    </w:p>
    <w:p>
      <w:pPr>
        <w:pStyle w:val="Heading2"/>
        <w:spacing w:before="280" w:after="120"/>
      </w:pPr>
      <w:r>
        <w:rPr>
          <w:rFonts w:ascii="Arial" w:cs="Arial" w:eastAsia="Arial" w:hAnsi="Arial"/>
          <w:b/>
          <w:bCs/>
          <w:color w:val="1B3A6B"/>
          <w:sz w:val="26"/>
          <w:szCs w:val="26"/>
        </w:rPr>
        <w:t xml:space="preserve">8.1 Pricing Model</w:t>
      </w:r>
    </w:p>
    <w:p>
      <w:pPr>
        <w:spacing w:before="60" w:after="60"/>
        <w:jc w:val="left"/>
      </w:pPr>
      <w:r>
        <w:rPr>
          <w:rFonts w:ascii="Arial" w:cs="Arial" w:eastAsia="Arial" w:hAnsi="Arial"/>
          <w:b w:val="false"/>
          <w:bCs w:val="false"/>
          <w:i w:val="false"/>
          <w:iCs w:val="false"/>
          <w:color w:val="212121"/>
          <w:sz w:val="21"/>
          <w:szCs w:val="21"/>
        </w:rPr>
        <w:t xml:space="preserve">Pricing is presented on a per-employee per-month (PEPM) SaaS subscription model or as a one-time perpetual licence for on-premise deployment. Both include all modules, compliance updates, standard support, and mobile app.</w:t>
      </w:r>
    </w:p>
    <w:p>
      <w:pPr>
        <w:pStyle w:val="Heading2"/>
        <w:spacing w:before="280" w:after="120"/>
      </w:pPr>
      <w:r>
        <w:rPr>
          <w:rFonts w:ascii="Arial" w:cs="Arial" w:eastAsia="Arial" w:hAnsi="Arial"/>
          <w:b/>
          <w:bCs/>
          <w:color w:val="1B3A6B"/>
          <w:sz w:val="26"/>
          <w:szCs w:val="26"/>
        </w:rPr>
        <w:t xml:space="preserve">8.2 SaaS Subscription Pricing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Employee Band</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PEPM Rate (OMR)</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(est.)</w:t>
            </w:r>
          </w:p>
        </w:tc>
        <w:tc>
          <w:tcPr>
            <w:tcW w:type="dxa" w:w="29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Subscription</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Up to 100 employees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3.50 OMR</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350 OMR</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4,200 OMR / year</w:t>
            </w:r>
          </w:p>
        </w:tc>
      </w:tr>
      <w:tr>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101 – 250 employees</w:t>
            </w:r>
          </w:p>
        </w:tc>
        <w:tc>
          <w:tcPr>
            <w:tcW w:type="dxa" w:w="1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3.00 OMR</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750 OMR</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9,000 OMR / year</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251 – 500 employees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2.50 OMR</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1,250 OMR</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15,000 OMR / year</w:t>
            </w:r>
          </w:p>
        </w:tc>
      </w:tr>
      <w:tr>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501 – 1,000 employees</w:t>
            </w:r>
          </w:p>
        </w:tc>
        <w:tc>
          <w:tcPr>
            <w:tcW w:type="dxa" w:w="1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2.00 OMR</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2,000 OMR</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24,000 OMR / year</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1,001 – 2,500 employees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1.75 OMR</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4,375 OMR</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Up to 52,500 OMR / year</w:t>
            </w:r>
          </w:p>
        </w:tc>
      </w:tr>
      <w:tr>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2,501+ employees</w:t>
            </w:r>
          </w:p>
        </w:tc>
        <w:tc>
          <w:tcPr>
            <w:tcW w:type="dxa" w:w="18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Custom</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Negotiated</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Enterprise Agreement</w:t>
            </w:r>
          </w:p>
        </w:tc>
      </w:tr>
    </w:tbl>
    <w:p>
      <w:pPr>
        <w:spacing w:before="80" w:after="60"/>
        <w:jc w:val="left"/>
      </w:pPr>
      <w:r>
        <w:rPr>
          <w:rFonts w:ascii="Arial" w:cs="Arial" w:eastAsia="Arial" w:hAnsi="Arial"/>
          <w:b w:val="false"/>
          <w:bCs w:val="false"/>
          <w:i/>
          <w:iCs/>
          <w:color w:val="212121"/>
          <w:sz w:val="21"/>
          <w:szCs w:val="21"/>
        </w:rPr>
        <w:t xml:space="preserve">* PEPM pricing is based on active employees in any given month. Billing is monthly in arrears.</w:t>
      </w:r>
    </w:p>
    <w:p>
      <w:pPr>
        <w:pStyle w:val="Heading2"/>
        <w:spacing w:before="280" w:after="120"/>
      </w:pPr>
      <w:r>
        <w:rPr>
          <w:rFonts w:ascii="Arial" w:cs="Arial" w:eastAsia="Arial" w:hAnsi="Arial"/>
          <w:b/>
          <w:bCs/>
          <w:color w:val="1B3A6B"/>
          <w:sz w:val="26"/>
          <w:szCs w:val="26"/>
        </w:rPr>
        <w:t xml:space="preserve">8.3 One-Time Implementation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Unit</w:t>
            </w:r>
          </w:p>
        </w:tc>
        <w:tc>
          <w:tcPr>
            <w:tcW w:type="dxa" w:w="29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Indicative Fee (OMR)</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Project Management &amp; Business Analysis</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Fixed</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2,500 – 4,000</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System Configuration &amp; Setup</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Fixed</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3,000 – 6,000</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Data Migration (per 100 employees)</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100</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500 – 800</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WPS Bank Integration</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bank</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500</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Biometric Device Integration</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device model</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400</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ERP / Accounting Integration</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system</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1,500 – 3,000</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Training (HR + Admin)</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Fixed</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1,000 – 1,500</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Go-Live Support &amp; Hypercare (4 weeks)</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Fixed</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1,500</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Custom Report Development (per report)</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Per report</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200 – 500</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TOTAL IMPLEMENTATION (Typical 100–250 staff)</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8,000 – 16,000 OMR</w:t>
            </w:r>
          </w:p>
        </w:tc>
      </w:tr>
    </w:tbl>
    <w:p>
      <w:pPr>
        <w:pStyle w:val="Heading2"/>
        <w:spacing w:before="280" w:after="120"/>
      </w:pPr>
      <w:r>
        <w:rPr>
          <w:rFonts w:ascii="Arial" w:cs="Arial" w:eastAsia="Arial" w:hAnsi="Arial"/>
          <w:b/>
          <w:bCs/>
          <w:color w:val="1B3A6B"/>
          <w:sz w:val="26"/>
          <w:szCs w:val="26"/>
        </w:rPr>
        <w:t xml:space="preserve">8.4 Annual Maintenance &amp; Support (On-Premise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Coverage</w:t>
            </w:r>
          </w:p>
        </w:tc>
        <w:tc>
          <w:tcPr>
            <w:tcW w:type="dxa" w:w="29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Fee</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Standard Support</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Business hours (8am–6pm Sun–Thu)</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18% of licence fee</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Premium Support</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24/5 + weekend emergency line</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22% of licence fee</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Platinum / Enterprise Support</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24/7 dedicated team + SLA</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28% of licence fee</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Compliance Updates (mandatory)</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Quarterly regulatory updates</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Included in all tiers</w:t>
            </w:r>
          </w:p>
        </w:tc>
      </w:tr>
    </w:tbl>
    <w:p>
      <w:pPr>
        <w:pStyle w:val="Heading2"/>
        <w:spacing w:before="280" w:after="120"/>
      </w:pPr>
      <w:r>
        <w:rPr>
          <w:rFonts w:ascii="Arial" w:cs="Arial" w:eastAsia="Arial" w:hAnsi="Arial"/>
          <w:b/>
          <w:bCs/>
          <w:color w:val="1B3A6B"/>
          <w:sz w:val="26"/>
          <w:szCs w:val="26"/>
        </w:rPr>
        <w:t xml:space="preserve">8.5 What's Included in All Packages</w:t>
      </w:r>
    </w:p>
    <w:p>
      <w:pPr>
        <w:pStyle w:val="ListParagraph"/>
        <w:numPr>
          <w:ilvl w:val="0"/>
          <w:numId w:val="2"/>
        </w:numPr>
        <w:spacing w:before="40" w:after="40"/>
      </w:pPr>
      <w:r>
        <w:rPr>
          <w:rFonts w:ascii="Arial" w:cs="Arial" w:eastAsia="Arial" w:hAnsi="Arial"/>
          <w:color w:val="212121"/>
          <w:sz w:val="21"/>
          <w:szCs w:val="21"/>
        </w:rPr>
        <w:t xml:space="preserve">All HRMS, Payroll, ESS, and MSS modules as described in this proposal</w:t>
      </w:r>
    </w:p>
    <w:p>
      <w:pPr>
        <w:pStyle w:val="ListParagraph"/>
        <w:numPr>
          <w:ilvl w:val="0"/>
          <w:numId w:val="2"/>
        </w:numPr>
        <w:spacing w:before="40" w:after="40"/>
      </w:pPr>
      <w:r>
        <w:rPr>
          <w:rFonts w:ascii="Arial" w:cs="Arial" w:eastAsia="Arial" w:hAnsi="Arial"/>
          <w:color w:val="212121"/>
          <w:sz w:val="21"/>
          <w:szCs w:val="21"/>
        </w:rPr>
        <w:t xml:space="preserve">Bilingual interface (English and Arabic)</w:t>
      </w:r>
    </w:p>
    <w:p>
      <w:pPr>
        <w:pStyle w:val="ListParagraph"/>
        <w:numPr>
          <w:ilvl w:val="0"/>
          <w:numId w:val="2"/>
        </w:numPr>
        <w:spacing w:before="40" w:after="40"/>
      </w:pPr>
      <w:r>
        <w:rPr>
          <w:rFonts w:ascii="Arial" w:cs="Arial" w:eastAsia="Arial" w:hAnsi="Arial"/>
          <w:color w:val="212121"/>
          <w:sz w:val="21"/>
          <w:szCs w:val="21"/>
        </w:rPr>
        <w:t xml:space="preserve">WPS SIF file generation for all CBO-accredited banks</w:t>
      </w:r>
    </w:p>
    <w:p>
      <w:pPr>
        <w:pStyle w:val="ListParagraph"/>
        <w:numPr>
          <w:ilvl w:val="0"/>
          <w:numId w:val="2"/>
        </w:numPr>
        <w:spacing w:before="40" w:after="40"/>
      </w:pPr>
      <w:r>
        <w:rPr>
          <w:rFonts w:ascii="Arial" w:cs="Arial" w:eastAsia="Arial" w:hAnsi="Arial"/>
          <w:color w:val="212121"/>
          <w:sz w:val="21"/>
          <w:szCs w:val="21"/>
        </w:rPr>
        <w:t xml:space="preserve">PASI/SOCPA contribution module with form generation</w:t>
      </w:r>
    </w:p>
    <w:p>
      <w:pPr>
        <w:pStyle w:val="ListParagraph"/>
        <w:numPr>
          <w:ilvl w:val="0"/>
          <w:numId w:val="2"/>
        </w:numPr>
        <w:spacing w:before="40" w:after="40"/>
      </w:pPr>
      <w:r>
        <w:rPr>
          <w:rFonts w:ascii="Arial" w:cs="Arial" w:eastAsia="Arial" w:hAnsi="Arial"/>
          <w:color w:val="212121"/>
          <w:sz w:val="21"/>
          <w:szCs w:val="21"/>
        </w:rPr>
        <w:t xml:space="preserve">Omanisation tracking and MOM reporting</w:t>
      </w:r>
    </w:p>
    <w:p>
      <w:pPr>
        <w:pStyle w:val="ListParagraph"/>
        <w:numPr>
          <w:ilvl w:val="0"/>
          <w:numId w:val="2"/>
        </w:numPr>
        <w:spacing w:before="40" w:after="40"/>
      </w:pPr>
      <w:r>
        <w:rPr>
          <w:rFonts w:ascii="Arial" w:cs="Arial" w:eastAsia="Arial" w:hAnsi="Arial"/>
          <w:color w:val="212121"/>
          <w:sz w:val="21"/>
          <w:szCs w:val="21"/>
        </w:rPr>
        <w:t xml:space="preserve">Mobile app (iOS and Android)</w:t>
      </w:r>
    </w:p>
    <w:p>
      <w:pPr>
        <w:pStyle w:val="ListParagraph"/>
        <w:numPr>
          <w:ilvl w:val="0"/>
          <w:numId w:val="2"/>
        </w:numPr>
        <w:spacing w:before="40" w:after="40"/>
      </w:pPr>
      <w:r>
        <w:rPr>
          <w:rFonts w:ascii="Arial" w:cs="Arial" w:eastAsia="Arial" w:hAnsi="Arial"/>
          <w:color w:val="212121"/>
          <w:sz w:val="21"/>
          <w:szCs w:val="21"/>
        </w:rPr>
        <w:t xml:space="preserve">Quarterly compliance updates (Labour Law, PASI, WPS regulations)</w:t>
      </w:r>
    </w:p>
    <w:p>
      <w:pPr>
        <w:pStyle w:val="ListParagraph"/>
        <w:numPr>
          <w:ilvl w:val="0"/>
          <w:numId w:val="2"/>
        </w:numPr>
        <w:spacing w:before="40" w:after="40"/>
      </w:pPr>
      <w:r>
        <w:rPr>
          <w:rFonts w:ascii="Arial" w:cs="Arial" w:eastAsia="Arial" w:hAnsi="Arial"/>
          <w:color w:val="212121"/>
          <w:sz w:val="21"/>
          <w:szCs w:val="21"/>
        </w:rPr>
        <w:t xml:space="preserve">Standard report library (50+ built-in reports)</w:t>
      </w:r>
    </w:p>
    <w:p>
      <w:pPr>
        <w:pStyle w:val="ListParagraph"/>
        <w:numPr>
          <w:ilvl w:val="0"/>
          <w:numId w:val="2"/>
        </w:numPr>
        <w:spacing w:before="40" w:after="40"/>
      </w:pPr>
      <w:r>
        <w:rPr>
          <w:rFonts w:ascii="Arial" w:cs="Arial" w:eastAsia="Arial" w:hAnsi="Arial"/>
          <w:color w:val="212121"/>
          <w:sz w:val="21"/>
          <w:szCs w:val="21"/>
        </w:rPr>
        <w:t xml:space="preserve">E-mail and phone support during business hours</w:t>
      </w:r>
    </w:p>
    <w:p>
      <w:pPr>
        <w:pStyle w:val="ListParagraph"/>
        <w:numPr>
          <w:ilvl w:val="0"/>
          <w:numId w:val="2"/>
        </w:numPr>
        <w:spacing w:before="40" w:after="40"/>
      </w:pPr>
      <w:r>
        <w:rPr>
          <w:rFonts w:ascii="Arial" w:cs="Arial" w:eastAsia="Arial" w:hAnsi="Arial"/>
          <w:color w:val="212121"/>
          <w:sz w:val="21"/>
          <w:szCs w:val="21"/>
        </w:rPr>
        <w:t xml:space="preserve">Online help documentation and video training library</w:t>
      </w:r>
    </w:p>
    <w:p>
      <w:pPr>
        <w:pStyle w:val="ListParagraph"/>
        <w:numPr>
          <w:ilvl w:val="0"/>
          <w:numId w:val="2"/>
        </w:numPr>
        <w:spacing w:before="40" w:after="40"/>
      </w:pPr>
      <w:r>
        <w:rPr>
          <w:rFonts w:ascii="Arial" w:cs="Arial" w:eastAsia="Arial" w:hAnsi="Arial"/>
          <w:color w:val="212121"/>
          <w:sz w:val="21"/>
          <w:szCs w:val="21"/>
        </w:rPr>
        <w:t xml:space="preserve">Up to 3 workflow customisations per year at no extra charge</w:t>
      </w:r>
    </w:p>
    <w:p>
      <w:pPr>
        <w:pStyle w:val="Heading2"/>
        <w:spacing w:before="280" w:after="120"/>
      </w:pPr>
      <w:r>
        <w:rPr>
          <w:rFonts w:ascii="Arial" w:cs="Arial" w:eastAsia="Arial" w:hAnsi="Arial"/>
          <w:b/>
          <w:bCs/>
          <w:color w:val="1B3A6B"/>
          <w:sz w:val="26"/>
          <w:szCs w:val="26"/>
        </w:rPr>
        <w:t xml:space="preserve">8.6 Optional Add-On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Add-On Module</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9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 (OMR)</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Advanced Analytics &amp; BI Dashboard</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Executive dashboards with predictive HR analytics</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+0.50 PEPM</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e-Recruitment / Career Portal</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Public-facing career site with ATS integration</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800 / year</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LMS — Learning Management System</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Full e-learning platform with SCORM support</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+0.75 PEPM</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Asset Management</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Employee asset allocation and tracking</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400 / year</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Travel &amp; Expense Management</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Business travel requests and expense claims</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+0.50 PEPM</w:t>
            </w:r>
          </w:p>
        </w:tc>
      </w:tr>
      <w:tr>
        <w:tc>
          <w:tcPr>
            <w:tcW w:type="dxa" w:w="4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Visitor Management System</w:t>
            </w:r>
          </w:p>
        </w:tc>
        <w:tc>
          <w:tcPr>
            <w:tcW w:type="dxa" w:w="22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Reception-integrated visitor tracking</w:t>
            </w:r>
          </w:p>
        </w:tc>
        <w:tc>
          <w:tcPr>
            <w:tcW w:type="dxa" w:w="296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600 / year</w:t>
            </w:r>
          </w:p>
        </w:tc>
      </w:tr>
      <w:tr>
        <w:tc>
          <w:tcPr>
            <w:tcW w:type="dxa" w:w="4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Document Management (DMS)</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Unlimited HR document storage with OCR search</w:t>
            </w:r>
          </w:p>
        </w:tc>
        <w:tc>
          <w:tcPr>
            <w:tcW w:type="dxa" w:w="296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+0.25 PEPM</w:t>
            </w:r>
          </w:p>
        </w:tc>
      </w:tr>
    </w:tbl>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9. Support, Maintenance &amp; SLAs</w:t>
      </w:r>
    </w:p>
    <w:p>
      <w:pPr>
        <w:pStyle w:val="Heading2"/>
        <w:spacing w:before="280" w:after="120"/>
      </w:pPr>
      <w:r>
        <w:rPr>
          <w:rFonts w:ascii="Arial" w:cs="Arial" w:eastAsia="Arial" w:hAnsi="Arial"/>
          <w:b/>
          <w:bCs/>
          <w:color w:val="1B3A6B"/>
          <w:sz w:val="26"/>
          <w:szCs w:val="26"/>
        </w:rPr>
        <w:t xml:space="preserve">9.1 Support Channels</w:t>
      </w:r>
    </w:p>
    <w:p>
      <w:pPr>
        <w:pStyle w:val="ListParagraph"/>
        <w:numPr>
          <w:ilvl w:val="0"/>
          <w:numId w:val="2"/>
        </w:numPr>
        <w:spacing w:before="40" w:after="40"/>
      </w:pPr>
      <w:r>
        <w:rPr>
          <w:rFonts w:ascii="Arial" w:cs="Arial" w:eastAsia="Arial" w:hAnsi="Arial"/>
          <w:color w:val="212121"/>
          <w:sz w:val="21"/>
          <w:szCs w:val="21"/>
        </w:rPr>
        <w:t xml:space="preserve">Dedicated phone support line (Oman local number)</w:t>
      </w:r>
    </w:p>
    <w:p>
      <w:pPr>
        <w:pStyle w:val="ListParagraph"/>
        <w:numPr>
          <w:ilvl w:val="0"/>
          <w:numId w:val="2"/>
        </w:numPr>
        <w:spacing w:before="40" w:after="40"/>
      </w:pPr>
      <w:r>
        <w:rPr>
          <w:rFonts w:ascii="Arial" w:cs="Arial" w:eastAsia="Arial" w:hAnsi="Arial"/>
          <w:color w:val="212121"/>
          <w:sz w:val="21"/>
          <w:szCs w:val="21"/>
        </w:rPr>
        <w:t xml:space="preserve">Email support with guaranteed response times</w:t>
      </w:r>
    </w:p>
    <w:p>
      <w:pPr>
        <w:pStyle w:val="ListParagraph"/>
        <w:numPr>
          <w:ilvl w:val="0"/>
          <w:numId w:val="2"/>
        </w:numPr>
        <w:spacing w:before="40" w:after="40"/>
      </w:pPr>
      <w:r>
        <w:rPr>
          <w:rFonts w:ascii="Arial" w:cs="Arial" w:eastAsia="Arial" w:hAnsi="Arial"/>
          <w:color w:val="212121"/>
          <w:sz w:val="21"/>
          <w:szCs w:val="21"/>
        </w:rPr>
        <w:t xml:space="preserve">In-app helpdesk ticketing system</w:t>
      </w:r>
    </w:p>
    <w:p>
      <w:pPr>
        <w:pStyle w:val="ListParagraph"/>
        <w:numPr>
          <w:ilvl w:val="0"/>
          <w:numId w:val="2"/>
        </w:numPr>
        <w:spacing w:before="40" w:after="40"/>
      </w:pPr>
      <w:r>
        <w:rPr>
          <w:rFonts w:ascii="Arial" w:cs="Arial" w:eastAsia="Arial" w:hAnsi="Arial"/>
          <w:color w:val="212121"/>
          <w:sz w:val="21"/>
          <w:szCs w:val="21"/>
        </w:rPr>
        <w:t xml:space="preserve">WhatsApp Business support line for urgent issues</w:t>
      </w:r>
    </w:p>
    <w:p>
      <w:pPr>
        <w:pStyle w:val="ListParagraph"/>
        <w:numPr>
          <w:ilvl w:val="0"/>
          <w:numId w:val="2"/>
        </w:numPr>
        <w:spacing w:before="40" w:after="40"/>
      </w:pPr>
      <w:r>
        <w:rPr>
          <w:rFonts w:ascii="Arial" w:cs="Arial" w:eastAsia="Arial" w:hAnsi="Arial"/>
          <w:color w:val="212121"/>
          <w:sz w:val="21"/>
          <w:szCs w:val="21"/>
        </w:rPr>
        <w:t xml:space="preserve">Quarterly in-person review meetings</w:t>
      </w:r>
    </w:p>
    <w:p>
      <w:pPr>
        <w:pStyle w:val="ListParagraph"/>
        <w:numPr>
          <w:ilvl w:val="0"/>
          <w:numId w:val="2"/>
        </w:numPr>
        <w:spacing w:before="40" w:after="40"/>
      </w:pPr>
      <w:r>
        <w:rPr>
          <w:rFonts w:ascii="Arial" w:cs="Arial" w:eastAsia="Arial" w:hAnsi="Arial"/>
          <w:color w:val="212121"/>
          <w:sz w:val="21"/>
          <w:szCs w:val="21"/>
        </w:rPr>
        <w:t xml:space="preserve">Annual system health check and optimisation workshop</w:t>
      </w:r>
    </w:p>
    <w:p>
      <w:pPr>
        <w:pStyle w:val="Heading2"/>
        <w:spacing w:before="280" w:after="120"/>
      </w:pPr>
      <w:r>
        <w:rPr>
          <w:rFonts w:ascii="Arial" w:cs="Arial" w:eastAsia="Arial" w:hAnsi="Arial"/>
          <w:b/>
          <w:bCs/>
          <w:color w:val="1B3A6B"/>
          <w:sz w:val="26"/>
          <w:szCs w:val="26"/>
        </w:rPr>
        <w:t xml:space="preserve">9.2 Service Level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c>
          <w:tcPr>
            <w:tcW w:type="dxa" w:w="24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Initial Response</w:t>
            </w:r>
          </w:p>
        </w:tc>
        <w:tc>
          <w:tcPr>
            <w:tcW w:type="dxa" w:w="24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 Target</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P1 — Critical</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Payroll/WPS unable to run; system down</w:t>
            </w:r>
          </w:p>
        </w:tc>
        <w:tc>
          <w:tcPr>
            <w:tcW w:type="dxa" w:w="24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30 minutes</w:t>
            </w:r>
          </w:p>
        </w:tc>
        <w:tc>
          <w:tcPr>
            <w:tcW w:type="dxa" w:w="24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4 hours (24/7)</w:t>
            </w:r>
          </w:p>
        </w:tc>
      </w:tr>
      <w:tr>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P2 — High</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Major module not functioning</w:t>
            </w:r>
          </w:p>
        </w:tc>
        <w:tc>
          <w:tcPr>
            <w:tcW w:type="dxa" w:w="24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 hours</w:t>
            </w:r>
          </w:p>
        </w:tc>
        <w:tc>
          <w:tcPr>
            <w:tcW w:type="dxa" w:w="24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8 business hours</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P3 — Medium</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Functional issue with workaround</w:t>
            </w:r>
          </w:p>
        </w:tc>
        <w:tc>
          <w:tcPr>
            <w:tcW w:type="dxa" w:w="24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4 hours</w:t>
            </w:r>
          </w:p>
        </w:tc>
        <w:tc>
          <w:tcPr>
            <w:tcW w:type="dxa" w:w="24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2 business days</w:t>
            </w:r>
          </w:p>
        </w:tc>
      </w:tr>
      <w:tr>
        <w:tc>
          <w:tcPr>
            <w:tcW w:type="dxa" w:w="24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P4 — Low</w:t>
            </w:r>
          </w:p>
        </w:tc>
        <w:tc>
          <w:tcPr>
            <w:tcW w:type="dxa" w:w="20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Minor issue, cosmetic, or query</w:t>
            </w:r>
          </w:p>
        </w:tc>
        <w:tc>
          <w:tcPr>
            <w:tcW w:type="dxa" w:w="24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8 hours</w:t>
            </w:r>
          </w:p>
        </w:tc>
        <w:tc>
          <w:tcPr>
            <w:tcW w:type="dxa" w:w="24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5 business days</w:t>
            </w:r>
          </w:p>
        </w:tc>
      </w:tr>
    </w:tbl>
    <w:p>
      <w:pPr>
        <w:pStyle w:val="Heading2"/>
        <w:spacing w:before="280" w:after="120"/>
      </w:pPr>
      <w:r>
        <w:rPr>
          <w:rFonts w:ascii="Arial" w:cs="Arial" w:eastAsia="Arial" w:hAnsi="Arial"/>
          <w:b/>
          <w:bCs/>
          <w:color w:val="1B3A6B"/>
          <w:sz w:val="26"/>
          <w:szCs w:val="26"/>
        </w:rPr>
        <w:t xml:space="preserve">9.3 Regulatory Compliance Maintenance</w:t>
      </w:r>
    </w:p>
    <w:p>
      <w:pPr>
        <w:spacing w:before="120" w:after="60"/>
        <w:jc w:val="left"/>
      </w:pPr>
      <w:r>
        <w:rPr>
          <w:rFonts w:ascii="Arial" w:cs="Arial" w:eastAsia="Arial" w:hAnsi="Arial"/>
          <w:b w:val="false"/>
          <w:bCs w:val="false"/>
          <w:i w:val="false"/>
          <w:iCs w:val="false"/>
          <w:color w:val="212121"/>
          <w:sz w:val="21"/>
          <w:szCs w:val="21"/>
        </w:rPr>
        <w:t xml:space="preserve">Oman's regulatory environment evolves regularly. Our dedicated compliance team monitors:</w:t>
      </w:r>
    </w:p>
    <w:p>
      <w:pPr>
        <w:pStyle w:val="ListParagraph"/>
        <w:numPr>
          <w:ilvl w:val="0"/>
          <w:numId w:val="2"/>
        </w:numPr>
        <w:spacing w:before="40" w:after="40"/>
      </w:pPr>
      <w:r>
        <w:rPr>
          <w:rFonts w:ascii="Arial" w:cs="Arial" w:eastAsia="Arial" w:hAnsi="Arial"/>
          <w:color w:val="212121"/>
          <w:sz w:val="21"/>
          <w:szCs w:val="21"/>
        </w:rPr>
        <w:t xml:space="preserve">Ministry of Manpower circulars and labour law amendments</w:t>
      </w:r>
    </w:p>
    <w:p>
      <w:pPr>
        <w:pStyle w:val="ListParagraph"/>
        <w:numPr>
          <w:ilvl w:val="0"/>
          <w:numId w:val="2"/>
        </w:numPr>
        <w:spacing w:before="40" w:after="40"/>
      </w:pPr>
      <w:r>
        <w:rPr>
          <w:rFonts w:ascii="Arial" w:cs="Arial" w:eastAsia="Arial" w:hAnsi="Arial"/>
          <w:color w:val="212121"/>
          <w:sz w:val="21"/>
          <w:szCs w:val="21"/>
        </w:rPr>
        <w:t xml:space="preserve">PASI/SOCPA rate changes and new form requirements</w:t>
      </w:r>
    </w:p>
    <w:p>
      <w:pPr>
        <w:pStyle w:val="ListParagraph"/>
        <w:numPr>
          <w:ilvl w:val="0"/>
          <w:numId w:val="2"/>
        </w:numPr>
        <w:spacing w:before="40" w:after="40"/>
      </w:pPr>
      <w:r>
        <w:rPr>
          <w:rFonts w:ascii="Arial" w:cs="Arial" w:eastAsia="Arial" w:hAnsi="Arial"/>
          <w:color w:val="212121"/>
          <w:sz w:val="21"/>
          <w:szCs w:val="21"/>
        </w:rPr>
        <w:t xml:space="preserve">CBO WPS format updates and bank integration changes</w:t>
      </w:r>
    </w:p>
    <w:p>
      <w:pPr>
        <w:pStyle w:val="ListParagraph"/>
        <w:numPr>
          <w:ilvl w:val="0"/>
          <w:numId w:val="2"/>
        </w:numPr>
        <w:spacing w:before="40" w:after="40"/>
      </w:pPr>
      <w:r>
        <w:rPr>
          <w:rFonts w:ascii="Arial" w:cs="Arial" w:eastAsia="Arial" w:hAnsi="Arial"/>
          <w:color w:val="212121"/>
          <w:sz w:val="21"/>
          <w:szCs w:val="21"/>
        </w:rPr>
        <w:t xml:space="preserve">National holiday calendar updates (including Islamic calendar adjustments)</w:t>
      </w:r>
    </w:p>
    <w:p>
      <w:pPr>
        <w:pStyle w:val="ListParagraph"/>
        <w:numPr>
          <w:ilvl w:val="0"/>
          <w:numId w:val="2"/>
        </w:numPr>
        <w:spacing w:before="40" w:after="40"/>
      </w:pPr>
      <w:r>
        <w:rPr>
          <w:rFonts w:ascii="Arial" w:cs="Arial" w:eastAsia="Arial" w:hAnsi="Arial"/>
          <w:color w:val="212121"/>
          <w:sz w:val="21"/>
          <w:szCs w:val="21"/>
        </w:rPr>
        <w:t xml:space="preserve">Omanisation quota revisions by industry sector</w:t>
      </w:r>
    </w:p>
    <w:p>
      <w:pPr>
        <w:spacing w:before="60" w:after="60"/>
        <w:jc w:val="left"/>
      </w:pPr>
      <w:r>
        <w:rPr>
          <w:rFonts w:ascii="Arial" w:cs="Arial" w:eastAsia="Arial" w:hAnsi="Arial"/>
          <w:b w:val="false"/>
          <w:bCs w:val="false"/>
          <w:i w:val="false"/>
          <w:iCs w:val="false"/>
          <w:color w:val="212121"/>
          <w:sz w:val="21"/>
          <w:szCs w:val="21"/>
        </w:rPr>
        <w:t xml:space="preserve">All regulatory updates are released as system patches within 15 business days of official gazette publication and are included in the subscription/maintenance fee at no additional cost.</w:t>
      </w:r>
    </w:p>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10. Why Choose Our Solution</w:t>
      </w:r>
    </w:p>
    <w:p>
      <w:pPr>
        <w:pStyle w:val="Heading2"/>
        <w:spacing w:before="280" w:after="120"/>
      </w:pPr>
      <w:r>
        <w:rPr>
          <w:rFonts w:ascii="Arial" w:cs="Arial" w:eastAsia="Arial" w:hAnsi="Arial"/>
          <w:b/>
          <w:bCs/>
          <w:color w:val="1B3A6B"/>
          <w:sz w:val="26"/>
          <w:szCs w:val="26"/>
        </w:rPr>
        <w:t xml:space="preserve">10.1 Oman-Specific Expertise</w:t>
      </w:r>
    </w:p>
    <w:p>
      <w:pPr>
        <w:pStyle w:val="ListParagraph"/>
        <w:numPr>
          <w:ilvl w:val="0"/>
          <w:numId w:val="2"/>
        </w:numPr>
        <w:spacing w:before="40" w:after="40"/>
      </w:pPr>
      <w:r>
        <w:rPr>
          <w:rFonts w:ascii="Arial" w:cs="Arial" w:eastAsia="Arial" w:hAnsi="Arial"/>
          <w:color w:val="212121"/>
          <w:sz w:val="21"/>
          <w:szCs w:val="21"/>
        </w:rPr>
        <w:t xml:space="preserve">Solution built from the ground up for Oman's regulatory requirements — not a generic system adapted post-implementation</w:t>
      </w:r>
    </w:p>
    <w:p>
      <w:pPr>
        <w:pStyle w:val="ListParagraph"/>
        <w:numPr>
          <w:ilvl w:val="0"/>
          <w:numId w:val="2"/>
        </w:numPr>
        <w:spacing w:before="40" w:after="40"/>
      </w:pPr>
      <w:r>
        <w:rPr>
          <w:rFonts w:ascii="Arial" w:cs="Arial" w:eastAsia="Arial" w:hAnsi="Arial"/>
          <w:color w:val="212121"/>
          <w:sz w:val="21"/>
          <w:szCs w:val="21"/>
        </w:rPr>
        <w:t xml:space="preserve">Deep experience with WPS bank integrations with all major Oman banks</w:t>
      </w:r>
    </w:p>
    <w:p>
      <w:pPr>
        <w:pStyle w:val="ListParagraph"/>
        <w:numPr>
          <w:ilvl w:val="0"/>
          <w:numId w:val="2"/>
        </w:numPr>
        <w:spacing w:before="40" w:after="40"/>
      </w:pPr>
      <w:r>
        <w:rPr>
          <w:rFonts w:ascii="Arial" w:cs="Arial" w:eastAsia="Arial" w:hAnsi="Arial"/>
          <w:color w:val="212121"/>
          <w:sz w:val="21"/>
          <w:szCs w:val="21"/>
        </w:rPr>
        <w:t xml:space="preserve">PASI/SOCPA portal integration with tested and live API connections</w:t>
      </w:r>
    </w:p>
    <w:p>
      <w:pPr>
        <w:pStyle w:val="ListParagraph"/>
        <w:numPr>
          <w:ilvl w:val="0"/>
          <w:numId w:val="2"/>
        </w:numPr>
        <w:spacing w:before="40" w:after="40"/>
      </w:pPr>
      <w:r>
        <w:rPr>
          <w:rFonts w:ascii="Arial" w:cs="Arial" w:eastAsia="Arial" w:hAnsi="Arial"/>
          <w:color w:val="212121"/>
          <w:sz w:val="21"/>
          <w:szCs w:val="21"/>
        </w:rPr>
        <w:t xml:space="preserve">Bilingual Arabic/English interface designed for Oman's diverse workforce</w:t>
      </w:r>
    </w:p>
    <w:p>
      <w:pPr>
        <w:pStyle w:val="Heading2"/>
        <w:spacing w:before="280" w:after="120"/>
      </w:pPr>
      <w:r>
        <w:rPr>
          <w:rFonts w:ascii="Arial" w:cs="Arial" w:eastAsia="Arial" w:hAnsi="Arial"/>
          <w:b/>
          <w:bCs/>
          <w:color w:val="1B3A6B"/>
          <w:sz w:val="26"/>
          <w:szCs w:val="26"/>
        </w:rPr>
        <w:t xml:space="preserve">10.2 Proven Track Record</w:t>
      </w:r>
    </w:p>
    <w:p>
      <w:pPr>
        <w:pStyle w:val="ListParagraph"/>
        <w:numPr>
          <w:ilvl w:val="0"/>
          <w:numId w:val="2"/>
        </w:numPr>
        <w:spacing w:before="40" w:after="40"/>
      </w:pPr>
      <w:r>
        <w:rPr>
          <w:rFonts w:ascii="Arial" w:cs="Arial" w:eastAsia="Arial" w:hAnsi="Arial"/>
          <w:color w:val="212121"/>
          <w:sz w:val="21"/>
          <w:szCs w:val="21"/>
        </w:rPr>
        <w:t xml:space="preserve">Over [X] organisations successfully live in Oman across Oil &amp; Gas, Construction, Retail, Hospitality, and Government sectors</w:t>
      </w:r>
    </w:p>
    <w:p>
      <w:pPr>
        <w:pStyle w:val="ListParagraph"/>
        <w:numPr>
          <w:ilvl w:val="0"/>
          <w:numId w:val="2"/>
        </w:numPr>
        <w:spacing w:before="40" w:after="40"/>
      </w:pPr>
      <w:r>
        <w:rPr>
          <w:rFonts w:ascii="Arial" w:cs="Arial" w:eastAsia="Arial" w:hAnsi="Arial"/>
          <w:color w:val="212121"/>
          <w:sz w:val="21"/>
          <w:szCs w:val="21"/>
        </w:rPr>
        <w:t xml:space="preserve">Managing payroll for [X,000]+ employees across Oman monthly</w:t>
      </w:r>
    </w:p>
    <w:p>
      <w:pPr>
        <w:pStyle w:val="ListParagraph"/>
        <w:numPr>
          <w:ilvl w:val="0"/>
          <w:numId w:val="2"/>
        </w:numPr>
        <w:spacing w:before="40" w:after="40"/>
      </w:pPr>
      <w:r>
        <w:rPr>
          <w:rFonts w:ascii="Arial" w:cs="Arial" w:eastAsia="Arial" w:hAnsi="Arial"/>
          <w:color w:val="212121"/>
          <w:sz w:val="21"/>
          <w:szCs w:val="21"/>
        </w:rPr>
        <w:t xml:space="preserve">100% WPS compliance record across all client organisations</w:t>
      </w:r>
    </w:p>
    <w:p>
      <w:pPr>
        <w:pStyle w:val="ListParagraph"/>
        <w:numPr>
          <w:ilvl w:val="0"/>
          <w:numId w:val="2"/>
        </w:numPr>
        <w:spacing w:before="40" w:after="40"/>
      </w:pPr>
      <w:r>
        <w:rPr>
          <w:rFonts w:ascii="Arial" w:cs="Arial" w:eastAsia="Arial" w:hAnsi="Arial"/>
          <w:color w:val="212121"/>
          <w:sz w:val="21"/>
          <w:szCs w:val="21"/>
        </w:rPr>
        <w:t xml:space="preserve">Zero regulatory penalties incurred by any client under our system</w:t>
      </w:r>
    </w:p>
    <w:p>
      <w:pPr>
        <w:pStyle w:val="Heading2"/>
        <w:spacing w:before="280" w:after="120"/>
      </w:pPr>
      <w:r>
        <w:rPr>
          <w:rFonts w:ascii="Arial" w:cs="Arial" w:eastAsia="Arial" w:hAnsi="Arial"/>
          <w:b/>
          <w:bCs/>
          <w:color w:val="1B3A6B"/>
          <w:sz w:val="26"/>
          <w:szCs w:val="26"/>
        </w:rPr>
        <w:t xml:space="preserve">10.3 Total Cost of Ownership</w:t>
      </w:r>
    </w:p>
    <w:p>
      <w:pPr>
        <w:pStyle w:val="ListParagraph"/>
        <w:numPr>
          <w:ilvl w:val="0"/>
          <w:numId w:val="2"/>
        </w:numPr>
        <w:spacing w:before="40" w:after="40"/>
      </w:pPr>
      <w:r>
        <w:rPr>
          <w:rFonts w:ascii="Arial" w:cs="Arial" w:eastAsia="Arial" w:hAnsi="Arial"/>
          <w:color w:val="212121"/>
          <w:sz w:val="21"/>
          <w:szCs w:val="21"/>
        </w:rPr>
        <w:t xml:space="preserve">No hidden fees: all compliance updates, support, and mobile app included in subscription</w:t>
      </w:r>
    </w:p>
    <w:p>
      <w:pPr>
        <w:pStyle w:val="ListParagraph"/>
        <w:numPr>
          <w:ilvl w:val="0"/>
          <w:numId w:val="2"/>
        </w:numPr>
        <w:spacing w:before="40" w:after="40"/>
      </w:pPr>
      <w:r>
        <w:rPr>
          <w:rFonts w:ascii="Arial" w:cs="Arial" w:eastAsia="Arial" w:hAnsi="Arial"/>
          <w:color w:val="212121"/>
          <w:sz w:val="21"/>
          <w:szCs w:val="21"/>
        </w:rPr>
        <w:t xml:space="preserve">Eliminates cost of dedicated payroll staff for calculations and WPS/PASI processing</w:t>
      </w:r>
    </w:p>
    <w:p>
      <w:pPr>
        <w:pStyle w:val="ListParagraph"/>
        <w:numPr>
          <w:ilvl w:val="0"/>
          <w:numId w:val="2"/>
        </w:numPr>
        <w:spacing w:before="40" w:after="40"/>
      </w:pPr>
      <w:r>
        <w:rPr>
          <w:rFonts w:ascii="Arial" w:cs="Arial" w:eastAsia="Arial" w:hAnsi="Arial"/>
          <w:color w:val="212121"/>
          <w:sz w:val="21"/>
          <w:szCs w:val="21"/>
        </w:rPr>
        <w:t xml:space="preserve">Paperless HR reduces printing, storage, and courier costs</w:t>
      </w:r>
    </w:p>
    <w:p>
      <w:pPr>
        <w:pStyle w:val="ListParagraph"/>
        <w:numPr>
          <w:ilvl w:val="0"/>
          <w:numId w:val="2"/>
        </w:numPr>
        <w:spacing w:before="40" w:after="40"/>
      </w:pPr>
      <w:r>
        <w:rPr>
          <w:rFonts w:ascii="Arial" w:cs="Arial" w:eastAsia="Arial" w:hAnsi="Arial"/>
          <w:color w:val="212121"/>
          <w:sz w:val="21"/>
          <w:szCs w:val="21"/>
        </w:rPr>
        <w:t xml:space="preserve">Cloud SaaS model eliminates infrastructure investment and IT maintenance overhead</w:t>
      </w:r>
    </w:p>
    <w:p>
      <w:pPr>
        <w:pStyle w:val="Heading2"/>
        <w:spacing w:before="280" w:after="120"/>
      </w:pPr>
      <w:r>
        <w:rPr>
          <w:rFonts w:ascii="Arial" w:cs="Arial" w:eastAsia="Arial" w:hAnsi="Arial"/>
          <w:b/>
          <w:bCs/>
          <w:color w:val="1B3A6B"/>
          <w:sz w:val="26"/>
          <w:szCs w:val="26"/>
        </w:rPr>
        <w:t xml:space="preserve">10.4 Implementation Assurance</w:t>
      </w:r>
    </w:p>
    <w:p>
      <w:pPr>
        <w:pStyle w:val="ListParagraph"/>
        <w:numPr>
          <w:ilvl w:val="0"/>
          <w:numId w:val="2"/>
        </w:numPr>
        <w:spacing w:before="40" w:after="40"/>
      </w:pPr>
      <w:r>
        <w:rPr>
          <w:rFonts w:ascii="Arial" w:cs="Arial" w:eastAsia="Arial" w:hAnsi="Arial"/>
          <w:color w:val="212121"/>
          <w:sz w:val="21"/>
          <w:szCs w:val="21"/>
        </w:rPr>
        <w:t xml:space="preserve">Dedicated Oman-based project team with Arabic-speaking consultants</w:t>
      </w:r>
    </w:p>
    <w:p>
      <w:pPr>
        <w:pStyle w:val="ListParagraph"/>
        <w:numPr>
          <w:ilvl w:val="0"/>
          <w:numId w:val="2"/>
        </w:numPr>
        <w:spacing w:before="40" w:after="40"/>
      </w:pPr>
      <w:r>
        <w:rPr>
          <w:rFonts w:ascii="Arial" w:cs="Arial" w:eastAsia="Arial" w:hAnsi="Arial"/>
          <w:color w:val="212121"/>
          <w:sz w:val="21"/>
          <w:szCs w:val="21"/>
        </w:rPr>
        <w:t xml:space="preserve">Parallel payroll run with no go-live pressure until client is confident</w:t>
      </w:r>
    </w:p>
    <w:p>
      <w:pPr>
        <w:pStyle w:val="ListParagraph"/>
        <w:numPr>
          <w:ilvl w:val="0"/>
          <w:numId w:val="2"/>
        </w:numPr>
        <w:spacing w:before="40" w:after="40"/>
      </w:pPr>
      <w:r>
        <w:rPr>
          <w:rFonts w:ascii="Arial" w:cs="Arial" w:eastAsia="Arial" w:hAnsi="Arial"/>
          <w:color w:val="212121"/>
          <w:sz w:val="21"/>
          <w:szCs w:val="21"/>
        </w:rPr>
        <w:t xml:space="preserve">Free training refresh for HR team up to 6 months post go-live</w:t>
      </w:r>
    </w:p>
    <w:p>
      <w:pPr>
        <w:pStyle w:val="ListParagraph"/>
        <w:numPr>
          <w:ilvl w:val="0"/>
          <w:numId w:val="2"/>
        </w:numPr>
        <w:spacing w:before="40" w:after="40"/>
      </w:pPr>
      <w:r>
        <w:rPr>
          <w:rFonts w:ascii="Arial" w:cs="Arial" w:eastAsia="Arial" w:hAnsi="Arial"/>
          <w:color w:val="212121"/>
          <w:sz w:val="21"/>
          <w:szCs w:val="21"/>
        </w:rPr>
        <w:t xml:space="preserve">Data migration guarantee: all data verified before decommissioning old system</w:t>
      </w:r>
    </w:p>
    <w:p>
      <w:pPr>
        <w:pStyle w:val="Heading2"/>
        <w:spacing w:before="280" w:after="120"/>
      </w:pPr>
      <w:r>
        <w:rPr>
          <w:rFonts w:ascii="Arial" w:cs="Arial" w:eastAsia="Arial" w:hAnsi="Arial"/>
          <w:b/>
          <w:bCs/>
          <w:color w:val="1B3A6B"/>
          <w:sz w:val="26"/>
          <w:szCs w:val="26"/>
        </w:rPr>
        <w:t xml:space="preserve">10.5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28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Our Solution</w:t>
            </w:r>
          </w:p>
        </w:tc>
        <w:tc>
          <w:tcPr>
            <w:tcW w:type="dxa" w:w="288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Typical Competitors</w:t>
            </w:r>
          </w:p>
        </w:tc>
      </w:tr>
      <w:tr>
        <w:tc>
          <w:tcPr>
            <w:tcW w:type="dxa" w:w="36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Oman WPS Compliance (all banks)</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Native / Built-in</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Plugin / Manual</w:t>
            </w:r>
          </w:p>
        </w:tc>
      </w:tr>
      <w:tr>
        <w:tc>
          <w:tcPr>
            <w:tcW w:type="dxa" w:w="36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PASI Auto-Submission</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Yes — API integrated</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Manual upload only</w:t>
            </w:r>
          </w:p>
        </w:tc>
      </w:tr>
      <w:tr>
        <w:tc>
          <w:tcPr>
            <w:tcW w:type="dxa" w:w="36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Arabic RTL Interface</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Full bilingual</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Partial / English only</w:t>
            </w:r>
          </w:p>
        </w:tc>
      </w:tr>
      <w:tr>
        <w:tc>
          <w:tcPr>
            <w:tcW w:type="dxa" w:w="36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Omanisation Dashboard</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Real-time with alerts</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Basic report only</w:t>
            </w:r>
          </w:p>
        </w:tc>
      </w:tr>
      <w:tr>
        <w:tc>
          <w:tcPr>
            <w:tcW w:type="dxa" w:w="36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Labour Law Leave Engine</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Pre-configured</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Manual configuration</w:t>
            </w:r>
          </w:p>
        </w:tc>
      </w:tr>
      <w:tr>
        <w:tc>
          <w:tcPr>
            <w:tcW w:type="dxa" w:w="36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Compliance Update Frequency</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Quarterly (included)</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Annual / paid</w:t>
            </w:r>
          </w:p>
        </w:tc>
      </w:tr>
      <w:tr>
        <w:tc>
          <w:tcPr>
            <w:tcW w:type="dxa" w:w="36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Mobile App</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Native iOS + Android</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Responsive web only</w:t>
            </w:r>
          </w:p>
        </w:tc>
      </w:tr>
      <w:tr>
        <w:tc>
          <w:tcPr>
            <w:tcW w:type="dxa" w:w="360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EOSB Calculation</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Automated (full rules)</w:t>
            </w:r>
          </w:p>
        </w:tc>
        <w:tc>
          <w:tcPr>
            <w:tcW w:type="dxa" w:w="2880"/>
            <w:tcBorders>
              <w:top w:val="single" w:color="BDBDBD" w:sz="4"/>
              <w:left w:val="single" w:color="BDBDBD" w:sz="4"/>
              <w:bottom w:val="single" w:color="BDBDBD" w:sz="4"/>
              <w:right w:val="single" w:color="BDBDBD" w:sz="4"/>
            </w:tcBorders>
            <w:shd w:fill="F5F6FA"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Basic / configurable</w:t>
            </w:r>
          </w:p>
        </w:tc>
      </w:tr>
      <w:tr>
        <w:tc>
          <w:tcPr>
            <w:tcW w:type="dxa" w:w="360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left"/>
            </w:pPr>
            <w:r>
              <w:rPr>
                <w:rFonts w:ascii="Arial" w:cs="Arial" w:eastAsia="Arial" w:hAnsi="Arial"/>
                <w:color w:val="212121"/>
                <w:sz w:val="20"/>
                <w:szCs w:val="20"/>
              </w:rPr>
              <w:t xml:space="preserve">Local Oman Support Team</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Yes (Arabic + English)</w:t>
            </w:r>
          </w:p>
        </w:tc>
        <w:tc>
          <w:tcPr>
            <w:tcW w:type="dxa" w:w="2880"/>
            <w:tcBorders>
              <w:top w:val="single" w:color="BDBDBD" w:sz="4"/>
              <w:left w:val="single" w:color="BDBDBD" w:sz="4"/>
              <w:bottom w:val="single" w:color="BDBDBD" w:sz="4"/>
              <w:right w:val="single" w:color="BDBDBD" w:sz="4"/>
            </w:tcBorders>
            <w:shd w:fill="FFFFFF" w:val="clear"/>
            <w:tcMar>
              <w:top w:type="dxa" w:w="100"/>
              <w:left w:type="dxa" w:w="150"/>
              <w:bottom w:type="dxa" w:w="100"/>
              <w:right w:type="dxa" w:w="150"/>
            </w:tcMar>
            <w:vAlign w:val="center"/>
          </w:tcPr>
          <w:p>
            <w:pPr>
              <w:jc w:val="center"/>
            </w:pPr>
            <w:r>
              <w:rPr>
                <w:rFonts w:ascii="Arial" w:cs="Arial" w:eastAsia="Arial" w:hAnsi="Arial"/>
                <w:color w:val="212121"/>
                <w:sz w:val="20"/>
                <w:szCs w:val="20"/>
              </w:rPr>
              <w:t xml:space="preserve">Remote / International</w:t>
            </w:r>
          </w:p>
        </w:tc>
      </w:tr>
    </w:tbl>
    <w:p>
      <w:r>
        <w:br w:type="page"/>
      </w:r>
    </w:p>
    <w:p>
      <w:pPr>
        <w:pStyle w:val="Heading1"/>
        <w:pBdr>
          <w:bottom w:val="single" w:color="C8A951" w:sz="8" w:space="4"/>
        </w:pBdr>
        <w:spacing w:before="360" w:after="160"/>
      </w:pPr>
      <w:r>
        <w:rPr>
          <w:rFonts w:ascii="Arial" w:cs="Arial" w:eastAsia="Arial" w:hAnsi="Arial"/>
          <w:b/>
          <w:bCs/>
          <w:color w:val="1B3A6B"/>
          <w:sz w:val="32"/>
          <w:szCs w:val="32"/>
        </w:rPr>
        <w:t xml:space="preserve">11. Proposal Terms &amp; Conditions</w:t>
      </w:r>
    </w:p>
    <w:p>
      <w:pPr>
        <w:pStyle w:val="Heading2"/>
        <w:spacing w:before="280" w:after="120"/>
      </w:pPr>
      <w:r>
        <w:rPr>
          <w:rFonts w:ascii="Arial" w:cs="Arial" w:eastAsia="Arial" w:hAnsi="Arial"/>
          <w:b/>
          <w:bCs/>
          <w:color w:val="1B3A6B"/>
          <w:sz w:val="26"/>
          <w:szCs w:val="26"/>
        </w:rPr>
        <w:t xml:space="preserve">11.1 General Terms</w:t>
      </w:r>
    </w:p>
    <w:p>
      <w:pPr>
        <w:pStyle w:val="ListParagraph"/>
        <w:numPr>
          <w:ilvl w:val="0"/>
          <w:numId w:val="3"/>
        </w:numPr>
        <w:spacing w:before="40" w:after="40"/>
      </w:pPr>
      <w:r>
        <w:rPr>
          <w:rFonts w:ascii="Arial" w:cs="Arial" w:eastAsia="Arial" w:hAnsi="Arial"/>
          <w:color w:val="212121"/>
          <w:sz w:val="21"/>
          <w:szCs w:val="21"/>
        </w:rPr>
        <w:t xml:space="preserve">This proposal is valid for 90 days from the date of issue (March 2026).</w:t>
      </w:r>
    </w:p>
    <w:p>
      <w:pPr>
        <w:pStyle w:val="ListParagraph"/>
        <w:numPr>
          <w:ilvl w:val="0"/>
          <w:numId w:val="3"/>
        </w:numPr>
        <w:spacing w:before="40" w:after="40"/>
      </w:pPr>
      <w:r>
        <w:rPr>
          <w:rFonts w:ascii="Arial" w:cs="Arial" w:eastAsia="Arial" w:hAnsi="Arial"/>
          <w:color w:val="212121"/>
          <w:sz w:val="21"/>
          <w:szCs w:val="21"/>
        </w:rPr>
        <w:t xml:space="preserve">Pricing is quoted in Omani Rial (OMR) exclusive of VAT (if/when applicable in Oman).</w:t>
      </w:r>
    </w:p>
    <w:p>
      <w:pPr>
        <w:pStyle w:val="ListParagraph"/>
        <w:numPr>
          <w:ilvl w:val="0"/>
          <w:numId w:val="3"/>
        </w:numPr>
        <w:spacing w:before="40" w:after="40"/>
      </w:pPr>
      <w:r>
        <w:rPr>
          <w:rFonts w:ascii="Arial" w:cs="Arial" w:eastAsia="Arial" w:hAnsi="Arial"/>
          <w:color w:val="212121"/>
          <w:sz w:val="21"/>
          <w:szCs w:val="21"/>
        </w:rPr>
        <w:t xml:space="preserve">Implementation fees are payable as follows: 40% on contract signing, 40% on Go-Live, 20% at end of hypercare period.</w:t>
      </w:r>
    </w:p>
    <w:p>
      <w:pPr>
        <w:pStyle w:val="ListParagraph"/>
        <w:numPr>
          <w:ilvl w:val="0"/>
          <w:numId w:val="3"/>
        </w:numPr>
        <w:spacing w:before="40" w:after="40"/>
      </w:pPr>
      <w:r>
        <w:rPr>
          <w:rFonts w:ascii="Arial" w:cs="Arial" w:eastAsia="Arial" w:hAnsi="Arial"/>
          <w:color w:val="212121"/>
          <w:sz w:val="21"/>
          <w:szCs w:val="21"/>
        </w:rPr>
        <w:t xml:space="preserve">Annual SaaS subscription is payable annually in advance or quarterly in advance at a 5% premium.</w:t>
      </w:r>
    </w:p>
    <w:p>
      <w:pPr>
        <w:pStyle w:val="ListParagraph"/>
        <w:numPr>
          <w:ilvl w:val="0"/>
          <w:numId w:val="3"/>
        </w:numPr>
        <w:spacing w:before="40" w:after="40"/>
      </w:pPr>
      <w:r>
        <w:rPr>
          <w:rFonts w:ascii="Arial" w:cs="Arial" w:eastAsia="Arial" w:hAnsi="Arial"/>
          <w:color w:val="212121"/>
          <w:sz w:val="21"/>
          <w:szCs w:val="21"/>
        </w:rPr>
        <w:t xml:space="preserve">All source code, IP, and system components remain the intellectual property of Nexura Business Solutions LLC. Al Sawari International Investment Company SAOC receives a perpetual right-to-use licence.</w:t>
      </w:r>
    </w:p>
    <w:p>
      <w:pPr>
        <w:pStyle w:val="ListParagraph"/>
        <w:numPr>
          <w:ilvl w:val="0"/>
          <w:numId w:val="3"/>
        </w:numPr>
        <w:spacing w:before="40" w:after="40"/>
      </w:pPr>
      <w:r>
        <w:rPr>
          <w:rFonts w:ascii="Arial" w:cs="Arial" w:eastAsia="Arial" w:hAnsi="Arial"/>
          <w:color w:val="212121"/>
          <w:sz w:val="21"/>
          <w:szCs w:val="21"/>
        </w:rPr>
        <w:t xml:space="preserve">Data ownership: all data belonging to Al Sawari International Investment Company SAOC remains the exclusive property of the client at all times.</w:t>
      </w:r>
    </w:p>
    <w:p>
      <w:pPr>
        <w:pStyle w:val="Heading2"/>
        <w:spacing w:before="280" w:after="120"/>
      </w:pPr>
      <w:r>
        <w:rPr>
          <w:rFonts w:ascii="Arial" w:cs="Arial" w:eastAsia="Arial" w:hAnsi="Arial"/>
          <w:b/>
          <w:bCs/>
          <w:color w:val="1B3A6B"/>
          <w:sz w:val="26"/>
          <w:szCs w:val="26"/>
        </w:rPr>
        <w:t xml:space="preserve">11.2 Assumptions &amp; Exclusions</w:t>
      </w:r>
    </w:p>
    <w:p>
      <w:pPr>
        <w:pStyle w:val="ListParagraph"/>
        <w:numPr>
          <w:ilvl w:val="0"/>
          <w:numId w:val="2"/>
        </w:numPr>
        <w:spacing w:before="40" w:after="40"/>
      </w:pPr>
      <w:r>
        <w:rPr>
          <w:rFonts w:ascii="Arial" w:cs="Arial" w:eastAsia="Arial" w:hAnsi="Arial"/>
          <w:color w:val="212121"/>
          <w:sz w:val="21"/>
          <w:szCs w:val="21"/>
        </w:rPr>
        <w:t xml:space="preserve">Implementation fees assume a single legal entity; multi-entity projects are scoped separately</w:t>
      </w:r>
    </w:p>
    <w:p>
      <w:pPr>
        <w:pStyle w:val="ListParagraph"/>
        <w:numPr>
          <w:ilvl w:val="0"/>
          <w:numId w:val="2"/>
        </w:numPr>
        <w:spacing w:before="40" w:after="40"/>
      </w:pPr>
      <w:r>
        <w:rPr>
          <w:rFonts w:ascii="Arial" w:cs="Arial" w:eastAsia="Arial" w:hAnsi="Arial"/>
          <w:color w:val="212121"/>
          <w:sz w:val="21"/>
          <w:szCs w:val="21"/>
        </w:rPr>
        <w:t xml:space="preserve">Client to provide all employee data in vendor-specified templates</w:t>
      </w:r>
    </w:p>
    <w:p>
      <w:pPr>
        <w:pStyle w:val="ListParagraph"/>
        <w:numPr>
          <w:ilvl w:val="0"/>
          <w:numId w:val="2"/>
        </w:numPr>
        <w:spacing w:before="40" w:after="40"/>
      </w:pPr>
      <w:r>
        <w:rPr>
          <w:rFonts w:ascii="Arial" w:cs="Arial" w:eastAsia="Arial" w:hAnsi="Arial"/>
          <w:color w:val="212121"/>
          <w:sz w:val="21"/>
          <w:szCs w:val="21"/>
        </w:rPr>
        <w:t xml:space="preserve">Network infrastructure, hardware, and internet connectivity are client responsibilities</w:t>
      </w:r>
    </w:p>
    <w:p>
      <w:pPr>
        <w:pStyle w:val="ListParagraph"/>
        <w:numPr>
          <w:ilvl w:val="0"/>
          <w:numId w:val="2"/>
        </w:numPr>
        <w:spacing w:before="40" w:after="40"/>
      </w:pPr>
      <w:r>
        <w:rPr>
          <w:rFonts w:ascii="Arial" w:cs="Arial" w:eastAsia="Arial" w:hAnsi="Arial"/>
          <w:color w:val="212121"/>
          <w:sz w:val="21"/>
          <w:szCs w:val="21"/>
        </w:rPr>
        <w:t xml:space="preserve">Third-party software licences (biometric SDK, SMS gateway) are additional</w:t>
      </w:r>
    </w:p>
    <w:p>
      <w:pPr>
        <w:pStyle w:val="ListParagraph"/>
        <w:numPr>
          <w:ilvl w:val="0"/>
          <w:numId w:val="2"/>
        </w:numPr>
        <w:spacing w:before="40" w:after="40"/>
      </w:pPr>
      <w:r>
        <w:rPr>
          <w:rFonts w:ascii="Arial" w:cs="Arial" w:eastAsia="Arial" w:hAnsi="Arial"/>
          <w:color w:val="212121"/>
          <w:sz w:val="21"/>
          <w:szCs w:val="21"/>
        </w:rPr>
        <w:t xml:space="preserve">Custom development beyond agreed scope is quoted separately on a time-and-materials basis</w:t>
      </w:r>
    </w:p>
    <w:p>
      <w:pPr>
        <w:pStyle w:val="ListParagraph"/>
        <w:numPr>
          <w:ilvl w:val="0"/>
          <w:numId w:val="2"/>
        </w:numPr>
        <w:spacing w:before="40" w:after="40"/>
      </w:pPr>
      <w:r>
        <w:rPr>
          <w:rFonts w:ascii="Arial" w:cs="Arial" w:eastAsia="Arial" w:hAnsi="Arial"/>
          <w:color w:val="212121"/>
          <w:sz w:val="21"/>
          <w:szCs w:val="21"/>
        </w:rPr>
        <w:t xml:space="preserve">Any government fees (e.g., MOM portal registration) are the client's responsibility</w:t>
      </w:r>
    </w:p>
    <w:p>
      <w:pPr>
        <w:pStyle w:val="Heading2"/>
        <w:spacing w:before="280" w:after="120"/>
      </w:pPr>
      <w:r>
        <w:rPr>
          <w:rFonts w:ascii="Arial" w:cs="Arial" w:eastAsia="Arial" w:hAnsi="Arial"/>
          <w:b/>
          <w:bCs/>
          <w:color w:val="1B3A6B"/>
          <w:sz w:val="26"/>
          <w:szCs w:val="26"/>
        </w:rPr>
        <w:t xml:space="preserve">11.3 Acceptance</w:t>
      </w:r>
    </w:p>
    <w:p>
      <w:pPr>
        <w:spacing w:before="60" w:after="60"/>
        <w:jc w:val="left"/>
      </w:pPr>
      <w:r>
        <w:rPr>
          <w:rFonts w:ascii="Arial" w:cs="Arial" w:eastAsia="Arial" w:hAnsi="Arial"/>
          <w:b w:val="false"/>
          <w:bCs w:val="false"/>
          <w:i w:val="false"/>
          <w:iCs w:val="false"/>
          <w:color w:val="212121"/>
          <w:sz w:val="21"/>
          <w:szCs w:val="21"/>
        </w:rPr>
        <w:t xml:space="preserve">To proceed, Al Sawari International Investment Company SAOC is kindly requested to sign and return the attached Letter of Intent (LOI) along with the 40% implementation advance payment. Nexura Business Solutions LLC will share a detailed project plan and data collection templates within 5 business days of LOI receipt.</w:t>
      </w:r>
    </w:p>
    <w:p>
      <w:pPr>
        <w:spacing w:before="6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6B" w:sz="4"/>
              <w:left w:val="single" w:color="1B3A6B" w:sz="4"/>
              <w:bottom w:val="single" w:color="1B3A6B" w:sz="4"/>
              <w:right w:val="single" w:color="1B3A6B" w:sz="4"/>
            </w:tcBorders>
            <w:shd w:fill="E8EEF7" w:val="clear"/>
            <w:tcMar>
              <w:top w:type="dxa" w:w="120"/>
              <w:left w:type="dxa" w:w="180"/>
              <w:bottom w:type="dxa" w:w="120"/>
              <w:right w:type="dxa" w:w="180"/>
            </w:tcMar>
          </w:tcPr>
          <w:p>
            <w:r>
              <w:rPr>
                <w:rFonts w:ascii="Arial" w:cs="Arial" w:eastAsia="Arial" w:hAnsi="Arial"/>
                <w:b/>
                <w:bCs/>
                <w:color w:val="1B3A6B"/>
                <w:sz w:val="22"/>
                <w:szCs w:val="22"/>
              </w:rPr>
              <w:t xml:space="preserve">Authorised by (Vendor)</w:t>
            </w:r>
          </w:p>
          <w:p>
            <w:pPr>
              <w:spacing w:before="400"/>
            </w:pPr>
            <w:r>
              <w:rPr>
                <w:rFonts w:ascii="Arial" w:cs="Arial" w:eastAsia="Arial" w:hAnsi="Arial"/>
                <w:color w:val="212121"/>
                <w:sz w:val="20"/>
                <w:szCs w:val="20"/>
              </w:rPr>
              <w:t xml:space="preserve">Signature: ___________________________</w:t>
            </w:r>
          </w:p>
          <w:p>
            <w:pPr>
              <w:spacing w:before="120"/>
            </w:pPr>
            <w:r>
              <w:rPr>
                <w:rFonts w:ascii="Arial" w:cs="Arial" w:eastAsia="Arial" w:hAnsi="Arial"/>
                <w:color w:val="212121"/>
                <w:sz w:val="20"/>
                <w:szCs w:val="20"/>
              </w:rPr>
              <w:t xml:space="preserve">Name: ________________________________</w:t>
            </w:r>
          </w:p>
          <w:p>
            <w:pPr>
              <w:spacing w:before="120"/>
            </w:pPr>
            <w:r>
              <w:rPr>
                <w:rFonts w:ascii="Arial" w:cs="Arial" w:eastAsia="Arial" w:hAnsi="Arial"/>
                <w:color w:val="212121"/>
                <w:sz w:val="20"/>
                <w:szCs w:val="20"/>
              </w:rPr>
              <w:t xml:space="preserve">Title: _________________________________</w:t>
            </w:r>
          </w:p>
          <w:p>
            <w:pPr>
              <w:spacing w:before="120"/>
            </w:pPr>
            <w:r>
              <w:rPr>
                <w:rFonts w:ascii="Arial" w:cs="Arial" w:eastAsia="Arial" w:hAnsi="Arial"/>
                <w:color w:val="212121"/>
                <w:sz w:val="20"/>
                <w:szCs w:val="20"/>
              </w:rPr>
              <w:t xml:space="preserve">Date: _________________________________</w:t>
            </w:r>
          </w:p>
        </w:tc>
        <w:tc>
          <w:tcPr>
            <w:tcBorders>
              <w:top w:val="single" w:color="1B3A6B" w:sz="4"/>
              <w:left w:val="single" w:color="1B3A6B" w:sz="4"/>
              <w:bottom w:val="single" w:color="1B3A6B" w:sz="4"/>
              <w:right w:val="single" w:color="1B3A6B"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Accepted by (Client)</w:t>
            </w:r>
          </w:p>
          <w:p>
            <w:pPr>
              <w:spacing w:before="400"/>
            </w:pPr>
            <w:r>
              <w:rPr>
                <w:rFonts w:ascii="Arial" w:cs="Arial" w:eastAsia="Arial" w:hAnsi="Arial"/>
                <w:color w:val="212121"/>
                <w:sz w:val="20"/>
                <w:szCs w:val="20"/>
              </w:rPr>
              <w:t xml:space="preserve">Signature: ___________________________</w:t>
            </w:r>
          </w:p>
          <w:p>
            <w:pPr>
              <w:spacing w:before="120"/>
            </w:pPr>
            <w:r>
              <w:rPr>
                <w:rFonts w:ascii="Arial" w:cs="Arial" w:eastAsia="Arial" w:hAnsi="Arial"/>
                <w:color w:val="212121"/>
                <w:sz w:val="20"/>
                <w:szCs w:val="20"/>
              </w:rPr>
              <w:t xml:space="preserve">Name: ________________________________</w:t>
            </w:r>
          </w:p>
          <w:p>
            <w:pPr>
              <w:spacing w:before="120"/>
            </w:pPr>
            <w:r>
              <w:rPr>
                <w:rFonts w:ascii="Arial" w:cs="Arial" w:eastAsia="Arial" w:hAnsi="Arial"/>
                <w:color w:val="212121"/>
                <w:sz w:val="20"/>
                <w:szCs w:val="20"/>
              </w:rPr>
              <w:t xml:space="preserve">Title: _________________________________</w:t>
            </w:r>
          </w:p>
          <w:p>
            <w:pPr>
              <w:spacing w:before="120"/>
            </w:pPr>
            <w:r>
              <w:rPr>
                <w:rFonts w:ascii="Arial" w:cs="Arial" w:eastAsia="Arial" w:hAnsi="Arial"/>
                <w:color w:val="212121"/>
                <w:sz w:val="20"/>
                <w:szCs w:val="20"/>
              </w:rPr>
              <w:t xml:space="preserve">Date: _________________________________</w:t>
            </w:r>
          </w:p>
        </w:tc>
      </w:tr>
    </w:tbl>
    <w:p>
      <w:pPr>
        <w:spacing w:before="200"/>
      </w:pPr>
    </w:p>
    <w:p>
      <w:pPr>
        <w:spacing w:before="60" w:after="60"/>
        <w:jc w:val="left"/>
      </w:pPr>
      <w:r>
        <w:rPr>
          <w:rFonts w:ascii="Arial" w:cs="Arial" w:eastAsia="Arial" w:hAnsi="Arial"/>
          <w:b/>
          <w:bCs/>
          <w:i w:val="false"/>
          <w:iCs w:val="false"/>
          <w:color w:val="212121"/>
          <w:sz w:val="21"/>
          <w:szCs w:val="21"/>
        </w:rPr>
        <w:t xml:space="preserve">For queries regarding this proposal, please contact:</w:t>
      </w:r>
    </w:p>
    <w:p>
      <w:pPr>
        <w:spacing w:before="60" w:after="60"/>
        <w:jc w:val="left"/>
      </w:pPr>
      <w:r>
        <w:rPr>
          <w:rFonts w:ascii="Arial" w:cs="Arial" w:eastAsia="Arial" w:hAnsi="Arial"/>
          <w:b w:val="false"/>
          <w:bCs w:val="false"/>
          <w:i w:val="false"/>
          <w:iCs w:val="false"/>
          <w:color w:val="212121"/>
          <w:sz w:val="21"/>
          <w:szCs w:val="21"/>
        </w:rPr>
        <w:t xml:space="preserve">Sales Team | info@nexurabusiness.com | +968 XXXX XXXX</w:t>
      </w:r>
    </w:p>
    <w:p>
      <w:pPr>
        <w:spacing w:before="60" w:after="60"/>
        <w:jc w:val="left"/>
      </w:pPr>
      <w:r>
        <w:rPr>
          <w:rFonts w:ascii="Arial" w:cs="Arial" w:eastAsia="Arial" w:hAnsi="Arial"/>
          <w:b w:val="false"/>
          <w:bCs w:val="false"/>
          <w:i w:val="false"/>
          <w:iCs w:val="false"/>
          <w:color w:val="212121"/>
          <w:sz w:val="21"/>
          <w:szCs w:val="21"/>
        </w:rPr>
        <w:t xml:space="preserve">Nexura Business Solutions LLC | Muscat, Sultanate of Oman</w:t>
      </w:r>
    </w:p>
    <w:p>
      <w:pPr>
        <w:spacing w:before="60" w:after="60"/>
        <w:jc w:val="left"/>
      </w:pPr>
      <w:r>
        <w:rPr>
          <w:rFonts w:ascii="Arial" w:cs="Arial" w:eastAsia="Arial" w:hAnsi="Arial"/>
          <w:b w:val="false"/>
          <w:bCs w:val="false"/>
          <w:i w:val="false"/>
          <w:iCs w:val="false"/>
          <w:color w:val="212121"/>
          <w:sz w:val="21"/>
          <w:szCs w:val="21"/>
        </w:rPr>
        <w:t xml:space="preserve">CR No: [XXXXXXX] | VAT No: [XXXXXXX]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before="80"/>
    </w:pPr>
    <w:r>
      <w:rPr>
        <w:rFonts w:ascii="Arial" w:cs="Arial" w:eastAsia="Arial" w:hAnsi="Arial"/>
        <w:color w:val="777777"/>
        <w:sz w:val="16"/>
        <w:szCs w:val="16"/>
      </w:rPr>
      <w:t xml:space="preserve">Confidential — Nexura Business Solutions LLC</w:t>
    </w:r>
    <w:r>
      <w:rPr>
        <w:rFonts w:ascii="Arial" w:cs="Arial" w:eastAsia="Arial" w:hAnsi="Arial"/>
        <w:color w:val="777777"/>
        <w:sz w:val="16"/>
        <w:szCs w:val="16"/>
      </w:rPr>
      <w:t xml:space="preserve">	Page </w:t>
    </w:r>
    <w:r>
      <w:rPr>
        <w:rFonts w:ascii="Arial" w:cs="Arial" w:eastAsia="Arial" w:hAnsi="Arial"/>
        <w:b/>
        <w:bCs/>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100"/>
    </w:pPr>
    <w:r>
      <w:rPr>
        <w:rFonts w:ascii="Arial" w:cs="Arial" w:eastAsia="Arial" w:hAnsi="Arial"/>
        <w:b/>
        <w:bCs/>
        <w:color w:val="1B3A6B"/>
        <w:sz w:val="18"/>
        <w:szCs w:val="18"/>
      </w:rPr>
      <w:t xml:space="preserve">HRMS · PAYROLL · ESS — Technical &amp; Commercial Proposal</w:t>
    </w:r>
    <w:r>
      <w:rPr>
        <w:rFonts w:ascii="Arial" w:cs="Arial" w:eastAsia="Arial" w:hAnsi="Arial"/>
        <w:sz w:val="18"/>
        <w:szCs w:val="18"/>
      </w:rPr>
      <w:t xml:space="preserve">	</w:t>
    </w:r>
    <w:r>
      <w:rPr>
        <w:rFonts w:ascii="Arial" w:cs="Arial" w:eastAsia="Arial" w:hAnsi="Arial"/>
        <w:color w:val="2E7D32"/>
        <w:sz w:val="18"/>
        <w:szCs w:val="18"/>
      </w:rPr>
      <w:t xml:space="preserve">Al Sawari International Investment Co. SAOC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2026-03-09T13:25:07.215Z</dcterms:created>
  <dcterms:modified xsi:type="dcterms:W3CDTF">2026-03-09T13:25:07.217Z</dcterms:modified>
</cp:coreProperties>
</file>

<file path=docProps/custom.xml><?xml version="1.0" encoding="utf-8"?>
<Properties xmlns="http://schemas.openxmlformats.org/officeDocument/2006/custom-properties" xmlns:vt="http://schemas.openxmlformats.org/officeDocument/2006/docPropsVTypes"/>
</file>