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structural fixture 34</w:t>
      </w:r>
    </w:p>
    <w:p>
      <w:r>
        <w:t>Fictional regression fixture. Not scientific evidence.</w:t>
      </w:r>
    </w:p>
    <w:p>
      <w:pPr>
        <w:pStyle w:val="Heading1"/>
      </w:pPr>
      <w:r>
        <w:t>Methods</w:t>
      </w:r>
    </w:p>
    <w:p>
      <w:r>
        <w:t>The study reports n=120 and uses a synthetic model.</w:t>
      </w:r>
    </w:p>
    <w:p>
      <w:r>
        <w:t xml:space="preserve">Equation: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</w:tbl>
    <w:p>
      <w:pPr>
        <w:pStyle w:val="Heading1"/>
      </w:pPr>
      <w:r>
        <w:t>Results</w:t>
      </w:r>
    </w:p>
    <w:p>
      <w:r>
        <w:t>Synthetic estimate 0.42 with fictional uncertainty.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