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02A43"/>
            <w:tcBorders>
              <w:top w:val="single" w:sz="8" w:space="0" w:color="102A43"/>
              <w:left w:val="single" w:sz="8" w:space="0" w:color="102A43"/>
              <w:bottom w:val="single" w:sz="8" w:space="0" w:color="102A43"/>
              <w:right w:val="single" w:sz="8" w:space="0" w:color="102A43"/>
              <w:insideH w:val="single" w:sz="8" w:space="0" w:color="102A43"/>
              <w:insideV w:val="single" w:sz="8" w:space="0" w:color="102A43"/>
            </w:tcBorders>
            <w:tcMar>
              <w:top w:w="700" w:type="dxa"/>
              <w:start w:w="520" w:type="dxa"/>
              <w:bottom w:w="700" w:type="dxa"/>
              <w:end w:w="520" w:type="dxa"/>
            </w:tcMar>
          </w:tcPr>
          <w:p>
            <w:pPr>
              <w:jc w:val="left"/>
            </w:pPr>
            <w:r>
              <w:rPr>
                <w:b/>
                <w:color w:val="D6A11E"/>
                <w:sz w:val="22"/>
              </w:rPr>
              <w:t>BLOCK MARKETS AFRICA / OPEN</w:t>
            </w:r>
          </w:p>
          <w:p>
            <w:pPr>
              <w:pStyle w:val="BMATitle"/>
            </w:pPr>
            <w:r>
              <w:t>New Client Business Case Template</w:t>
            </w:r>
          </w:p>
          <w:p>
            <w:pPr>
              <w:pStyle w:val="BMASubtitle"/>
            </w:pPr>
            <w:r>
              <w:t>Lightweight decision pack for assessing whether to proceed with a prospective wallet Client</w:t>
            </w:r>
          </w:p>
          <w:p>
            <w:pPr>
              <w:pStyle w:val="BMACoverMeta"/>
            </w:pPr>
            <w:r>
              <w:t>Purpose: capture the minimum information needed to evaluate opportunity scale, wallet adoption potential, balance and flow economics, strategic fit and readiness for a next-stage deal review.</w:t>
            </w:r>
          </w:p>
          <w:p>
            <w:pPr>
              <w:pStyle w:val="BMACoverMeta"/>
            </w:pPr>
            <w:r>
              <w:t>This is not a commercial proposal, compliance due diligence pack, contract pack, implementation plan or customer success scorecard.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8FA"/>
            <w:tcBorders>
              <w:top w:val="single" w:sz="10" w:space="0" w:color="008B8B"/>
              <w:left w:val="single" w:sz="10" w:space="0" w:color="008B8B"/>
              <w:bottom w:val="single" w:sz="10" w:space="0" w:color="008B8B"/>
              <w:right w:val="single" w:sz="10" w:space="0" w:color="008B8B"/>
              <w:insideH w:val="single" w:sz="10" w:space="0" w:color="008B8B"/>
              <w:insideV w:val="single" w:sz="10" w:space="0" w:color="008B8B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02A43"/>
                <w:sz w:val="22"/>
              </w:rPr>
              <w:t>How this template should be used</w:t>
            </w:r>
          </w:p>
          <w:p>
            <w:pPr>
              <w:pStyle w:val="BMACellBullet"/>
            </w:pPr>
            <w:r>
              <w:t>The prospective Client completes this document with enough evidence for BMA/Open to decide whether the opportunity warrants further investment of time, solution design and contracting effort.</w:t>
            </w:r>
          </w:p>
          <w:p>
            <w:pPr>
              <w:pStyle w:val="BMACellBullet"/>
            </w:pPr>
            <w:r>
              <w:t>The core test is wallet potential: eligible customer base, reachable customers, expected active wallets, average balances, inflows, payment flows and activation channels.</w:t>
            </w:r>
          </w:p>
          <w:p>
            <w:pPr>
              <w:pStyle w:val="BMACellBullet"/>
            </w:pPr>
            <w:r>
              <w:t>Items such as detailed compliance due diligence, pricing, SLAs, implementation KPIs, customer success metrics and formal contracting are intentionally moved to later engagement stages.</w:t>
            </w:r>
          </w:p>
        </w:tc>
      </w:tr>
    </w:tbl>
    <w:p>
      <w:pPr>
        <w:spacing w:after="40"/>
      </w:pPr>
    </w:p>
    <w:p>
      <w:pPr>
        <w:pStyle w:val="BMASection"/>
      </w:pPr>
      <w:r>
        <w:rPr>
          <w:b/>
        </w:rPr>
        <w:t>A. Terminology used in this template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Block Markets Africa / Open, BMA/Open</w:t>
            </w:r>
          </w:p>
        </w:tc>
        <w:tc>
          <w:tcPr>
            <w:tcW w:type="dxa" w:w="74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The contracting party providing or enabling the wallet proposition, subject to later commercial, compliance and legal approval.</w:t>
            </w:r>
          </w:p>
        </w:tc>
      </w:tr>
      <w:tr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Client</w:t>
            </w:r>
          </w:p>
        </w:tc>
        <w:tc>
          <w:tcPr>
            <w:tcW w:type="dxa" w:w="74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The company, organisation, platform, association or institution that BMA/Open may contract with.</w:t>
            </w:r>
          </w:p>
        </w:tc>
      </w:tr>
      <w:tr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Customer(s)</w:t>
            </w:r>
          </w:p>
        </w:tc>
        <w:tc>
          <w:tcPr>
            <w:tcW w:type="dxa" w:w="74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The customers, members, employees, users, beneficiaries, merchants, agents or communities of the Client who may receive or use wallet services.</w:t>
            </w:r>
          </w:p>
        </w:tc>
      </w:tr>
      <w:tr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Wallet opportunity</w:t>
            </w:r>
          </w:p>
        </w:tc>
        <w:tc>
          <w:tcPr>
            <w:tcW w:type="dxa" w:w="74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The potential use case through which the Client can activate Customer wallets, balances, savings, payments, value-added services or related flows.</w:t>
            </w:r>
          </w:p>
        </w:tc>
      </w:tr>
      <w:tr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Business case stage</w:t>
            </w:r>
          </w:p>
        </w:tc>
        <w:tc>
          <w:tcPr>
            <w:tcW w:type="dxa" w:w="74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The early decision stage used to determine whether BMA/Open should proceed into formal discovery, proposal, compliance review and contracting.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BMASection"/>
      </w:pPr>
      <w:r>
        <w:rPr>
          <w:b/>
        </w:rPr>
        <w:t>1. Executive opportunity snapshot</w:t>
      </w:r>
    </w:p>
    <w:p>
      <w:pPr>
        <w:pStyle w:val="BMASectionNote"/>
      </w:pPr>
      <w:r>
        <w:t>Complete this first. It should allow a reader to understand the opportunity in less than five minutes.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Date submitted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Client legal name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Client trading name / brand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Short name of opportunity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[Client Name] Wallet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Client industry / sector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Primary Customer segment(s)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members, employees, merchants, consumers, beneficiaries, small businesses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Geography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Opportunity sponsor within Client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Role only, not stakeholder table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Decision requested from BMA/Open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Proceed to discovery / decline / hold for further information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Target go-live window, if known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One-line opportunity thesis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Why should BMA/Open consider this Client now?</w:t>
            </w:r>
          </w:p>
        </w:tc>
      </w:tr>
    </w:tbl>
    <w:p>
      <w:pPr>
        <w:spacing w:after="40"/>
      </w:pPr>
    </w:p>
    <w:p>
      <w:pPr>
        <w:pStyle w:val="BMASubsection"/>
      </w:pPr>
      <w:r>
        <w:rPr>
          <w:b/>
        </w:rPr>
        <w:t>Executive summary from the Client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Client summary</w:t>
            </w:r>
          </w:p>
        </w:tc>
        <w:tc>
          <w:tcPr>
            <w:tcW w:type="dxa" w:w="72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Describe the Client, its core business, market position and why it has a captive or reachable Customer base.</w:t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Wallet opportunity</w:t>
            </w:r>
          </w:p>
        </w:tc>
        <w:tc>
          <w:tcPr>
            <w:tcW w:type="dxa" w:w="72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Describe the specific wallet use case and why Customers would adopt it.</w:t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Why now</w:t>
            </w:r>
          </w:p>
        </w:tc>
        <w:tc>
          <w:tcPr>
            <w:tcW w:type="dxa" w:w="72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Describe the trigger, timing, business need, campaign, product launch or strategic priority creating urgency.</w:t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first 12-month outcome</w:t>
            </w:r>
          </w:p>
        </w:tc>
        <w:tc>
          <w:tcPr>
            <w:tcW w:type="dxa" w:w="72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Summarise the expected wallet adoption, balances and flows in plain terms.</w:t>
            </w:r>
          </w:p>
        </w:tc>
      </w:tr>
    </w:tbl>
    <w:p>
      <w:pPr>
        <w:spacing w:after="40"/>
      </w:pPr>
    </w:p>
    <w:p>
      <w:pPr>
        <w:pStyle w:val="BMASection"/>
      </w:pPr>
      <w:r>
        <w:rPr>
          <w:b/>
        </w:rPr>
        <w:t>2. Client business profile</w:t>
      </w:r>
    </w:p>
    <w:p>
      <w:pPr>
        <w:pStyle w:val="BMASectionNote"/>
      </w:pPr>
      <w:r>
        <w:t>Focus on the Client business and its route to Customers. Do not provide broad marketing copy.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What does the Client do?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How does the Client make money or create value?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Who are the Client's Customers?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How often does the Client interact with Customers?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Daily / weekly / monthly / event-driven / ad hoc. Explain.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What channels does the Client use to reach Customers?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app, website, branches, agents, payroll, stores, shop stewards, call centre, WhatsApp, field teams, employer channels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Does the Client already manage Customer money, benefits, rewards or payments?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Yes / no. Explain the current flows.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What makes the Customer base captive or reachable?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Explain why Customers can realistically be invited, onboarded and activated.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Existing financial services offered to Customers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payments, cards, loans, savings, insurance, VAS, rewards, payroll, remittance.</w:t>
            </w:r>
          </w:p>
        </w:tc>
      </w:tr>
    </w:tbl>
    <w:p>
      <w:pPr>
        <w:spacing w:after="40"/>
      </w:pPr>
    </w:p>
    <w:p>
      <w:pPr>
        <w:pStyle w:val="BMASection"/>
      </w:pPr>
      <w:r>
        <w:rPr>
          <w:b/>
        </w:rPr>
        <w:t>3. Customer problem and wallet value proposition</w:t>
      </w:r>
    </w:p>
    <w:p>
      <w:pPr>
        <w:pStyle w:val="BMASectionNote"/>
      </w:pPr>
      <w:r>
        <w:t>The opportunity must solve a clear Customer problem, not only create a channel for the Client.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 problem(s)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What practical financial, payment, savings, access, cost, speed or convenience problem does the wallet solve for Customers?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Current Customer workaround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How do Customers solve this today? What is slow, expensive, fragmented or inconvenient?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Wallet benefit to Customers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Describe the direct benefit to Customers.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Wallet benefit to Client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Describe the benefit to the Client from Customer wallet adoption.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Reason Customers would trust the proposition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Explain why Customers would trust the Client as the route to wallet adoption.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Adoption risks from Customer perspective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What could stop Customers from adopting or using the wallet?</w:t>
            </w:r>
          </w:p>
        </w:tc>
      </w:tr>
    </w:tbl>
    <w:p>
      <w:pPr>
        <w:spacing w:after="40"/>
      </w:pPr>
    </w:p>
    <w:p>
      <w:pPr>
        <w:pStyle w:val="BMASubsection"/>
      </w:pPr>
      <w:r>
        <w:rPr>
          <w:b/>
        </w:rPr>
        <w:t>Priority Customer use cases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864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88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Customer use case</w:t>
            </w:r>
          </w:p>
        </w:tc>
        <w:tc>
          <w:tcPr>
            <w:tcW w:type="dxa" w:w="3024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Customer benefit</w:t>
            </w:r>
          </w:p>
        </w:tc>
        <w:tc>
          <w:tcPr>
            <w:tcW w:type="dxa" w:w="331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Why this matters for adoption</w:t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1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1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2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1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3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1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4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1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5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31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BMASection"/>
      </w:pPr>
      <w:r>
        <w:rPr>
          <w:b/>
        </w:rPr>
        <w:t>4. Wallet scale, balances and flows</w:t>
      </w:r>
    </w:p>
    <w:p>
      <w:pPr>
        <w:pStyle w:val="BMASectionNote"/>
      </w:pPr>
      <w:r>
        <w:t>This is the most important section. BMA/Open needs enough volume and flow information to decide whether to proceed.</w:t>
      </w:r>
    </w:p>
    <w:p>
      <w:pPr>
        <w:pStyle w:val="BMASubsection"/>
      </w:pPr>
      <w:r>
        <w:rPr>
          <w:b/>
        </w:rPr>
        <w:t>4.1 Addressable Customer base and activation assumptions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88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1584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Number / %</w:t>
            </w:r>
          </w:p>
        </w:tc>
        <w:tc>
          <w:tcPr>
            <w:tcW w:type="dxa" w:w="360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Basis of estimate</w:t>
            </w:r>
          </w:p>
        </w:tc>
        <w:tc>
          <w:tcPr>
            <w:tcW w:type="dxa" w:w="2016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Evidence available</w:t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Total Customer base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Eligible Customers for wallet proposition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Customers reachable through confirmed channels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registered wallets by Month 3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registered wallets by Month 6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registered wallets by Month 12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active wallets by Month 12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monthly active wallet percentage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60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p>
      <w:pPr>
        <w:pStyle w:val="BMASubsection"/>
      </w:pPr>
      <w:r>
        <w:rPr>
          <w:b/>
        </w:rPr>
        <w:t>4.2 Average balances and value stored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316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Balance input</w:t>
            </w:r>
          </w:p>
        </w:tc>
        <w:tc>
          <w:tcPr>
            <w:tcW w:type="dxa" w:w="172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Estimate</w:t>
            </w:r>
          </w:p>
        </w:tc>
        <w:tc>
          <w:tcPr>
            <w:tcW w:type="dxa" w:w="316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Basis of estimate</w:t>
            </w:r>
          </w:p>
        </w:tc>
        <w:tc>
          <w:tcPr>
            <w:tcW w:type="dxa" w:w="2016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Evidence available</w:t>
            </w:r>
          </w:p>
        </w:tc>
      </w:tr>
      <w:tr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average balance per active wallet</w:t>
            </w:r>
          </w:p>
        </w:tc>
        <w:tc>
          <w:tcPr>
            <w:tcW w:type="dxa" w:w="172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low / base / high average balance</w:t>
            </w:r>
          </w:p>
        </w:tc>
        <w:tc>
          <w:tcPr>
            <w:tcW w:type="dxa" w:w="172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aggregate wallet balances by Month 12</w:t>
            </w:r>
          </w:p>
        </w:tc>
        <w:tc>
          <w:tcPr>
            <w:tcW w:type="dxa" w:w="172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Seasonality or known balance peaks</w:t>
            </w:r>
          </w:p>
        </w:tc>
        <w:tc>
          <w:tcPr>
            <w:tcW w:type="dxa" w:w="172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Source of balances</w:t>
            </w:r>
          </w:p>
        </w:tc>
        <w:tc>
          <w:tcPr>
            <w:tcW w:type="dxa" w:w="172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p>
      <w:pPr>
        <w:pStyle w:val="BMASubsection"/>
      </w:pPr>
      <w:r>
        <w:rPr>
          <w:b/>
        </w:rPr>
        <w:t>4.3 Monthly payment and transaction flows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3024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Flow input</w:t>
            </w:r>
          </w:p>
        </w:tc>
        <w:tc>
          <w:tcPr>
            <w:tcW w:type="dxa" w:w="208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Estimated value / count</w:t>
            </w:r>
          </w:p>
        </w:tc>
        <w:tc>
          <w:tcPr>
            <w:tcW w:type="dxa" w:w="295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Basis of estimate</w:t>
            </w:r>
          </w:p>
        </w:tc>
        <w:tc>
          <w:tcPr>
            <w:tcW w:type="dxa" w:w="2016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Evidence available</w:t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inflows into wallets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outflows from wallets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peer-to-peer transfers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card or merchant payments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VAS purchases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savings / investment movements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remittance flows, if applicable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Other recurring flows</w:t>
            </w:r>
          </w:p>
        </w:tc>
        <w:tc>
          <w:tcPr>
            <w:tcW w:type="dxa" w:w="20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5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01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p>
      <w:pPr>
        <w:pStyle w:val="BMASubsection"/>
      </w:pPr>
      <w:r>
        <w:rPr>
          <w:b/>
        </w:rPr>
        <w:t>4.4 Current money movement map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Flow type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payroll, member benefits, refunds, rewards, insurance payout, supplier payout, merchant settlement, collections, remittance.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Who pays?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Who receives?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Current payment method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Frequency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Approximate value per month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Pain point in current flow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Could the wallet replace, improve or complement this flow?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p>
      <w:pPr>
        <w:pStyle w:val="BMASection"/>
      </w:pPr>
      <w:r>
        <w:rPr>
          <w:b/>
        </w:rPr>
        <w:t>5. Wallet product scope required for initial success</w:t>
      </w:r>
    </w:p>
    <w:p>
      <w:pPr>
        <w:pStyle w:val="BMASectionNote"/>
      </w:pPr>
      <w:r>
        <w:t>Prioritise the minimum product scope needed to prove adoption. Avoid long wish lists.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864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316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Wallet capability or service</w:t>
            </w:r>
          </w:p>
        </w:tc>
        <w:tc>
          <w:tcPr>
            <w:tcW w:type="dxa" w:w="388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Why Customers will use it</w:t>
            </w:r>
          </w:p>
        </w:tc>
        <w:tc>
          <w:tcPr>
            <w:tcW w:type="dxa" w:w="216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Launch requirement</w:t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1</w:t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16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Must-have / should-have / later</w:t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2</w:t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16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Must-have / should-have / later</w:t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3</w:t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16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Must-have / should-have / later</w:t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4</w:t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16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Must-have / should-have / later</w:t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5</w:t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16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Must-have / should-have / later</w:t>
            </w:r>
          </w:p>
        </w:tc>
      </w:tr>
      <w:tr>
        <w:tc>
          <w:tcPr>
            <w:tcW w:type="dxa" w:w="86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6</w:t>
            </w:r>
          </w:p>
        </w:tc>
        <w:tc>
          <w:tcPr>
            <w:tcW w:type="dxa" w:w="316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16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Must-have / should-have / later</w:t>
            </w:r>
          </w:p>
        </w:tc>
      </w:tr>
    </w:tbl>
    <w:p>
      <w:pPr>
        <w:spacing w:after="40"/>
      </w:pPr>
    </w:p>
    <w:p>
      <w:pPr>
        <w:pStyle w:val="BMANote"/>
      </w:pPr>
      <w:r>
        <w:t>Examples of possible capabilities: wallet account, domestic peer-to-peer transfer, card, VAS, rewards, savings, remittance, merchant payments, benefit payments, employer or platform disbursements. The Client should only include capabilities that matter to the first adoption case.</w:t>
      </w:r>
    </w:p>
    <w:p>
      <w:r>
        <w:br w:type="page"/>
      </w:r>
    </w:p>
    <w:p>
      <w:pPr>
        <w:pStyle w:val="BMASection"/>
      </w:pPr>
      <w:r>
        <w:rPr>
          <w:b/>
        </w:rPr>
        <w:t>6. Distribution, activation and adoption readiness</w:t>
      </w:r>
    </w:p>
    <w:p>
      <w:pPr>
        <w:pStyle w:val="BMASectionNote"/>
      </w:pPr>
      <w:r>
        <w:t>The best wallet business case is usually won or lost in the activation route, not the technology.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Primary activation channel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How will Customers be introduced to the wallet?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Secondary activation channels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 trust channel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Who or what will make Customers believe the offer is legitimate and useful?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Incentive or trigger for first use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What will cause the Customer to register and transact?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First transaction moment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What is the first transaction Customers are expected to perform?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Activation support available from Client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staff, agents, call centre, branches, campaign budget, app push, workplace representatives, field teams.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Known barriers to activation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low smartphone penetration, poor data coverage, low trust, fragmented contact data, weak channel ownership.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 communication assets available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Does the Client already have approved communication channels and content capacity?</w:t>
            </w:r>
          </w:p>
        </w:tc>
      </w:tr>
    </w:tbl>
    <w:p>
      <w:pPr>
        <w:spacing w:after="40"/>
      </w:pPr>
    </w:p>
    <w:p>
      <w:pPr>
        <w:pStyle w:val="BMASubsection"/>
      </w:pPr>
      <w:r>
        <w:rPr>
          <w:b/>
        </w:rPr>
        <w:t>Activation forecast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4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Timing</w:t>
            </w:r>
          </w:p>
        </w:tc>
        <w:tc>
          <w:tcPr>
            <w:tcW w:type="dxa" w:w="187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Customers contacted</w:t>
            </w:r>
          </w:p>
        </w:tc>
        <w:tc>
          <w:tcPr>
            <w:tcW w:type="dxa" w:w="187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Wallets registered</w:t>
            </w:r>
          </w:p>
        </w:tc>
        <w:tc>
          <w:tcPr>
            <w:tcW w:type="dxa" w:w="187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Wallets active</w:t>
            </w:r>
          </w:p>
        </w:tc>
        <w:tc>
          <w:tcPr>
            <w:tcW w:type="dxa" w:w="3024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Main activation activity</w:t>
            </w:r>
          </w:p>
        </w:tc>
      </w:tr>
      <w:tr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 1</w:t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 3</w:t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 6</w:t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 12</w:t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87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302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p>
      <w:pPr>
        <w:pStyle w:val="BMASection"/>
      </w:pPr>
      <w:r>
        <w:rPr>
          <w:b/>
        </w:rPr>
        <w:t>7. Data and integration readiness at business case stage</w:t>
      </w:r>
    </w:p>
    <w:p>
      <w:pPr>
        <w:pStyle w:val="BMASectionNote"/>
      </w:pPr>
      <w:r>
        <w:t>This is a high-level readiness check only. Detailed technical design comes later.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 data exists?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Yes / no / partial. Explain source and owner.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Data fields available for wallet invitation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Example: name, mobile number, email, ID/passport, customer/member number, employer/merchant/branch, segment.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Data quality confidence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High / medium / low. Explain known gaps.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Existing Client app, portal or platform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Yes / no. Explain whether wallet needs to be embedded, linked or standalone.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Existing payment systems or partners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List current payment rails, banks, processors or systems at a high level.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Integration likely required for launch?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None / file exchange / API / app deep-link / other.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Reporting data Client would need after launch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High-level only. Detailed KPIs and customer success reporting will be defined later.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BMASection"/>
      </w:pPr>
      <w:r>
        <w:rPr>
          <w:b/>
        </w:rPr>
        <w:t>8. Strategic fit and deal qualification</w:t>
      </w:r>
    </w:p>
    <w:p>
      <w:pPr>
        <w:pStyle w:val="BMASectionNote"/>
      </w:pPr>
      <w:r>
        <w:t>This section helps BMA/Open decide whether the opportunity deserves a next-stage review.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Strategic fit with BMA/Open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Why is this Client strategically attractive?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Strength of Client route to market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What gives the Client the ability to activate Customers at scale?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Wallet adoption confidence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High / medium / low. Explain.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Balance and flow confidence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High / medium / low. Explain.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Competitive or timing advantage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Why would BMA/Open have a credible advantage?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Main unresolved questions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List the questions BMA/Open must resolve before proposal or contracting.</w:t>
            </w:r>
          </w:p>
        </w:tc>
      </w:tr>
      <w:tr>
        <w:tc>
          <w:tcPr>
            <w:tcW w:type="dxa" w:w="33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Client readiness for next stage</w:t>
            </w:r>
          </w:p>
        </w:tc>
        <w:tc>
          <w:tcPr>
            <w:tcW w:type="dxa" w:w="669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What can the Client provide next if BMA/Open proceeds?</w:t>
            </w:r>
          </w:p>
        </w:tc>
      </w:tr>
    </w:tbl>
    <w:p>
      <w:pPr>
        <w:spacing w:after="40"/>
      </w:pPr>
    </w:p>
    <w:p>
      <w:pPr>
        <w:pStyle w:val="BMASubsection"/>
      </w:pPr>
      <w:r>
        <w:rPr>
          <w:b/>
        </w:rPr>
        <w:t>Qualification scoring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88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1584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460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Reason for score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Addressable Customer base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Realistic activation route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Expected active wallets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Average balance / AUM potential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Monthly flow potential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 value proposition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Client strategic fit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Readiness to proceed</w:t>
            </w:r>
          </w:p>
        </w:tc>
        <w:tc>
          <w:tcPr>
            <w:tcW w:type="dxa" w:w="1584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1  2  3  4  5</w:t>
            </w:r>
          </w:p>
        </w:tc>
        <w:tc>
          <w:tcPr>
            <w:tcW w:type="dxa" w:w="460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8FA"/>
            <w:tcBorders>
              <w:top w:val="single" w:sz="10" w:space="0" w:color="008B8B"/>
              <w:left w:val="single" w:sz="10" w:space="0" w:color="008B8B"/>
              <w:bottom w:val="single" w:sz="10" w:space="0" w:color="008B8B"/>
              <w:right w:val="single" w:sz="10" w:space="0" w:color="008B8B"/>
              <w:insideH w:val="single" w:sz="10" w:space="0" w:color="008B8B"/>
              <w:insideV w:val="single" w:sz="10" w:space="0" w:color="008B8B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02A43"/>
                <w:sz w:val="22"/>
              </w:rPr>
              <w:t>BMA/Open internal decision after review</w:t>
            </w:r>
          </w:p>
          <w:p>
            <w:pPr>
              <w:pStyle w:val="BMACellBullet"/>
            </w:pPr>
            <w:r>
              <w:t>Proceed to discovery and solution fit.</w:t>
            </w:r>
          </w:p>
          <w:p>
            <w:pPr>
              <w:pStyle w:val="BMACellBullet"/>
            </w:pPr>
            <w:r>
              <w:t>Request further information before deciding.</w:t>
            </w:r>
          </w:p>
          <w:p>
            <w:pPr>
              <w:pStyle w:val="BMACellBullet"/>
            </w:pPr>
            <w:r>
              <w:t>Hold opportunity for later timing.</w:t>
            </w:r>
          </w:p>
          <w:p>
            <w:pPr>
              <w:pStyle w:val="BMACellBullet"/>
            </w:pPr>
            <w:r>
              <w:t>Decline opportunity at this stage.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BMASection"/>
      </w:pPr>
      <w:r>
        <w:rPr>
          <w:b/>
        </w:rPr>
        <w:t>9. Information deliberately excluded from this business case</w:t>
      </w:r>
    </w:p>
    <w:p>
      <w:pPr>
        <w:pStyle w:val="BMASectionNote"/>
      </w:pPr>
      <w:r>
        <w:t>These items are important, but they should not be requested too early from the Client.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888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Excluded at this stage</w:t>
            </w:r>
          </w:p>
        </w:tc>
        <w:tc>
          <w:tcPr>
            <w:tcW w:type="dxa" w:w="619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Where it belongs later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Detailed compliance due diligence</w:t>
            </w:r>
          </w:p>
        </w:tc>
        <w:tc>
          <w:tcPr>
            <w:tcW w:type="dxa" w:w="61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Handled after BMA/Open decides the opportunity is worth progressing.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Detailed risk assessment</w:t>
            </w:r>
          </w:p>
        </w:tc>
        <w:tc>
          <w:tcPr>
            <w:tcW w:type="dxa" w:w="61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Handled in internal review and formal due diligence.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Commercial business case and pricing</w:t>
            </w:r>
          </w:p>
        </w:tc>
        <w:tc>
          <w:tcPr>
            <w:tcW w:type="dxa" w:w="61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Handled through proposal, term sheet and commercial negotiation.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Contracting position</w:t>
            </w:r>
          </w:p>
        </w:tc>
        <w:tc>
          <w:tcPr>
            <w:tcW w:type="dxa" w:w="61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Handled through legal documents, SOW, service schedules and data processing terms.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Implementation plan and launch KPIs</w:t>
            </w:r>
          </w:p>
        </w:tc>
        <w:tc>
          <w:tcPr>
            <w:tcW w:type="dxa" w:w="61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Handled after solution fit and commercial intent are confirmed.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Customer success metrics and operating cadence</w:t>
            </w:r>
          </w:p>
        </w:tc>
        <w:tc>
          <w:tcPr>
            <w:tcW w:type="dxa" w:w="61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Handled once the Client is moving into onboarding and launch planning.</w:t>
            </w:r>
          </w:p>
        </w:tc>
      </w:tr>
      <w:tr>
        <w:tc>
          <w:tcPr>
            <w:tcW w:type="dxa" w:w="3888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Detailed support and SLA model</w:t>
            </w:r>
          </w:p>
        </w:tc>
        <w:tc>
          <w:tcPr>
            <w:tcW w:type="dxa" w:w="61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Handled in implementation readiness, service design and contracting.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BMASection"/>
      </w:pPr>
      <w:r>
        <w:rPr>
          <w:b/>
        </w:rPr>
        <w:t>10. Proposed engagement document journey</w:t>
      </w:r>
    </w:p>
    <w:p>
      <w:pPr>
        <w:pStyle w:val="BMASectionNote"/>
      </w:pPr>
      <w:r>
        <w:t>Use the right document at the right stage. This avoids asking the Client for a heavy pack before BMA/Open has qualified the deal.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376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259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2232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288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1. Opportunity introduction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Opportunity teaser / introductory note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BMA/Open or Client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Frame the idea, use case and initial interest.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2. Business case stage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New Client Business Case Template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Client completes, BMA/Open reviews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Assess wallet scale, Customer reach, expected active wallets, balances, flows and strategic fit.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3. Internal qualification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BMA/Open Deal Qualification Memo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BMA/Open internal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Decide whether to proceed, hold or decline. Capture assumptions and review gaps.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4. Discovery and solution fit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Discovery Pack and Solution Fit Note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Joint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Confirm product scope, user journeys, data, integrations, launch path and effort.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5. Due diligence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Compliance, KYB/KYC, AML, POPIA and risk pack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Joint, led by BMA/Open compliance/legal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Assess regulatory, operational and data risk once the opportunity is qualified.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6. Commercial proposal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Commercial Proposal / Term Sheet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BMA/Open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Set commercial model, commercials, responsibilities and commercial assumptions.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7. Contracting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Master Agreement, SOW, service schedules and data terms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Legal and commercial teams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Formalise contracting party, obligations, services, fees, data, SLA and liability terms.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8. Implementation readiness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Implementation Plan and Launch Readiness Checklist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Joint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Plan technical, operational, support, training, communications and launch activities.</w:t>
            </w:r>
          </w:p>
        </w:tc>
      </w:tr>
      <w:tr>
        <w:tc>
          <w:tcPr>
            <w:tcW w:type="dxa" w:w="2376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9. Customer success</w:t>
            </w:r>
          </w:p>
        </w:tc>
        <w:tc>
          <w:tcPr>
            <w:tcW w:type="dxa" w:w="259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Customer Success Plan and Performance Pack</w:t>
            </w:r>
          </w:p>
        </w:tc>
        <w:tc>
          <w:tcPr>
            <w:tcW w:type="dxa" w:w="2232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Joint after contract / launch</w:t>
            </w:r>
          </w:p>
        </w:tc>
        <w:tc>
          <w:tcPr>
            <w:tcW w:type="dxa" w:w="288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Define KPIs, adoption cadence, support status, reporting, invoice management and ongoing governance.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BMASection"/>
      </w:pPr>
      <w:r>
        <w:rPr>
          <w:b/>
        </w:rPr>
        <w:t>11. Client completion checklist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864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Checklist item</w:t>
            </w:r>
          </w:p>
        </w:tc>
        <w:tc>
          <w:tcPr>
            <w:tcW w:type="dxa" w:w="1440"/>
            <w:shd w:fill="102A43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Done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Completed executive opportunity snapshot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Defined Client and Customer segments clearly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Provided addressable Customer base and activation assumptions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Provided expected wallet registration and active wallet assumptions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Provided average balance / AUM assumptions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Provided monthly flow / transaction assumptions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Mapped current money movement at a high level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Prioritised launch wallet capabilities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Explained activation channels and first transaction trigger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Provided high-level data and integration readiness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  <w:tr>
        <w:tc>
          <w:tcPr>
            <w:tcW w:type="dxa" w:w="86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5F5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color w:val="2F3A45"/>
                <w:sz w:val="16"/>
              </w:rPr>
              <w:t>Listed unresolved questions and evidence gaps</w:t>
            </w:r>
          </w:p>
        </w:tc>
        <w:tc>
          <w:tcPr>
            <w:tcW w:type="dxa" w:w="1440"/>
            <w:tcBorders>
              <w:top w:val="single" w:sz="6" w:space="0" w:color="D8E2E8"/>
              <w:left w:val="single" w:sz="6" w:space="0" w:color="D8E2E8"/>
              <w:bottom w:val="single" w:sz="6" w:space="0" w:color="D8E2E8"/>
              <w:right w:val="single" w:sz="6" w:space="0" w:color="D8E2E8"/>
              <w:insideH w:val="single" w:sz="6" w:space="0" w:color="D8E2E8"/>
              <w:insideV w:val="single" w:sz="6" w:space="0" w:color="D8E2E8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3"/>
                <w:sz w:val="16"/>
              </w:rPr>
              <w:t>☐</w:t>
            </w:r>
          </w:p>
        </w:tc>
      </w:tr>
    </w:tbl>
    <w:p>
      <w:pPr>
        <w:spacing w:after="40"/>
      </w:pPr>
    </w:p>
    <w:p>
      <w:pPr>
        <w:pStyle w:val="BMANote"/>
      </w:pPr>
      <w:r>
        <w:t>Recommended attachment evidence, where available: Customer base summary, anonymised Customer segmentation, current payment flow summary, campaign/channel overview, active user data, transaction volumes, balance estimates and any existing wallet or payment product performance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16B"/>
        <w:sz w:val="15"/>
      </w:rPr>
      <w:t>Block Markets Africa / Open | Confidential business development template | For deal qualification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2616B"/>
        <w:sz w:val="15"/>
      </w:rPr>
      <w:t>BLOCK MARKETS AFRICA / OPEN  |  New Client Business Case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MATitle">
    <w:name w:val="BMA Title"/>
    <w:basedOn w:val="Normal"/>
    <w:pPr>
      <w:spacing w:after="140" w:before="0" w:line="252" w:lineRule="auto"/>
    </w:pPr>
    <w:rPr>
      <w:rFonts w:ascii="Aptos" w:hAnsi="Aptos" w:eastAsia="Aptos"/>
      <w:b/>
      <w:i w:val="0"/>
      <w:color w:val="FFFFFF"/>
      <w:sz w:val="48"/>
    </w:rPr>
  </w:style>
  <w:style w:type="paragraph" w:customStyle="1" w:styleId="BMASubtitle">
    <w:name w:val="BMA Subtitle"/>
    <w:basedOn w:val="Normal"/>
    <w:pPr>
      <w:spacing w:after="120" w:before="0" w:line="252" w:lineRule="auto"/>
    </w:pPr>
    <w:rPr>
      <w:rFonts w:ascii="Aptos" w:hAnsi="Aptos" w:eastAsia="Aptos"/>
      <w:b w:val="0"/>
      <w:i w:val="0"/>
      <w:color w:val="DDEAF0"/>
      <w:sz w:val="22"/>
    </w:rPr>
  </w:style>
  <w:style w:type="paragraph" w:customStyle="1" w:styleId="BMACoverMeta">
    <w:name w:val="BMA Cover Meta"/>
    <w:basedOn w:val="Normal"/>
    <w:pPr>
      <w:spacing w:after="40" w:before="0" w:line="252" w:lineRule="auto"/>
    </w:pPr>
    <w:rPr>
      <w:rFonts w:ascii="Aptos" w:hAnsi="Aptos" w:eastAsia="Aptos"/>
      <w:b w:val="0"/>
      <w:i w:val="0"/>
      <w:color w:val="FFFFFF"/>
      <w:sz w:val="17"/>
    </w:rPr>
  </w:style>
  <w:style w:type="paragraph" w:customStyle="1" w:styleId="BMASection">
    <w:name w:val="BMA Section"/>
    <w:basedOn w:val="Normal"/>
    <w:pPr>
      <w:spacing w:after="100" w:before="200" w:line="252" w:lineRule="auto"/>
    </w:pPr>
    <w:rPr>
      <w:rFonts w:ascii="Aptos" w:hAnsi="Aptos" w:eastAsia="Aptos"/>
      <w:b/>
      <w:i w:val="0"/>
      <w:color w:val="102A43"/>
      <w:sz w:val="26"/>
    </w:rPr>
  </w:style>
  <w:style w:type="paragraph" w:customStyle="1" w:styleId="BMASectionNote">
    <w:name w:val="BMA Section Note"/>
    <w:basedOn w:val="Normal"/>
    <w:pPr>
      <w:spacing w:after="100" w:before="0" w:line="252" w:lineRule="auto"/>
    </w:pPr>
    <w:rPr>
      <w:rFonts w:ascii="Aptos" w:hAnsi="Aptos" w:eastAsia="Aptos"/>
      <w:b w:val="0"/>
      <w:i/>
      <w:color w:val="52616B"/>
      <w:sz w:val="17"/>
    </w:rPr>
  </w:style>
  <w:style w:type="paragraph" w:customStyle="1" w:styleId="BMASubsection">
    <w:name w:val="BMA Subsection"/>
    <w:basedOn w:val="Normal"/>
    <w:pPr>
      <w:spacing w:after="60" w:before="80" w:line="252" w:lineRule="auto"/>
    </w:pPr>
    <w:rPr>
      <w:rFonts w:ascii="Aptos" w:hAnsi="Aptos" w:eastAsia="Aptos"/>
      <w:b/>
      <w:i w:val="0"/>
      <w:color w:val="008B8B"/>
      <w:sz w:val="21"/>
    </w:rPr>
  </w:style>
  <w:style w:type="paragraph" w:customStyle="1" w:styleId="BMANote">
    <w:name w:val="BMA Note"/>
    <w:basedOn w:val="Normal"/>
    <w:pPr>
      <w:spacing w:after="100" w:before="0" w:line="252" w:lineRule="auto"/>
    </w:pPr>
    <w:rPr>
      <w:rFonts w:ascii="Aptos" w:hAnsi="Aptos" w:eastAsia="Aptos"/>
      <w:b w:val="0"/>
      <w:i/>
      <w:color w:val="52616B"/>
      <w:sz w:val="17"/>
    </w:rPr>
  </w:style>
  <w:style w:type="paragraph" w:customStyle="1" w:styleId="BMAFooter">
    <w:name w:val="BMA Footer"/>
    <w:basedOn w:val="Normal"/>
    <w:pPr>
      <w:spacing w:after="0" w:before="0" w:line="252" w:lineRule="auto"/>
    </w:pPr>
    <w:rPr>
      <w:rFonts w:ascii="Aptos" w:hAnsi="Aptos" w:eastAsia="Aptos"/>
      <w:b w:val="0"/>
      <w:i w:val="0"/>
      <w:color w:val="52616B"/>
      <w:sz w:val="15"/>
    </w:rPr>
  </w:style>
  <w:style w:type="paragraph" w:customStyle="1" w:styleId="BMACellBullet">
    <w:name w:val="BMA Cell Bullet"/>
    <w:basedOn w:val="Normal"/>
    <w:pPr>
      <w:spacing w:after="20" w:before="0" w:line="252" w:lineRule="auto"/>
    </w:pPr>
    <w:rPr>
      <w:rFonts w:ascii="Aptos" w:hAnsi="Aptos" w:eastAsia="Aptos"/>
      <w:b w:val="0"/>
      <w:i w:val="0"/>
      <w:color w:val="1F2933"/>
      <w:sz w:val="17"/>
    </w:rPr>
  </w:style>
  <w:style w:type="paragraph" w:customStyle="1" w:styleId="BMABullet">
    <w:name w:val="BMA Bullet"/>
    <w:basedOn w:val="Normal"/>
    <w:pPr>
      <w:spacing w:after="40" w:before="0" w:line="252" w:lineRule="auto"/>
      <w:ind w:left="317" w:hanging="173"/>
    </w:pPr>
    <w:rPr>
      <w:rFonts w:ascii="Aptos" w:hAnsi="Aptos" w:eastAsia="Aptos"/>
      <w:b w:val="0"/>
      <w:i w:val="0"/>
      <w:color w:val="1F2933"/>
      <w:sz w:val="17"/>
    </w:rPr>
  </w:style>
  <w:style w:type="paragraph" w:customStyle="1" w:styleId="BMABullet2">
    <w:name w:val="BMA Bullet 2"/>
    <w:basedOn w:val="Normal"/>
    <w:pPr>
      <w:spacing w:after="20" w:before="0" w:line="252" w:lineRule="auto"/>
      <w:ind w:left="605" w:hanging="173"/>
    </w:pPr>
    <w:rPr>
      <w:rFonts w:ascii="Aptos" w:hAnsi="Aptos" w:eastAsia="Aptos"/>
      <w:b w:val="0"/>
      <w:i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Client Business Case Template</dc:title>
  <dc:subject>Lightweight deal qualification template for prospective wallet Clients</dc:subject>
  <dc:creator>Block Markets Africa / Open</dc:creator>
  <cp:keywords>BMA, Open, wallet, client, business case, deal qualification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