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Sentinel documentation strategy</w:t>
      </w:r>
    </w:p>
    <w:p>
      <w:r>
        <w:rPr>
          <w:i/>
          <w:color w:val="64748B"/>
        </w:rPr>
        <w:t>Technical writing assessment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7E6"/>
            <w:tcBorders>
              <w:top w:val="single" w:sz="8" w:color="D6A756"/>
              <w:left w:val="single" w:sz="8" w:color="D6A756"/>
              <w:bottom w:val="single" w:sz="8" w:color="D6A756"/>
              <w:right w:val="single" w:sz="8" w:color="D6A756"/>
            </w:tcBorders>
            <w:vAlign w:val="center"/>
          </w:tcPr>
          <w:p>
            <w:r>
              <w:rPr>
                <w:b/>
                <w:color w:val="0F172A"/>
              </w:rPr>
              <w:t>Internal assessment note — remove before publication</w:t>
            </w:r>
          </w:p>
          <w:p>
            <w:r>
              <w:t>This strategy and its supporting documentation are based on the illustrative Project Sentinel prototype created for the assessment.</w:t>
            </w:r>
          </w:p>
          <w:p>
            <w:r>
              <w:t>Product navigation, field names, permissions, workflows, and system behavior must be validated against the actual product before publication.</w:t>
            </w:r>
          </w:p>
        </w:tc>
      </w:tr>
    </w:tbl>
    <w:p/>
    <w:p>
      <w:pPr>
        <w:pStyle w:val="Heading1"/>
      </w:pPr>
      <w:r>
        <w:t>Purpose</w:t>
      </w:r>
    </w:p>
    <w:p>
      <w:r>
        <w:t>This strategy defines how Project Sentinel documentation will help developers, platform teams, operations users, and administrators monitor microservices, investigate performance problems, configure alerting, connect integrations, and automate common activities.</w:t>
      </w:r>
    </w:p>
    <w:p>
      <w:r>
        <w:t>For this assessment, the prototype is treated as the assumed product interface so that the documentation structure, contextual help, and task guidance can be demonstrated concretely.</w:t>
      </w:r>
    </w:p>
    <w:p>
      <w:pPr>
        <w:pStyle w:val="Heading1"/>
      </w:pPr>
      <w:r>
        <w:t>Documentation delivery model</w:t>
      </w:r>
    </w:p>
    <w:p>
      <w:pPr>
        <w:pStyle w:val="ListNumber"/>
      </w:pPr>
      <w:r>
        <w:rPr>
          <w:b/>
        </w:rPr>
        <w:t>Contextual help in the product</w:t>
      </w:r>
    </w:p>
    <w:p>
      <w:pPr>
        <w:ind w:left="432"/>
      </w:pPr>
      <w:r>
        <w:t>A Help action opens guidance relevant to the page or workflow the user is currently viewing.</w:t>
      </w:r>
    </w:p>
    <w:p>
      <w:pPr>
        <w:pStyle w:val="ListNumber"/>
      </w:pPr>
      <w:r>
        <w:rPr>
          <w:b/>
        </w:rPr>
        <w:t>Field-level help</w:t>
      </w:r>
    </w:p>
    <w:p>
      <w:pPr>
        <w:ind w:left="432"/>
      </w:pPr>
      <w:r>
        <w:t>Tooltips explain unfamiliar fields, thresholds, evaluation settings, and other terms that need immediate clarification.</w:t>
      </w:r>
    </w:p>
    <w:p>
      <w:pPr>
        <w:pStyle w:val="ListNumber"/>
      </w:pPr>
      <w:r>
        <w:rPr>
          <w:b/>
        </w:rPr>
        <w:t>Standalone Help Center</w:t>
      </w:r>
    </w:p>
    <w:p>
      <w:pPr>
        <w:ind w:left="432"/>
      </w:pPr>
      <w:r>
        <w:t>Users can search and browse the complete documentation by task, role, or product area.</w:t>
      </w:r>
    </w:p>
    <w:p>
      <w:pPr>
        <w:pStyle w:val="ListNumber"/>
      </w:pPr>
      <w:r>
        <w:rPr>
          <w:b/>
        </w:rPr>
        <w:t>Portable outputs</w:t>
      </w:r>
    </w:p>
    <w:p>
      <w:pPr>
        <w:ind w:left="432"/>
      </w:pPr>
      <w:r>
        <w:t>Core documents can also be exported to PDF for review and email distribution.</w:t>
      </w:r>
    </w:p>
    <w:p>
      <w:r>
        <w:t>The same topic should be authored once and surfaced through multiple entry points to avoid duplicate content and inconsistent updates.</w:t>
      </w:r>
    </w:p>
    <w:p>
      <w:pPr>
        <w:pStyle w:val="Heading1"/>
      </w:pPr>
      <w:r>
        <w:t>Primary organization: task-based</w:t>
      </w:r>
    </w:p>
    <w:p>
      <w:pPr>
        <w:pStyle w:val="Heading2"/>
      </w:pPr>
      <w:r>
        <w:t>Get started</w:t>
      </w:r>
    </w:p>
    <w:p>
      <w:pPr>
        <w:pStyle w:val="ListBullet"/>
      </w:pPr>
      <w:r>
        <w:t>Understand Project Sentinel</w:t>
      </w:r>
    </w:p>
    <w:p>
      <w:pPr>
        <w:pStyle w:val="ListBullet"/>
      </w:pPr>
      <w:r>
        <w:t>Understand the interface</w:t>
      </w:r>
    </w:p>
    <w:p>
      <w:pPr>
        <w:pStyle w:val="ListBullet"/>
      </w:pPr>
      <w:r>
        <w:t>Understand health states and severity</w:t>
      </w:r>
    </w:p>
    <w:p>
      <w:pPr>
        <w:pStyle w:val="ListBullet"/>
      </w:pPr>
      <w:r>
        <w:t>Understand roles and permissions</w:t>
      </w:r>
    </w:p>
    <w:p>
      <w:pPr>
        <w:pStyle w:val="ListBullet"/>
      </w:pPr>
      <w:r>
        <w:t>Set up your first monitored service</w:t>
      </w:r>
    </w:p>
    <w:p>
      <w:pPr>
        <w:pStyle w:val="Heading2"/>
      </w:pPr>
      <w:r>
        <w:t>Monitor and investigate</w:t>
      </w:r>
    </w:p>
    <w:p>
      <w:pPr>
        <w:pStyle w:val="ListBullet"/>
      </w:pPr>
      <w:r>
        <w:t>View portfolio health</w:t>
      </w:r>
    </w:p>
    <w:p>
      <w:pPr>
        <w:pStyle w:val="ListBullet"/>
      </w:pPr>
      <w:r>
        <w:t>Find a monitored service</w:t>
      </w:r>
    </w:p>
    <w:p>
      <w:pPr>
        <w:pStyle w:val="ListBullet"/>
      </w:pPr>
      <w:r>
        <w:t>Investigate degraded service performance</w:t>
      </w:r>
    </w:p>
    <w:p>
      <w:pPr>
        <w:pStyle w:val="ListBullet"/>
      </w:pPr>
      <w:r>
        <w:t>Review service dependencies</w:t>
      </w:r>
    </w:p>
    <w:p>
      <w:pPr>
        <w:pStyle w:val="ListBullet"/>
      </w:pPr>
      <w:r>
        <w:t>Review active alerts and recent changes</w:t>
      </w:r>
    </w:p>
    <w:p>
      <w:pPr>
        <w:pStyle w:val="Heading2"/>
      </w:pPr>
      <w:r>
        <w:t>Configure monitoring</w:t>
      </w:r>
    </w:p>
    <w:p>
      <w:pPr>
        <w:pStyle w:val="ListBullet"/>
      </w:pPr>
      <w:r>
        <w:t>Add a microservice to monitoring</w:t>
      </w:r>
    </w:p>
    <w:p>
      <w:pPr>
        <w:pStyle w:val="ListBullet"/>
      </w:pPr>
      <w:r>
        <w:t>Connect a telemetry source</w:t>
      </w:r>
    </w:p>
    <w:p>
      <w:pPr>
        <w:pStyle w:val="ListBullet"/>
      </w:pPr>
      <w:r>
        <w:t>Configure service ownership and environment</w:t>
      </w:r>
    </w:p>
    <w:p>
      <w:pPr>
        <w:pStyle w:val="ListBullet"/>
      </w:pPr>
      <w:r>
        <w:t>Define initial thresholds</w:t>
      </w:r>
    </w:p>
    <w:p>
      <w:pPr>
        <w:pStyle w:val="ListBullet"/>
      </w:pPr>
      <w:r>
        <w:t>Test monitoring connectivity</w:t>
      </w:r>
    </w:p>
    <w:p>
      <w:pPr>
        <w:pStyle w:val="ListBullet"/>
      </w:pPr>
      <w:r>
        <w:t>Update service configuration</w:t>
      </w:r>
    </w:p>
    <w:p>
      <w:pPr>
        <w:pStyle w:val="Heading2"/>
      </w:pPr>
      <w:r>
        <w:t>Configure alerts</w:t>
      </w:r>
    </w:p>
    <w:p>
      <w:pPr>
        <w:pStyle w:val="ListBullet"/>
      </w:pPr>
      <w:r>
        <w:t>Create an alert rule</w:t>
      </w:r>
    </w:p>
    <w:p>
      <w:pPr>
        <w:pStyle w:val="ListBullet"/>
      </w:pPr>
      <w:r>
        <w:t>Define thresholds and evaluation windows</w:t>
      </w:r>
    </w:p>
    <w:p>
      <w:pPr>
        <w:pStyle w:val="ListBullet"/>
      </w:pPr>
      <w:r>
        <w:t>Assign severity</w:t>
      </w:r>
    </w:p>
    <w:p>
      <w:pPr>
        <w:pStyle w:val="ListBullet"/>
      </w:pPr>
      <w:r>
        <w:t>Configure notification routing</w:t>
      </w:r>
    </w:p>
    <w:p>
      <w:pPr>
        <w:pStyle w:val="ListBullet"/>
      </w:pPr>
      <w:r>
        <w:t>Test an alert</w:t>
      </w:r>
    </w:p>
    <w:p>
      <w:pPr>
        <w:pStyle w:val="ListBullet"/>
      </w:pPr>
      <w:r>
        <w:t>Tune noisy alerts</w:t>
      </w:r>
    </w:p>
    <w:p>
      <w:pPr>
        <w:pStyle w:val="Heading2"/>
      </w:pPr>
      <w:r>
        <w:t>Configure integrations</w:t>
      </w:r>
    </w:p>
    <w:p>
      <w:pPr>
        <w:pStyle w:val="ListBullet"/>
      </w:pPr>
      <w:r>
        <w:t>Connect the internal logging system</w:t>
      </w:r>
    </w:p>
    <w:p>
      <w:pPr>
        <w:pStyle w:val="ListBullet"/>
      </w:pPr>
      <w:r>
        <w:t>Connect Jira</w:t>
      </w:r>
    </w:p>
    <w:p>
      <w:pPr>
        <w:pStyle w:val="ListBullet"/>
      </w:pPr>
      <w:r>
        <w:t>Connect Microsoft Teams</w:t>
      </w:r>
    </w:p>
    <w:p>
      <w:pPr>
        <w:pStyle w:val="ListBullet"/>
      </w:pPr>
      <w:r>
        <w:t>Connect PagerDuty</w:t>
      </w:r>
    </w:p>
    <w:p>
      <w:pPr>
        <w:pStyle w:val="ListBullet"/>
      </w:pPr>
      <w:r>
        <w:t>Configure a webhook</w:t>
      </w:r>
    </w:p>
    <w:p>
      <w:pPr>
        <w:pStyle w:val="ListBullet"/>
      </w:pPr>
      <w:r>
        <w:t>Test and troubleshoot integrations</w:t>
      </w:r>
    </w:p>
    <w:p>
      <w:pPr>
        <w:pStyle w:val="Heading2"/>
      </w:pPr>
      <w:r>
        <w:t>Operate and troubleshoot</w:t>
      </w:r>
    </w:p>
    <w:p>
      <w:pPr>
        <w:pStyle w:val="ListBullet"/>
      </w:pPr>
      <w:r>
        <w:t>Troubleshoot missing monitoring data</w:t>
      </w:r>
    </w:p>
    <w:p>
      <w:pPr>
        <w:pStyle w:val="ListBullet"/>
      </w:pPr>
      <w:r>
        <w:t>Troubleshoot excessive alerts</w:t>
      </w:r>
    </w:p>
    <w:p>
      <w:pPr>
        <w:pStyle w:val="ListBullet"/>
      </w:pPr>
      <w:r>
        <w:t>Investigate a degraded service</w:t>
      </w:r>
    </w:p>
    <w:p>
      <w:pPr>
        <w:pStyle w:val="ListBullet"/>
      </w:pPr>
      <w:r>
        <w:t>Resolve an integration failure</w:t>
      </w:r>
    </w:p>
    <w:p>
      <w:pPr>
        <w:pStyle w:val="ListBullet"/>
      </w:pPr>
      <w:r>
        <w:t>Diagnose permission problems</w:t>
      </w:r>
    </w:p>
    <w:p>
      <w:pPr>
        <w:pStyle w:val="Heading2"/>
      </w:pPr>
      <w:r>
        <w:t>Automate with the API</w:t>
      </w:r>
    </w:p>
    <w:p>
      <w:pPr>
        <w:pStyle w:val="ListBullet"/>
      </w:pPr>
      <w:r>
        <w:t>Authenticate</w:t>
      </w:r>
    </w:p>
    <w:p>
      <w:pPr>
        <w:pStyle w:val="ListBullet"/>
      </w:pPr>
      <w:r>
        <w:t>Retrieve services and health</w:t>
      </w:r>
    </w:p>
    <w:p>
      <w:pPr>
        <w:pStyle w:val="ListBullet"/>
      </w:pPr>
      <w:r>
        <w:t>Manage alert rules</w:t>
      </w:r>
    </w:p>
    <w:p>
      <w:pPr>
        <w:pStyle w:val="ListBullet"/>
      </w:pPr>
      <w:r>
        <w:t>Manage integrations</w:t>
      </w:r>
    </w:p>
    <w:p>
      <w:pPr>
        <w:pStyle w:val="ListBullet"/>
      </w:pPr>
      <w:r>
        <w:t>Handle errors and rate limits</w:t>
      </w:r>
    </w:p>
    <w:p>
      <w:pPr>
        <w:pStyle w:val="Heading1"/>
      </w:pPr>
      <w:r>
        <w:t>Alternate navigation: role-based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B1120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968"/>
            <w:shd w:fill="0B1120"/>
          </w:tcPr>
          <w:p>
            <w:r>
              <w:rPr>
                <w:b/>
                <w:color w:val="FFFFFF"/>
              </w:rPr>
              <w:t>Typical documentation needs</w:t>
            </w:r>
          </w:p>
        </w:tc>
      </w:tr>
      <w:tr>
        <w:tc>
          <w:tcPr>
            <w:tcW w:type="dxa" w:w="4968"/>
          </w:tcPr>
          <w:p>
            <w:r>
              <w:t>Developer or application owner</w:t>
            </w:r>
          </w:p>
        </w:tc>
        <w:tc>
          <w:tcPr>
            <w:tcW w:type="dxa" w:w="4968"/>
          </w:tcPr>
          <w:p>
            <w:r>
              <w:t>Add services, review service health, investigate performance, review dependencies, and configure service-level alerts.</w:t>
            </w:r>
          </w:p>
        </w:tc>
      </w:tr>
      <w:tr>
        <w:tc>
          <w:tcPr>
            <w:tcW w:type="dxa" w:w="4968"/>
          </w:tcPr>
          <w:p>
            <w:r>
              <w:t>Platform or enablement engineer</w:t>
            </w:r>
          </w:p>
        </w:tc>
        <w:tc>
          <w:tcPr>
            <w:tcW w:type="dxa" w:w="4968"/>
          </w:tcPr>
          <w:p>
            <w:r>
              <w:t>Standardize onboarding, configure shared integrations, define reusable monitoring patterns, troubleshoot telemetry, and automate through the API.</w:t>
            </w:r>
          </w:p>
        </w:tc>
      </w:tr>
      <w:tr>
        <w:tc>
          <w:tcPr>
            <w:tcW w:type="dxa" w:w="4968"/>
          </w:tcPr>
          <w:p>
            <w:r>
              <w:t>Operations or production support</w:t>
            </w:r>
          </w:p>
        </w:tc>
        <w:tc>
          <w:tcPr>
            <w:tcW w:type="dxa" w:w="4968"/>
          </w:tcPr>
          <w:p>
            <w:r>
              <w:t>Review active issues, investigate degraded services, correlate alerts with recent changes, and coordinate response.</w:t>
            </w:r>
          </w:p>
        </w:tc>
      </w:tr>
      <w:tr>
        <w:tc>
          <w:tcPr>
            <w:tcW w:type="dxa" w:w="4968"/>
          </w:tcPr>
          <w:p>
            <w:r>
              <w:t>Administrator</w:t>
            </w:r>
          </w:p>
        </w:tc>
        <w:tc>
          <w:tcPr>
            <w:tcW w:type="dxa" w:w="4968"/>
          </w:tcPr>
          <w:p>
            <w:r>
              <w:t>Manage access, shared integrations, API credentials, retention, and system-level settings.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7E6"/>
            <w:tcBorders>
              <w:top w:val="single" w:sz="8" w:color="D6A756"/>
              <w:left w:val="single" w:sz="8" w:color="D6A756"/>
              <w:bottom w:val="single" w:sz="8" w:color="D6A756"/>
              <w:right w:val="single" w:sz="8" w:color="D6A756"/>
            </w:tcBorders>
            <w:vAlign w:val="center"/>
          </w:tcPr>
          <w:p>
            <w:r>
              <w:rPr>
                <w:b/>
                <w:color w:val="0F172A"/>
              </w:rPr>
              <w:t>Internal assumption — confirm before publication</w:t>
            </w:r>
          </w:p>
          <w:p>
            <w:r>
              <w:t>These role groupings are inferred from the proposed workflows. Confirm the actual roles, permissions, and ownership with the product team.</w:t>
            </w:r>
          </w:p>
        </w:tc>
      </w:tr>
    </w:tbl>
    <w:p/>
    <w:p>
      <w:pPr>
        <w:pStyle w:val="Heading1"/>
      </w:pPr>
      <w:r>
        <w:t>Alternate navigation: product area</w:t>
      </w:r>
    </w:p>
    <w:p>
      <w:pPr>
        <w:pStyle w:val="ListBullet"/>
      </w:pPr>
      <w:r>
        <w:t>Overview</w:t>
      </w:r>
    </w:p>
    <w:p>
      <w:pPr>
        <w:pStyle w:val="ListBullet"/>
      </w:pPr>
      <w:r>
        <w:t>Services</w:t>
      </w:r>
    </w:p>
    <w:p>
      <w:pPr>
        <w:pStyle w:val="ListBullet"/>
      </w:pPr>
      <w:r>
        <w:t>Service details</w:t>
      </w:r>
    </w:p>
    <w:p>
      <w:pPr>
        <w:pStyle w:val="ListBullet"/>
      </w:pPr>
      <w:r>
        <w:t>Alerts</w:t>
      </w:r>
    </w:p>
    <w:p>
      <w:pPr>
        <w:pStyle w:val="ListBullet"/>
      </w:pPr>
      <w:r>
        <w:t>Incidents</w:t>
      </w:r>
    </w:p>
    <w:p>
      <w:pPr>
        <w:pStyle w:val="ListBullet"/>
      </w:pPr>
      <w:r>
        <w:t>Integrations</w:t>
      </w:r>
    </w:p>
    <w:p>
      <w:pPr>
        <w:pStyle w:val="ListBullet"/>
      </w:pPr>
      <w:r>
        <w:t>Settings</w:t>
      </w:r>
    </w:p>
    <w:p>
      <w:pPr>
        <w:pStyle w:val="ListBullet"/>
      </w:pPr>
      <w:r>
        <w:t>API documentation</w:t>
      </w:r>
    </w:p>
    <w:p>
      <w:pPr>
        <w:pStyle w:val="Heading1"/>
      </w:pPr>
      <w:r>
        <w:t>Contextual help pattern</w:t>
      </w:r>
    </w:p>
    <w:p>
      <w:r>
        <w:t>Each product page includes a Help action. The contextual panel contains:</w:t>
      </w:r>
    </w:p>
    <w:p>
      <w:pPr>
        <w:pStyle w:val="ListBullet"/>
      </w:pPr>
      <w:r>
        <w:t>a short description of the page;</w:t>
      </w:r>
    </w:p>
    <w:p>
      <w:pPr>
        <w:pStyle w:val="ListBullet"/>
      </w:pPr>
      <w:r>
        <w:t>common tasks;</w:t>
      </w:r>
    </w:p>
    <w:p>
      <w:pPr>
        <w:pStyle w:val="ListBullet"/>
      </w:pPr>
      <w:r>
        <w:t>related help topics;</w:t>
      </w:r>
    </w:p>
    <w:p>
      <w:pPr>
        <w:pStyle w:val="ListBullet"/>
      </w:pPr>
      <w:r>
        <w:t>a link to the complete Help Center.</w:t>
      </w:r>
    </w:p>
    <w:p>
      <w:r>
        <w:t>Field-level tooltips are used only for terms that need immediate clarification, such as telemetry source, latency threshold, error-rate threshold, evaluation window, and escalation delay.</w:t>
      </w:r>
    </w:p>
    <w:p>
      <w:pPr>
        <w:pStyle w:val="Heading1"/>
      </w:pPr>
      <w:r>
        <w:t>Topic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B1120"/>
          </w:tcPr>
          <w:p>
            <w:r>
              <w:rPr>
                <w:b/>
                <w:color w:val="FFFFFF"/>
              </w:rPr>
              <w:t>Topic type</w:t>
            </w:r>
          </w:p>
        </w:tc>
        <w:tc>
          <w:tcPr>
            <w:tcW w:type="dxa" w:w="4968"/>
            <w:shd w:fill="0B1120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Overview</w:t>
            </w:r>
          </w:p>
        </w:tc>
        <w:tc>
          <w:tcPr>
            <w:tcW w:type="dxa" w:w="4968"/>
          </w:tcPr>
          <w:p>
            <w:r>
              <w:t>Introduce a product area and connect related topics.</w:t>
            </w:r>
          </w:p>
        </w:tc>
      </w:tr>
      <w:tr>
        <w:tc>
          <w:tcPr>
            <w:tcW w:type="dxa" w:w="4968"/>
          </w:tcPr>
          <w:p>
            <w:r>
              <w:t>Concept</w:t>
            </w:r>
          </w:p>
        </w:tc>
        <w:tc>
          <w:tcPr>
            <w:tcW w:type="dxa" w:w="4968"/>
          </w:tcPr>
          <w:p>
            <w:r>
              <w:t>Explain what something is and why it matters.</w:t>
            </w:r>
          </w:p>
        </w:tc>
      </w:tr>
      <w:tr>
        <w:tc>
          <w:tcPr>
            <w:tcW w:type="dxa" w:w="4968"/>
          </w:tcPr>
          <w:p>
            <w:r>
              <w:t>Task</w:t>
            </w:r>
          </w:p>
        </w:tc>
        <w:tc>
          <w:tcPr>
            <w:tcW w:type="dxa" w:w="4968"/>
          </w:tcPr>
          <w:p>
            <w:r>
              <w:t>Explain how to complete a user goal.</w:t>
            </w:r>
          </w:p>
        </w:tc>
      </w:tr>
      <w:tr>
        <w:tc>
          <w:tcPr>
            <w:tcW w:type="dxa" w:w="4968"/>
          </w:tcPr>
          <w:p>
            <w:r>
              <w:t>Reference</w:t>
            </w:r>
          </w:p>
        </w:tc>
        <w:tc>
          <w:tcPr>
            <w:tcW w:type="dxa" w:w="4968"/>
          </w:tcPr>
          <w:p>
            <w:r>
              <w:t>Define fields, statuses, API elements, and supported values.</w:t>
            </w:r>
          </w:p>
        </w:tc>
      </w:tr>
      <w:tr>
        <w:tc>
          <w:tcPr>
            <w:tcW w:type="dxa" w:w="4968"/>
          </w:tcPr>
          <w:p>
            <w:r>
              <w:t>Troubleshooting</w:t>
            </w:r>
          </w:p>
        </w:tc>
        <w:tc>
          <w:tcPr>
            <w:tcW w:type="dxa" w:w="4968"/>
          </w:tcPr>
          <w:p>
            <w:r>
              <w:t>Diagnose and resolve a problem.</w:t>
            </w:r>
          </w:p>
        </w:tc>
      </w:tr>
    </w:tbl>
    <w:p/>
    <w:p>
      <w:pPr>
        <w:pStyle w:val="Heading1"/>
      </w:pPr>
      <w:r>
        <w:t>Fully developed workflow</w:t>
      </w:r>
    </w:p>
    <w:p>
      <w:r>
        <w:t>The assessment workflow is Add a microservice to monitoring. It demonstrates how a developer:</w:t>
      </w:r>
    </w:p>
    <w:p>
      <w:pPr>
        <w:pStyle w:val="ListNumber"/>
      </w:pPr>
      <w:r>
        <w:t>Opens Services.</w:t>
      </w:r>
    </w:p>
    <w:p>
      <w:pPr>
        <w:pStyle w:val="ListNumber"/>
      </w:pPr>
      <w:r>
        <w:t>Selects Add service.</w:t>
      </w:r>
    </w:p>
    <w:p>
      <w:pPr>
        <w:pStyle w:val="ListNumber"/>
      </w:pPr>
      <w:r>
        <w:t>Enters service identity and ownership information.</w:t>
      </w:r>
    </w:p>
    <w:p>
      <w:pPr>
        <w:pStyle w:val="ListNumber"/>
      </w:pPr>
      <w:r>
        <w:t>Selects the telemetry source.</w:t>
      </w:r>
    </w:p>
    <w:p>
      <w:pPr>
        <w:pStyle w:val="ListNumber"/>
      </w:pPr>
      <w:r>
        <w:t>Enters the service endpoint.</w:t>
      </w:r>
    </w:p>
    <w:p>
      <w:pPr>
        <w:pStyle w:val="ListNumber"/>
      </w:pPr>
      <w:r>
        <w:t>Defines initial latency and error-rate thresholds.</w:t>
      </w:r>
    </w:p>
    <w:p>
      <w:pPr>
        <w:pStyle w:val="ListNumber"/>
      </w:pPr>
      <w:r>
        <w:t>Tests the connection.</w:t>
      </w:r>
    </w:p>
    <w:p>
      <w:pPr>
        <w:pStyle w:val="ListNumber"/>
      </w:pPr>
      <w:r>
        <w:t>Adds the service.</w:t>
      </w:r>
    </w:p>
    <w:p>
      <w:pPr>
        <w:pStyle w:val="ListNumber"/>
      </w:pPr>
      <w:r>
        <w:t>Verifies that the service appears in the inventory.</w:t>
      </w:r>
    </w:p>
    <w:p>
      <w:pPr>
        <w:pStyle w:val="ListNumber"/>
      </w:pPr>
      <w:r>
        <w:t>Opens the service and confirms monitoring data.</w:t>
      </w:r>
    </w:p>
    <w:p>
      <w:pPr>
        <w:pStyle w:val="ListNumber"/>
      </w:pPr>
      <w:r>
        <w:t>Creates an initial alert rule and notification route.</w:t>
      </w:r>
    </w:p>
    <w:p>
      <w:pPr>
        <w:pStyle w:val="Heading1"/>
      </w:pPr>
      <w:r>
        <w:t>Anticipated challenge 1: Monitoring data does not appear</w:t>
      </w:r>
    </w:p>
    <w:p>
      <w:r>
        <w:t>This challenge prevents users from validating service health and makes every later dashboard or alerting decision unreliable.</w:t>
      </w:r>
    </w:p>
    <w:p>
      <w:r>
        <w:t>Documentation response:</w:t>
      </w:r>
    </w:p>
    <w:p>
      <w:pPr>
        <w:pStyle w:val="ListBullet"/>
      </w:pPr>
      <w:r>
        <w:t>state prerequisites clearly;</w:t>
      </w:r>
    </w:p>
    <w:p>
      <w:pPr>
        <w:pStyle w:val="ListBullet"/>
      </w:pPr>
      <w:r>
        <w:t>explain telemetry and endpoint requirements;</w:t>
      </w:r>
    </w:p>
    <w:p>
      <w:pPr>
        <w:pStyle w:val="ListBullet"/>
      </w:pPr>
      <w:r>
        <w:t>provide connection-testing steps;</w:t>
      </w:r>
    </w:p>
    <w:p>
      <w:pPr>
        <w:pStyle w:val="ListBullet"/>
      </w:pPr>
      <w:r>
        <w:t>identify required permissions;</w:t>
      </w:r>
    </w:p>
    <w:p>
      <w:pPr>
        <w:pStyle w:val="ListBullet"/>
      </w:pPr>
      <w:r>
        <w:t>show how to verify environment and service identity;</w:t>
      </w:r>
    </w:p>
    <w:p>
      <w:pPr>
        <w:pStyle w:val="ListBullet"/>
      </w:pPr>
      <w:r>
        <w:t>provide diagnostic and escalation information.</w:t>
      </w:r>
    </w:p>
    <w:p>
      <w:pPr>
        <w:pStyle w:val="Heading1"/>
      </w:pPr>
      <w:r>
        <w:t>Anticipated challenge 2: Alerts are noisy or ineffective</w:t>
      </w:r>
    </w:p>
    <w:p>
      <w:r>
        <w:t>Poor thresholds can create alert fatigue or fail to detect meaningful degradation.</w:t>
      </w:r>
    </w:p>
    <w:p>
      <w:r>
        <w:t>Documentation response:</w:t>
      </w:r>
    </w:p>
    <w:p>
      <w:pPr>
        <w:pStyle w:val="ListBullet"/>
      </w:pPr>
      <w:r>
        <w:t>explain threshold selection;</w:t>
      </w:r>
    </w:p>
    <w:p>
      <w:pPr>
        <w:pStyle w:val="ListBullet"/>
      </w:pPr>
      <w:r>
        <w:t>explain evaluation windows and severity;</w:t>
      </w:r>
    </w:p>
    <w:p>
      <w:pPr>
        <w:pStyle w:val="ListBullet"/>
      </w:pPr>
      <w:r>
        <w:t>show how to test a rule;</w:t>
      </w:r>
    </w:p>
    <w:p>
      <w:pPr>
        <w:pStyle w:val="ListBullet"/>
      </w:pPr>
      <w:r>
        <w:t>explain notification routing;</w:t>
      </w:r>
    </w:p>
    <w:p>
      <w:pPr>
        <w:pStyle w:val="ListBullet"/>
      </w:pPr>
      <w:r>
        <w:t>document tuning, suppression, and review of alert history.</w:t>
      </w:r>
    </w:p>
    <w:p>
      <w:pPr>
        <w:pStyle w:val="Heading1"/>
      </w:pPr>
      <w:r>
        <w:t>Prototype and source status</w:t>
      </w:r>
    </w:p>
    <w:p>
      <w:r>
        <w:t>The prototype distinguishes assessment-confirmed components, assessment-confirmed capabilities represented through illustrative workflows, and market-informed supporting views. This provenance should remain visible during review and be removed or replaced after product validation.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4748B"/>
        <w:sz w:val="16"/>
      </w:rPr>
      <w:t>Project Sentinel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Noto Sans" w:hAnsi="Noto San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" w:hAnsi="Noto Sans"/>
      <w:b/>
      <w:bCs/>
      <w:color w:val="0B112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" w:hAnsi="Noto Sans"/>
      <w:b/>
      <w:bCs/>
      <w:color w:val="0E749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" w:hAnsi="Noto Sans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color w:val="0B112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60"/>
      <w:ind w:left="259"/>
    </w:pPr>
    <w:rPr>
      <w:rFonts w:ascii="Liberation Mono" w:hAnsi="Liberation Mono"/>
      <w:color w:val="0F172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