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68"/>
        </w:rPr>
        <w:t>Docebo AgentHub</w:t>
      </w:r>
    </w:p>
    <w:p>
      <w:pPr>
        <w:jc w:val="center"/>
      </w:pPr>
      <w:r>
        <w:rPr>
          <w:color w:val="404040"/>
          <w:sz w:val="40"/>
        </w:rPr>
        <w:t>Go-To-Market Strategy</w:t>
      </w:r>
    </w:p>
    <w:p>
      <w:pPr>
        <w:jc w:val="center"/>
      </w:pPr>
      <w:r>
        <w:rPr>
          <w:i/>
          <w:color w:val="404040"/>
          <w:sz w:val="32"/>
        </w:rPr>
        <w:t>Executive Summary</w:t>
      </w:r>
    </w:p>
    <w:p/>
    <w:p/>
    <w:p/>
    <w:p/>
    <w:p/>
    <w:p/>
    <w:p/>
    <w:p/>
    <w:p/>
    <w:p/>
    <w:p>
      <w:pPr>
        <w:jc w:val="center"/>
      </w:pPr>
      <w:r>
        <w:rPr>
          <w:b/>
          <w:sz w:val="28"/>
        </w:rPr>
        <w:t>Neel Das</w:t>
      </w:r>
    </w:p>
    <w:p>
      <w:pPr>
        <w:jc w:val="center"/>
      </w:pPr>
      <w:r>
        <w:rPr>
          <w:color w:val="606060"/>
          <w:sz w:val="24"/>
        </w:rPr>
        <w:t>June 2026</w:t>
      </w:r>
    </w:p>
    <w:p>
      <w:r>
        <w:br w:type="page"/>
      </w:r>
    </w:p>
    <w:p>
      <w:pPr>
        <w:pStyle w:val="Heading1"/>
      </w:pPr>
      <w:r>
        <w:rPr>
          <w:color w:val="1F4E79"/>
        </w:rPr>
        <w:t>Overview</w:t>
      </w:r>
    </w:p>
    <w:p>
      <w:r>
        <w:t>This summary distills a five-stage GTM strategy for Docebo AgentHub — a platform that turns an enterprise's own fragmented knowledge into trackable learning and measurable skills through agentic AI. Each section below explains one stage of the analysis and surfaces the findings most specific to AgentHub's launch.</w:t>
      </w:r>
    </w:p>
    <w:p>
      <w:pPr>
        <w:pStyle w:val="Heading1"/>
      </w:pPr>
      <w:r>
        <w:rPr>
          <w:color w:val="1F4E79"/>
        </w:rPr>
        <w:t>1. Market Intelligence</w:t>
      </w:r>
    </w:p>
    <w:p>
      <w:r>
        <w:rPr>
          <w:i/>
          <w:color w:val="555555"/>
        </w:rPr>
        <w:t>Maps the market AgentHub is entering — its size, geography, competitors, substitutes, and the macro forces shaping demand.</w:t>
      </w:r>
    </w:p>
    <w:p>
      <w:pPr>
        <w:pStyle w:val="ListBullet"/>
      </w:pPr>
      <w:r>
        <w:rPr>
          <w:b w:val="0"/>
        </w:rPr>
        <w:t xml:space="preserve">AgentHub is creating a category, not entering one. It sits at the intersection of three large, fast-growing markets — corporate learning (~$14.5–16.3B), enterprise knowledge management (~$13.7–26.4B), and skills intelligence (~$9.6–9.8B) — for </w:t>
      </w:r>
      <w:r>
        <w:rPr>
          <w:b/>
        </w:rPr>
        <w:t>a combined adjacent opportunity of roughly $40–50B</w:t>
      </w:r>
      <w:r>
        <w:rPr>
          <w:b w:val="0"/>
        </w:rPr>
        <w:t xml:space="preserve">. The specific “knowledge + learning + skills with agentic AI” loop it defines is </w:t>
      </w:r>
      <w:r>
        <w:rPr>
          <w:b/>
        </w:rPr>
        <w:t>not yet sized by any analyst</w:t>
      </w:r>
      <w:r>
        <w:rPr>
          <w:b w:val="0"/>
        </w:rPr>
        <w:t>.</w:t>
      </w:r>
    </w:p>
    <w:p>
      <w:pPr>
        <w:pStyle w:val="ListBullet"/>
      </w:pPr>
      <w:r>
        <w:rPr>
          <w:b w:val="0"/>
        </w:rPr>
        <w:t>One macro shift drives the timing: enterprise AI agents are forecast to jump from under 5% of business applications in 2025 to ~40% by 2026, colliding with documented knowledge fragmentation (employees lose 1.8–3.6 hours a day across 5+ systems) and the rise of skills-based organizations.</w:t>
      </w:r>
    </w:p>
    <w:p>
      <w:pPr>
        <w:pStyle w:val="ListBullet"/>
      </w:pPr>
      <w:r>
        <w:rPr>
          <w:b/>
        </w:rPr>
        <w:t>No competitor closes the full loop.</w:t>
      </w:r>
      <w:r>
        <w:rPr>
          <w:b w:val="0"/>
        </w:rPr>
        <w:t xml:space="preserve"> Legacy suites (Cornerstone, SAP, Workday) deliver courses but can't ingest 20+ live knowledge sources; AI-search players (Glean, Microsoft Copilot) surface answers brilliantly but never convert them into trackable learning or proven skills.</w:t>
      </w:r>
    </w:p>
    <w:p>
      <w:pPr>
        <w:pStyle w:val="ListBullet"/>
      </w:pPr>
      <w:r>
        <w:rPr>
          <w:b w:val="0"/>
        </w:rPr>
        <w:t>North America is the commercial center (~40% of learning spend, ~74% of Docebo's revenue), while DACH/EMEA is a defensible compliance-led wedge thanks to the German roots of Docebo's Zive acquisition.</w:t>
      </w:r>
    </w:p>
    <w:p>
      <w:pPr>
        <w:pStyle w:val="ListBullet"/>
      </w:pPr>
      <w:r>
        <w:rPr>
          <w:b/>
        </w:rPr>
        <w:t>Disruption risk is HIGH.</w:t>
      </w:r>
      <w:r>
        <w:rPr>
          <w:b w:val="0"/>
        </w:rPr>
        <w:t xml:space="preserve"> AgentHub launches into a space attacked simultaneously by Microsoft, AI-native challengers, and HCM incumbents — and </w:t>
      </w:r>
      <w:r>
        <w:rPr>
          <w:b/>
        </w:rPr>
        <w:t>its own AI agents are not generally available until fall 2026</w:t>
      </w:r>
      <w:r>
        <w:rPr>
          <w:b w:val="0"/>
        </w:rPr>
        <w:t>, making speed to market and category evangelism decisive.</w:t>
      </w:r>
    </w:p>
    <w:p>
      <w:pPr>
        <w:pStyle w:val="Heading1"/>
      </w:pPr>
      <w:r>
        <w:rPr>
          <w:color w:val="1F4E79"/>
        </w:rPr>
        <w:t>2. Ideal Customer Profile</w:t>
      </w:r>
    </w:p>
    <w:p>
      <w:r>
        <w:rPr>
          <w:i/>
          <w:color w:val="555555"/>
        </w:rPr>
        <w:t>Defines exactly who to sell to — the firmographics, technology signals, buying triggers, and decision-makers of the best-fit accounts.</w:t>
      </w:r>
    </w:p>
    <w:p>
      <w:pPr>
        <w:pStyle w:val="ListBullet"/>
      </w:pPr>
      <w:r>
        <w:rPr>
          <w:b w:val="0"/>
        </w:rPr>
        <w:t>The bullseye: mid-market-to-large enterprises (500–10,000+ employees, sweet spot 1,000–5,000) in knowledge-intensive, compliance-exposed industries — technology, financial services, healthcare, manufacturing, and professional services.</w:t>
      </w:r>
    </w:p>
    <w:p>
      <w:pPr>
        <w:pStyle w:val="ListBullet"/>
      </w:pPr>
      <w:r>
        <w:rPr>
          <w:b/>
        </w:rPr>
        <w:t>Two profiles, not one — early adopters vs. mainstream.</w:t>
      </w:r>
      <w:r>
        <w:rPr>
          <w:b w:val="0"/>
        </w:rPr>
        <w:t xml:space="preserve"> Early adopters (first 12–18 months) are AI-mandated accounts that tolerate a pre-GA product; the mainstream majority will wait for proven ROI, references, and full compliance attestations in 2027+.</w:t>
      </w:r>
    </w:p>
    <w:p>
      <w:pPr>
        <w:pStyle w:val="ListBullet"/>
      </w:pPr>
      <w:r>
        <w:rPr>
          <w:b w:val="0"/>
        </w:rPr>
        <w:t xml:space="preserve">Segments are ranked by friction: </w:t>
      </w:r>
      <w:r>
        <w:rPr>
          <w:b/>
        </w:rPr>
        <w:t>#1 existing Docebo LMS customers (warm, land-and-expand); #2 AI-forward net-new North American enterprises; #3 the DACH/EU compliance wedge; #4 legacy-LMS displacement.</w:t>
      </w:r>
    </w:p>
    <w:p>
      <w:pPr>
        <w:pStyle w:val="ListBullet"/>
      </w:pPr>
      <w:r>
        <w:rPr>
          <w:b w:val="0"/>
        </w:rPr>
        <w:t>The buying committee is large (~11 people) spanning a CHRO/CFO budget owner, a CLO/Head-of-AI champion, IT and security evaluators, and — critically in Europe — a DPO/works-council blocker, across a 6–12 month cycle.</w:t>
      </w:r>
    </w:p>
    <w:p>
      <w:pPr>
        <w:pStyle w:val="ListBullet"/>
      </w:pPr>
      <w:r>
        <w:rPr>
          <w:b w:val="0"/>
        </w:rPr>
        <w:t xml:space="preserve">Clear </w:t>
      </w:r>
      <w:r>
        <w:rPr>
          <w:b/>
        </w:rPr>
        <w:t>accounts to walk away from: Microsoft-locked shops standardized on Copilot/Viva</w:t>
      </w:r>
      <w:r>
        <w:rPr>
          <w:b w:val="0"/>
        </w:rPr>
        <w:t>, organizations with thin single-source knowledge, sub-500-employee buyers, and bargain shoppers anchored to commodity LMS pricing.</w:t>
      </w:r>
    </w:p>
    <w:p>
      <w:pPr>
        <w:pStyle w:val="Heading1"/>
      </w:pPr>
      <w:r>
        <w:rPr>
          <w:color w:val="1F4E79"/>
        </w:rPr>
        <w:t>3. Channel Strategy</w:t>
      </w:r>
    </w:p>
    <w:p>
      <w:r>
        <w:rPr>
          <w:i/>
          <w:color w:val="555555"/>
        </w:rPr>
        <w:t>Recommends how to reach and sell to the ICP — the sales motion, the priority channels, and the partnerships that scale reach.</w:t>
      </w:r>
    </w:p>
    <w:p>
      <w:pPr>
        <w:pStyle w:val="ListBullet"/>
      </w:pPr>
      <w:r>
        <w:rPr>
          <w:b w:val="0"/>
        </w:rPr>
        <w:t xml:space="preserve">The motion is a sales-led hybrid: dominant land-and-expand off the existing Docebo LMS base, a lighter guided-POC motion for AI-forward net-new accounts, and a partner/ecosystem layer for distribution — </w:t>
      </w:r>
      <w:r>
        <w:rPr>
          <w:b/>
        </w:rPr>
        <w:t>explicitly not self-serve PLG, which the premium price and 11-person committee rule out</w:t>
      </w:r>
      <w:r>
        <w:rPr>
          <w:b w:val="0"/>
        </w:rPr>
        <w:t>.</w:t>
      </w:r>
    </w:p>
    <w:p>
      <w:pPr>
        <w:pStyle w:val="ListBullet"/>
      </w:pPr>
      <w:r>
        <w:rPr>
          <w:b w:val="0"/>
        </w:rPr>
        <w:t>The warm install base is the #1 channel — the fastest, lowest-cost path to early reference logos before agents ship, worked through QBRs and renewals by existing CSM/AM teams.</w:t>
      </w:r>
    </w:p>
    <w:p>
      <w:pPr>
        <w:pStyle w:val="ListBullet"/>
      </w:pPr>
      <w:r>
        <w:rPr>
          <w:b/>
        </w:rPr>
        <w:t>The MCP Server is a genuine distribution channel,</w:t>
      </w:r>
      <w:r>
        <w:rPr>
          <w:b w:val="0"/>
        </w:rPr>
        <w:t xml:space="preserve"> listing Docebo as a knowledge connector inside Claude, Copilot, and ChatGPT — turning the “we already have Copilot” objection into a reason to add the missing loop.</w:t>
      </w:r>
    </w:p>
    <w:p>
      <w:pPr>
        <w:pStyle w:val="ListBullet"/>
      </w:pPr>
      <w:r>
        <w:rPr>
          <w:b w:val="0"/>
        </w:rPr>
        <w:t>Net-new demand runs on precision ABM and LinkedIn to CLOs, Heads of AI, and CHROs at AI-forward NA enterprises — paired with category-defining SEO and comparison content rather than cold-volume outbound.</w:t>
      </w:r>
    </w:p>
    <w:p>
      <w:pPr>
        <w:pStyle w:val="ListBullet"/>
      </w:pPr>
      <w:r>
        <w:rPr>
          <w:b/>
        </w:rPr>
        <w:t>Heavy EMEA/DACH paid acquisition is deliberately deferred:</w:t>
      </w:r>
      <w:r>
        <w:rPr>
          <w:b w:val="0"/>
        </w:rPr>
        <w:t xml:space="preserve"> the EU AI Act high-risk deadline may slip from August 2026 to December 2027, and Zive's EU residency/BSI C5 status is unverified — so the region is a “build now, harvest 2027” play.</w:t>
      </w:r>
    </w:p>
    <w:p>
      <w:pPr>
        <w:pStyle w:val="Heading1"/>
      </w:pPr>
      <w:r>
        <w:rPr>
          <w:color w:val="1F4E79"/>
        </w:rPr>
        <w:t>4. Messaging Framework</w:t>
      </w:r>
    </w:p>
    <w:p>
      <w:r>
        <w:rPr>
          <w:i/>
          <w:color w:val="555555"/>
        </w:rPr>
        <w:t>Sets the strategic positioning — the category story, the differentiated angles, and how to handle competitors and objections.</w:t>
      </w:r>
    </w:p>
    <w:p>
      <w:pPr>
        <w:pStyle w:val="ListBullet"/>
      </w:pPr>
      <w:r>
        <w:rPr>
          <w:b w:val="0"/>
        </w:rPr>
        <w:t>Lead category: “AI Workforce Readiness” — create a new category but anchor it to plain-language search terms, evangelizing the name at the top of funnel while capturing existing demand through comparison content.</w:t>
      </w:r>
    </w:p>
    <w:p>
      <w:pPr>
        <w:pStyle w:val="ListBullet"/>
      </w:pPr>
      <w:r>
        <w:rPr>
          <w:b/>
        </w:rPr>
        <w:t>The core message is “answers aren't outcomes”:</w:t>
      </w:r>
      <w:r>
        <w:rPr>
          <w:b w:val="0"/>
        </w:rPr>
        <w:t xml:space="preserve"> Glean and Copilot answer a question and forget it; AgentHub turns that same knowledge into trackable learning and proven skills on Docebo's own learning record — the one thing no competitor can truthfully claim today.</w:t>
      </w:r>
    </w:p>
    <w:p>
      <w:pPr>
        <w:pStyle w:val="ListBullet"/>
      </w:pPr>
      <w:r>
        <w:rPr>
          <w:b w:val="0"/>
        </w:rPr>
        <w:t>Four angles map to the committee: close the loop (CLO/Head of AI), knowledge becomes learning automatically (L&amp;D/IT), governed permissions-aware AI (CISO/DPO), and “prove L&amp;D moved the business — one platform, not five” (CHRO/CFO).</w:t>
      </w:r>
    </w:p>
    <w:p>
      <w:pPr>
        <w:pStyle w:val="ListBullet"/>
      </w:pPr>
      <w:r>
        <w:rPr>
          <w:b w:val="0"/>
        </w:rPr>
        <w:t xml:space="preserve">Strict guardrails protect credibility: </w:t>
      </w:r>
      <w:r>
        <w:rPr>
          <w:b/>
        </w:rPr>
        <w:t>no claiming agents are live (GA is fall 2026), no unqualified EU-residency or BSI C5 claims, no EU AI Act deadline scare, and no public pricing</w:t>
      </w:r>
      <w:r>
        <w:rPr>
          <w:b w:val="0"/>
        </w:rPr>
        <w:t xml:space="preserve"> — frame value through consolidation and ROI, never price.</w:t>
      </w:r>
    </w:p>
    <w:p>
      <w:pPr>
        <w:pStyle w:val="ListBullet"/>
      </w:pPr>
      <w:r>
        <w:rPr>
          <w:b w:val="0"/>
        </w:rPr>
        <w:t xml:space="preserve">Differentiation is reframing, not feature-fighting: </w:t>
      </w:r>
      <w:r>
        <w:rPr>
          <w:b/>
        </w:rPr>
        <w:t>concede competitors' strengths (Glean's search, Microsoft's distribution, legacy LMS install bases), then pivot to the closed loop they structurally cannot deliver</w:t>
      </w:r>
      <w:r>
        <w:rPr>
          <w:b w:val="0"/>
        </w:rPr>
        <w:t>.</w:t>
      </w:r>
    </w:p>
    <w:p>
      <w:pPr>
        <w:pStyle w:val="Heading1"/>
      </w:pPr>
      <w:r>
        <w:rPr>
          <w:color w:val="1F4E79"/>
        </w:rPr>
        <w:t>5. 90-Day Plan</w:t>
      </w:r>
    </w:p>
    <w:p>
      <w:r>
        <w:rPr>
          <w:i/>
          <w:color w:val="555555"/>
        </w:rPr>
        <w:t>Converts the strategy into a concrete, phased execution plan with owners, experiments, and measurable targets.</w:t>
      </w:r>
    </w:p>
    <w:p>
      <w:pPr>
        <w:pStyle w:val="ListBullet"/>
      </w:pPr>
      <w:r>
        <w:rPr>
          <w:b w:val="0"/>
        </w:rPr>
        <w:t>Three phases: Foundation (Weeks 1–4), Activation (Weeks 5–8), Optimization (Weeks 9–12), sequencing the warm install base first for fastest revenue and reference logos.</w:t>
      </w:r>
    </w:p>
    <w:p>
      <w:pPr>
        <w:pStyle w:val="ListBullet"/>
      </w:pPr>
      <w:r>
        <w:rPr>
          <w:b w:val="0"/>
        </w:rPr>
        <w:t>Month 1 stands up the engine: a scored install-base target list (~120 accounts), CRM pipeline tracking, sales enablement, an ROI business-case calculator, a security proof pack, and resolution of two gating unknowns — AgentHub packaging/pricing and Zive's EU-residency status.</w:t>
      </w:r>
    </w:p>
    <w:p>
      <w:pPr>
        <w:pStyle w:val="ListBullet"/>
      </w:pPr>
      <w:r>
        <w:rPr>
          <w:b/>
        </w:rPr>
        <w:t>Three live experiments, each with a built-in double-down / pivot / kill trigger:</w:t>
      </w:r>
      <w:r>
        <w:rPr>
          <w:b w:val="0"/>
        </w:rPr>
        <w:t xml:space="preserve"> does warm-base attach convert before agents are GA, does “answers aren't outcomes” land in an emerging category, and does the MCP listing actually feed pipeline — the trigger pre-commits the team to scale, refine, or stop based on the result.</w:t>
      </w:r>
    </w:p>
    <w:p>
      <w:pPr>
        <w:pStyle w:val="ListBullet"/>
      </w:pPr>
      <w:r>
        <w:rPr>
          <w:b w:val="0"/>
        </w:rPr>
        <w:t xml:space="preserve">Targets are benchmark-anchored and ramp realistically: from 6 to 25 qualified opportunities, 4 to 15 net-new SQLs, 3 to 5 reference logos, and </w:t>
      </w:r>
      <w:r>
        <w:rPr>
          <w:b/>
        </w:rPr>
        <w:t>~$0.6M to ~$2.5M in qualified pipeline</w:t>
      </w:r>
      <w:r>
        <w:rPr>
          <w:b w:val="0"/>
        </w:rPr>
        <w:t xml:space="preserve"> across the quarter — reflecting the long enterprise cycle where most pipeline closes in Month 4+.</w:t>
      </w:r>
    </w:p>
    <w:p>
      <w:pPr>
        <w:pStyle w:val="ListBullet"/>
      </w:pPr>
      <w:r>
        <w:rPr>
          <w:b/>
        </w:rPr>
        <w:t>Field events are deferred to Month 4+ since Inspire (April) and ATD (May) already passed;</w:t>
      </w:r>
      <w:r>
        <w:rPr>
          <w:b w:val="0"/>
        </w:rPr>
        <w:t xml:space="preserve"> DevLearn (November) and UNLEASH become the next pipeline anchors, with on-demand Inspire sessions harvested for the warm base in the meantime.</w:t>
      </w:r>
    </w:p>
    <w:p>
      <w:pPr>
        <w:pStyle w:val="ListBullet"/>
      </w:pPr>
      <w:r>
        <w:rPr>
          <w:b w:val="0"/>
        </w:rPr>
        <w:t>Decision gates at Weeks 4, 6–7, and 12 govern whether to scale or pivot each channel, with the Solutions/Security-SE bench flagged as the first hire to make if POC throughput becomes the bottleneck.</w:t>
      </w:r>
    </w:p>
    <w:p/>
    <w:p>
      <w:r>
        <w:rPr>
          <w:i/>
          <w:color w:val="707070"/>
        </w:rPr>
        <w:t>This summary synthesizes the full five-agent GTM analysis. Detailed findings, sources, and confidence ratings for each section are available in the underlying agent outputs.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