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04E44" w14:textId="77777777" w:rsidR="00C034E9" w:rsidRPr="00A77AA6" w:rsidRDefault="00A77AA6">
      <w:pPr>
        <w:pStyle w:val="ListParagraph"/>
        <w:numPr>
          <w:ilvl w:val="0"/>
          <w:numId w:val="1"/>
        </w:numPr>
        <w:rPr>
          <w:rFonts w:ascii="Arial" w:hAnsi="Arial" w:cs="Arial"/>
          <w:sz w:val="24"/>
          <w:szCs w:val="24"/>
        </w:rPr>
      </w:pPr>
      <w:proofErr w:type="gramStart"/>
      <w:r w:rsidRPr="00A77AA6">
        <w:rPr>
          <w:rFonts w:ascii="Arial" w:hAnsi="Arial" w:cs="Arial"/>
          <w:sz w:val="24"/>
          <w:szCs w:val="24"/>
          <w:lang w:val="en-US"/>
        </w:rPr>
        <w:t>A,D</w:t>
      </w:r>
      <w:proofErr w:type="gramEnd"/>
    </w:p>
    <w:p w14:paraId="46A88CAF" w14:textId="54F36EE0" w:rsidR="00C034E9" w:rsidRPr="00A77AA6" w:rsidRDefault="00A77AA6">
      <w:pPr>
        <w:pStyle w:val="ListParagraph"/>
        <w:numPr>
          <w:ilvl w:val="0"/>
          <w:numId w:val="1"/>
        </w:numPr>
        <w:rPr>
          <w:rFonts w:ascii="Arial" w:hAnsi="Arial" w:cs="Arial"/>
          <w:sz w:val="24"/>
          <w:szCs w:val="24"/>
        </w:rPr>
      </w:pPr>
      <w:proofErr w:type="gramStart"/>
      <w:r w:rsidRPr="00A77AA6">
        <w:rPr>
          <w:rFonts w:ascii="Arial" w:hAnsi="Arial" w:cs="Arial"/>
          <w:sz w:val="24"/>
          <w:szCs w:val="24"/>
          <w:lang w:val="en-US"/>
        </w:rPr>
        <w:t>A,B</w:t>
      </w:r>
      <w:proofErr w:type="gramEnd"/>
      <w:r w:rsidRPr="00A77AA6">
        <w:rPr>
          <w:rFonts w:ascii="Arial" w:hAnsi="Arial" w:cs="Arial"/>
          <w:sz w:val="24"/>
          <w:szCs w:val="24"/>
          <w:lang w:val="en-US"/>
        </w:rPr>
        <w:t>,C</w:t>
      </w:r>
    </w:p>
    <w:p w14:paraId="4B29FFE6"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sz w:val="24"/>
          <w:szCs w:val="24"/>
          <w:lang w:val="en-US"/>
        </w:rPr>
        <w:t>B</w:t>
      </w:r>
    </w:p>
    <w:p w14:paraId="254AEABB"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sz w:val="24"/>
          <w:szCs w:val="24"/>
          <w:lang w:val="en-US"/>
        </w:rPr>
        <w:t>B</w:t>
      </w:r>
    </w:p>
    <w:p w14:paraId="461BC90C"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sz w:val="24"/>
          <w:szCs w:val="24"/>
          <w:lang w:val="en-US"/>
        </w:rPr>
        <w:t>A</w:t>
      </w:r>
    </w:p>
    <w:p w14:paraId="32FCA548"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sz w:val="24"/>
          <w:szCs w:val="24"/>
          <w:lang w:val="en-US"/>
        </w:rPr>
        <w:t>C</w:t>
      </w:r>
    </w:p>
    <w:p w14:paraId="215D7F6B"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sz w:val="24"/>
          <w:szCs w:val="24"/>
          <w:lang w:val="en-US"/>
        </w:rPr>
        <w:t>B</w:t>
      </w:r>
    </w:p>
    <w:p w14:paraId="1AEDF18F"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sz w:val="24"/>
          <w:szCs w:val="24"/>
          <w:lang w:val="en-US"/>
        </w:rPr>
        <w:t>B</w:t>
      </w:r>
    </w:p>
    <w:p w14:paraId="3558AB94"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sz w:val="24"/>
          <w:szCs w:val="24"/>
          <w:lang w:val="en-US"/>
        </w:rPr>
        <w:t>B</w:t>
      </w:r>
    </w:p>
    <w:p w14:paraId="25BB2230"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sz w:val="24"/>
          <w:szCs w:val="24"/>
          <w:lang w:val="en-US"/>
        </w:rPr>
        <w:t>A</w:t>
      </w:r>
    </w:p>
    <w:p w14:paraId="171B419D"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sz w:val="24"/>
          <w:szCs w:val="24"/>
          <w:lang w:val="en-US"/>
        </w:rPr>
        <w:t xml:space="preserve">A Data Warehousing (DW) is process for collecting and managing data from varied sources to provide meaningful business insights. A Data warehouse is typically used to connect and analyze business data from </w:t>
      </w:r>
      <w:r w:rsidRPr="00A77AA6">
        <w:rPr>
          <w:rFonts w:ascii="Arial" w:hAnsi="Arial" w:cs="Arial"/>
          <w:sz w:val="24"/>
          <w:szCs w:val="24"/>
          <w:lang w:val="en-US"/>
        </w:rPr>
        <w:t>heterogeneous sources. The data warehouse is the core of the BI system which is built for data analysis and reporting.</w:t>
      </w:r>
    </w:p>
    <w:p w14:paraId="0BB0E407"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sz w:val="24"/>
          <w:szCs w:val="24"/>
          <w:lang w:val="en-US"/>
        </w:rPr>
        <w:t>Online Analytical Processing, a category of software tools which provide analysis of data for business decisions. OLAP systems allow user</w:t>
      </w:r>
      <w:r w:rsidRPr="00A77AA6">
        <w:rPr>
          <w:rFonts w:ascii="Arial" w:hAnsi="Arial" w:cs="Arial"/>
          <w:sz w:val="24"/>
          <w:szCs w:val="24"/>
          <w:lang w:val="en-US"/>
        </w:rPr>
        <w:t>s to analyze database information from multiple database systems at one time. Example:</w:t>
      </w:r>
      <w:r w:rsidRPr="00A77AA6">
        <w:rPr>
          <w:rFonts w:ascii="Arial" w:hAnsi="Arial" w:cs="Arial"/>
          <w:sz w:val="24"/>
          <w:szCs w:val="24"/>
        </w:rPr>
        <w:t xml:space="preserve"> </w:t>
      </w:r>
      <w:r w:rsidRPr="00A77AA6">
        <w:rPr>
          <w:rFonts w:ascii="Arial" w:hAnsi="Arial" w:cs="Arial"/>
          <w:sz w:val="24"/>
          <w:szCs w:val="24"/>
          <w:lang w:val="en-US"/>
        </w:rPr>
        <w:t>A company might compare their mobile phone sales in September with sales in October, then compare those results with another location which may be stored in a sperate da</w:t>
      </w:r>
      <w:r w:rsidRPr="00A77AA6">
        <w:rPr>
          <w:rFonts w:ascii="Arial" w:hAnsi="Arial" w:cs="Arial"/>
          <w:sz w:val="24"/>
          <w:szCs w:val="24"/>
          <w:lang w:val="en-US"/>
        </w:rPr>
        <w:t>tabase.</w:t>
      </w:r>
    </w:p>
    <w:p w14:paraId="1C2898AB" w14:textId="77777777" w:rsidR="00C034E9" w:rsidRPr="00A77AA6" w:rsidRDefault="00A77AA6">
      <w:pPr>
        <w:pStyle w:val="ListParagraph"/>
        <w:rPr>
          <w:rFonts w:ascii="Arial" w:hAnsi="Arial" w:cs="Arial"/>
          <w:sz w:val="24"/>
          <w:szCs w:val="24"/>
        </w:rPr>
      </w:pPr>
      <w:r w:rsidRPr="00A77AA6">
        <w:rPr>
          <w:rFonts w:ascii="Arial" w:hAnsi="Arial" w:cs="Arial"/>
          <w:sz w:val="24"/>
          <w:szCs w:val="24"/>
          <w:lang w:val="en-US"/>
        </w:rPr>
        <w:t>Online transaction processing shortly known as OLTP supports transaction-oriented applications in a 3-tier architecture. OLTP administers day to day transaction of an organization. Example:</w:t>
      </w:r>
      <w:r w:rsidRPr="00A77AA6">
        <w:rPr>
          <w:rFonts w:ascii="Arial" w:hAnsi="Arial" w:cs="Arial"/>
          <w:sz w:val="24"/>
          <w:szCs w:val="24"/>
        </w:rPr>
        <w:t xml:space="preserve"> </w:t>
      </w:r>
      <w:r w:rsidRPr="00A77AA6">
        <w:rPr>
          <w:rFonts w:ascii="Arial" w:hAnsi="Arial" w:cs="Arial"/>
          <w:sz w:val="24"/>
          <w:szCs w:val="24"/>
          <w:lang w:val="en-US"/>
        </w:rPr>
        <w:t>An example of OLTP system is ATM center. Assume that a cou</w:t>
      </w:r>
      <w:r w:rsidRPr="00A77AA6">
        <w:rPr>
          <w:rFonts w:ascii="Arial" w:hAnsi="Arial" w:cs="Arial"/>
          <w:sz w:val="24"/>
          <w:szCs w:val="24"/>
          <w:lang w:val="en-US"/>
        </w:rPr>
        <w:t>ple has a joint account with a bank. One day both simultaneously reach different ATM centers at precisely the same time and want to withdraw total amount present in their bank account.</w:t>
      </w:r>
    </w:p>
    <w:p w14:paraId="5C758D78" w14:textId="77777777" w:rsidR="00C034E9" w:rsidRPr="00A77AA6" w:rsidRDefault="00C034E9">
      <w:pPr>
        <w:pStyle w:val="ListParagraph"/>
        <w:numPr>
          <w:ilvl w:val="0"/>
          <w:numId w:val="1"/>
        </w:numPr>
        <w:rPr>
          <w:rFonts w:ascii="Arial" w:hAnsi="Arial" w:cs="Arial"/>
          <w:sz w:val="24"/>
          <w:szCs w:val="24"/>
          <w:lang w:val="en-US"/>
        </w:rPr>
      </w:pPr>
    </w:p>
    <w:p w14:paraId="24C11B06" w14:textId="77777777" w:rsidR="00C034E9" w:rsidRPr="00A77AA6" w:rsidRDefault="00A77AA6">
      <w:pPr>
        <w:pStyle w:val="ListParagraph"/>
        <w:numPr>
          <w:ilvl w:val="1"/>
          <w:numId w:val="1"/>
        </w:numPr>
        <w:rPr>
          <w:rFonts w:ascii="Arial" w:hAnsi="Arial" w:cs="Arial"/>
          <w:sz w:val="24"/>
          <w:szCs w:val="24"/>
        </w:rPr>
      </w:pPr>
      <w:r w:rsidRPr="00A77AA6">
        <w:rPr>
          <w:rStyle w:val="Strong"/>
          <w:rFonts w:ascii="Arial" w:hAnsi="Arial" w:cs="Arial"/>
          <w:sz w:val="24"/>
          <w:szCs w:val="24"/>
          <w:shd w:val="clear" w:color="auto" w:fill="FFFFFF"/>
        </w:rPr>
        <w:t xml:space="preserve">Subject-oriented – </w:t>
      </w:r>
      <w:r w:rsidRPr="00A77AA6">
        <w:rPr>
          <w:rFonts w:ascii="Arial" w:hAnsi="Arial" w:cs="Arial"/>
          <w:sz w:val="24"/>
          <w:szCs w:val="24"/>
          <w:shd w:val="clear" w:color="auto" w:fill="FFFFFF"/>
        </w:rPr>
        <w:t>A data warehouse is always a subject oriented as it</w:t>
      </w:r>
      <w:r w:rsidRPr="00A77AA6">
        <w:rPr>
          <w:rFonts w:ascii="Arial" w:hAnsi="Arial" w:cs="Arial"/>
          <w:sz w:val="24"/>
          <w:szCs w:val="24"/>
          <w:shd w:val="clear" w:color="auto" w:fill="FFFFFF"/>
        </w:rPr>
        <w:t xml:space="preserve"> delivers information about a theme instead of organization’s current operations. It can be achieved on specific theme. That means the data warehousing process is proposed to handle with a specific theme which is more defined. These themes can be sales, di</w:t>
      </w:r>
      <w:r w:rsidRPr="00A77AA6">
        <w:rPr>
          <w:rFonts w:ascii="Arial" w:hAnsi="Arial" w:cs="Arial"/>
          <w:sz w:val="24"/>
          <w:szCs w:val="24"/>
          <w:shd w:val="clear" w:color="auto" w:fill="FFFFFF"/>
        </w:rPr>
        <w:t>stributions, marketing etc.</w:t>
      </w:r>
    </w:p>
    <w:p w14:paraId="1F367446" w14:textId="77777777" w:rsidR="00C034E9" w:rsidRPr="00A77AA6" w:rsidRDefault="00A77AA6">
      <w:pPr>
        <w:pStyle w:val="ListParagraph"/>
        <w:numPr>
          <w:ilvl w:val="1"/>
          <w:numId w:val="1"/>
        </w:numPr>
        <w:rPr>
          <w:rFonts w:ascii="Arial" w:hAnsi="Arial" w:cs="Arial"/>
          <w:sz w:val="24"/>
          <w:szCs w:val="24"/>
        </w:rPr>
      </w:pPr>
      <w:r w:rsidRPr="00A77AA6">
        <w:rPr>
          <w:rStyle w:val="Strong"/>
          <w:rFonts w:ascii="Arial" w:hAnsi="Arial" w:cs="Arial"/>
          <w:sz w:val="24"/>
          <w:szCs w:val="24"/>
          <w:shd w:val="clear" w:color="auto" w:fill="FFFFFF"/>
        </w:rPr>
        <w:t xml:space="preserve">Integrated – </w:t>
      </w:r>
      <w:r w:rsidRPr="00A77AA6">
        <w:rPr>
          <w:rFonts w:ascii="Arial" w:hAnsi="Arial" w:cs="Arial"/>
          <w:sz w:val="24"/>
          <w:szCs w:val="24"/>
          <w:shd w:val="clear" w:color="auto" w:fill="FFFFFF"/>
        </w:rPr>
        <w:t xml:space="preserve">It is somewhere same as subject orientation which is made in a reliable format. Integration means founding a shared entity to scale the </w:t>
      </w:r>
      <w:proofErr w:type="gramStart"/>
      <w:r w:rsidRPr="00A77AA6">
        <w:rPr>
          <w:rFonts w:ascii="Arial" w:hAnsi="Arial" w:cs="Arial"/>
          <w:sz w:val="24"/>
          <w:szCs w:val="24"/>
          <w:shd w:val="clear" w:color="auto" w:fill="FFFFFF"/>
        </w:rPr>
        <w:t>all similar</w:t>
      </w:r>
      <w:proofErr w:type="gramEnd"/>
      <w:r w:rsidRPr="00A77AA6">
        <w:rPr>
          <w:rFonts w:ascii="Arial" w:hAnsi="Arial" w:cs="Arial"/>
          <w:sz w:val="24"/>
          <w:szCs w:val="24"/>
          <w:shd w:val="clear" w:color="auto" w:fill="FFFFFF"/>
        </w:rPr>
        <w:t xml:space="preserve"> data from the different databases. The data also required to be res</w:t>
      </w:r>
      <w:r w:rsidRPr="00A77AA6">
        <w:rPr>
          <w:rFonts w:ascii="Arial" w:hAnsi="Arial" w:cs="Arial"/>
          <w:sz w:val="24"/>
          <w:szCs w:val="24"/>
          <w:shd w:val="clear" w:color="auto" w:fill="FFFFFF"/>
        </w:rPr>
        <w:t>ided into various data warehouse in shared and generally granted manner.</w:t>
      </w:r>
    </w:p>
    <w:p w14:paraId="071752A9" w14:textId="77777777" w:rsidR="00C034E9" w:rsidRPr="00A77AA6" w:rsidRDefault="00A77AA6">
      <w:pPr>
        <w:pStyle w:val="ListParagraph"/>
        <w:numPr>
          <w:ilvl w:val="1"/>
          <w:numId w:val="1"/>
        </w:numPr>
        <w:rPr>
          <w:rFonts w:ascii="Arial" w:hAnsi="Arial" w:cs="Arial"/>
          <w:sz w:val="24"/>
          <w:szCs w:val="24"/>
        </w:rPr>
      </w:pPr>
      <w:r w:rsidRPr="00A77AA6">
        <w:rPr>
          <w:rStyle w:val="Strong"/>
          <w:rFonts w:ascii="Arial" w:hAnsi="Arial" w:cs="Arial"/>
          <w:sz w:val="24"/>
          <w:szCs w:val="24"/>
          <w:shd w:val="clear" w:color="auto" w:fill="FFFFFF"/>
        </w:rPr>
        <w:t xml:space="preserve">Time-Variant – </w:t>
      </w:r>
      <w:r w:rsidRPr="00A77AA6">
        <w:rPr>
          <w:rFonts w:ascii="Arial" w:hAnsi="Arial" w:cs="Arial"/>
          <w:sz w:val="24"/>
          <w:szCs w:val="24"/>
          <w:shd w:val="clear" w:color="auto" w:fill="FFFFFF"/>
        </w:rPr>
        <w:t>In this data is maintained via different intervals of time such as weekly, monthly, or annually etc. It founds various time limit which are structured between the large</w:t>
      </w:r>
      <w:r w:rsidRPr="00A77AA6">
        <w:rPr>
          <w:rFonts w:ascii="Arial" w:hAnsi="Arial" w:cs="Arial"/>
          <w:sz w:val="24"/>
          <w:szCs w:val="24"/>
          <w:shd w:val="clear" w:color="auto" w:fill="FFFFFF"/>
        </w:rPr>
        <w:t xml:space="preserve"> datasets and are held in online transaction process (OLTP). The time limits for data warehouse </w:t>
      </w:r>
      <w:proofErr w:type="gramStart"/>
      <w:r w:rsidRPr="00A77AA6">
        <w:rPr>
          <w:rFonts w:ascii="Arial" w:hAnsi="Arial" w:cs="Arial"/>
          <w:sz w:val="24"/>
          <w:szCs w:val="24"/>
          <w:shd w:val="clear" w:color="auto" w:fill="FFFFFF"/>
        </w:rPr>
        <w:t>is</w:t>
      </w:r>
      <w:proofErr w:type="gramEnd"/>
      <w:r w:rsidRPr="00A77AA6">
        <w:rPr>
          <w:rFonts w:ascii="Arial" w:hAnsi="Arial" w:cs="Arial"/>
          <w:sz w:val="24"/>
          <w:szCs w:val="24"/>
          <w:shd w:val="clear" w:color="auto" w:fill="FFFFFF"/>
        </w:rPr>
        <w:t xml:space="preserve"> wide-ranged than that of operational systems. The data resided in data warehouse is predictable with a specific interval of time and delivers information fro</w:t>
      </w:r>
      <w:r w:rsidRPr="00A77AA6">
        <w:rPr>
          <w:rFonts w:ascii="Arial" w:hAnsi="Arial" w:cs="Arial"/>
          <w:sz w:val="24"/>
          <w:szCs w:val="24"/>
          <w:shd w:val="clear" w:color="auto" w:fill="FFFFFF"/>
        </w:rPr>
        <w:t>m the historical perspective. It comprises elements of time explicitly or implicitly. Another feature of time-variance is that once data is stored in the data warehouse then it cannot be modified, alter, or updated.</w:t>
      </w:r>
    </w:p>
    <w:p w14:paraId="24CADDD6" w14:textId="77777777" w:rsidR="00C034E9" w:rsidRPr="00A77AA6" w:rsidRDefault="00A77AA6">
      <w:pPr>
        <w:pStyle w:val="ListParagraph"/>
        <w:numPr>
          <w:ilvl w:val="1"/>
          <w:numId w:val="1"/>
        </w:numPr>
        <w:rPr>
          <w:rFonts w:ascii="Arial" w:hAnsi="Arial" w:cs="Arial"/>
          <w:sz w:val="24"/>
          <w:szCs w:val="24"/>
        </w:rPr>
      </w:pPr>
      <w:r w:rsidRPr="00A77AA6">
        <w:rPr>
          <w:rStyle w:val="Strong"/>
          <w:rFonts w:ascii="Arial" w:hAnsi="Arial" w:cs="Arial"/>
          <w:sz w:val="24"/>
          <w:szCs w:val="24"/>
          <w:shd w:val="clear" w:color="auto" w:fill="FFFFFF"/>
        </w:rPr>
        <w:lastRenderedPageBreak/>
        <w:t xml:space="preserve">Non-Volatile – </w:t>
      </w:r>
      <w:r w:rsidRPr="00A77AA6">
        <w:rPr>
          <w:rFonts w:ascii="Arial" w:hAnsi="Arial" w:cs="Arial"/>
          <w:sz w:val="24"/>
          <w:szCs w:val="24"/>
          <w:shd w:val="clear" w:color="auto" w:fill="FFFFFF"/>
        </w:rPr>
        <w:t>As the name defines the d</w:t>
      </w:r>
      <w:r w:rsidRPr="00A77AA6">
        <w:rPr>
          <w:rFonts w:ascii="Arial" w:hAnsi="Arial" w:cs="Arial"/>
          <w:sz w:val="24"/>
          <w:szCs w:val="24"/>
          <w:shd w:val="clear" w:color="auto" w:fill="FFFFFF"/>
        </w:rPr>
        <w:t>ata resided in data warehouse is permanent. It also means that data is not erased or deleted when new data is inserted. It includes the mammoth quantity of data that is inserted into modification between the selected quantity on logical business. It evalua</w:t>
      </w:r>
      <w:r w:rsidRPr="00A77AA6">
        <w:rPr>
          <w:rFonts w:ascii="Arial" w:hAnsi="Arial" w:cs="Arial"/>
          <w:sz w:val="24"/>
          <w:szCs w:val="24"/>
          <w:shd w:val="clear" w:color="auto" w:fill="FFFFFF"/>
        </w:rPr>
        <w:t>tes the analysis within the technologies of warehouse.</w:t>
      </w:r>
    </w:p>
    <w:p w14:paraId="15AD1650" w14:textId="77777777" w:rsidR="00C034E9" w:rsidRPr="00A77AA6" w:rsidRDefault="00C034E9">
      <w:pPr>
        <w:pStyle w:val="ListParagraph"/>
        <w:ind w:left="1440"/>
        <w:rPr>
          <w:rFonts w:ascii="Arial" w:hAnsi="Arial" w:cs="Arial"/>
          <w:sz w:val="24"/>
          <w:szCs w:val="24"/>
          <w:highlight w:val="white"/>
        </w:rPr>
      </w:pPr>
    </w:p>
    <w:p w14:paraId="2C3DBE0D" w14:textId="77777777" w:rsidR="00C034E9" w:rsidRPr="00A77AA6" w:rsidRDefault="00A77AA6">
      <w:pPr>
        <w:pStyle w:val="ListParagraph"/>
        <w:numPr>
          <w:ilvl w:val="0"/>
          <w:numId w:val="1"/>
        </w:numPr>
        <w:rPr>
          <w:rFonts w:ascii="Arial" w:hAnsi="Arial" w:cs="Arial"/>
          <w:sz w:val="24"/>
          <w:szCs w:val="24"/>
        </w:rPr>
      </w:pPr>
      <w:r w:rsidRPr="00A77AA6">
        <w:rPr>
          <w:rFonts w:ascii="Arial" w:hAnsi="Arial" w:cs="Arial"/>
          <w:color w:val="222222"/>
          <w:sz w:val="24"/>
          <w:szCs w:val="24"/>
          <w:shd w:val="clear" w:color="auto" w:fill="FFFFFF"/>
        </w:rPr>
        <w:t xml:space="preserve">In the </w:t>
      </w:r>
      <w:r w:rsidRPr="00A77AA6">
        <w:rPr>
          <w:rStyle w:val="Strong"/>
          <w:rFonts w:ascii="Arial" w:hAnsi="Arial" w:cs="Arial"/>
          <w:color w:val="222222"/>
          <w:sz w:val="24"/>
          <w:szCs w:val="24"/>
          <w:shd w:val="clear" w:color="auto" w:fill="FFFFFF"/>
        </w:rPr>
        <w:t>STAR Schema</w:t>
      </w:r>
      <w:r w:rsidRPr="00A77AA6">
        <w:rPr>
          <w:rFonts w:ascii="Arial" w:hAnsi="Arial" w:cs="Arial"/>
          <w:color w:val="222222"/>
          <w:sz w:val="24"/>
          <w:szCs w:val="24"/>
          <w:shd w:val="clear" w:color="auto" w:fill="FFFFFF"/>
        </w:rPr>
        <w:t xml:space="preserve">, the </w:t>
      </w:r>
      <w:proofErr w:type="spellStart"/>
      <w:r w:rsidRPr="00A77AA6">
        <w:rPr>
          <w:rFonts w:ascii="Arial" w:hAnsi="Arial" w:cs="Arial"/>
          <w:color w:val="222222"/>
          <w:sz w:val="24"/>
          <w:szCs w:val="24"/>
          <w:shd w:val="clear" w:color="auto" w:fill="FFFFFF"/>
        </w:rPr>
        <w:t>center</w:t>
      </w:r>
      <w:proofErr w:type="spellEnd"/>
      <w:r w:rsidRPr="00A77AA6">
        <w:rPr>
          <w:rFonts w:ascii="Arial" w:hAnsi="Arial" w:cs="Arial"/>
          <w:color w:val="222222"/>
          <w:sz w:val="24"/>
          <w:szCs w:val="24"/>
          <w:shd w:val="clear" w:color="auto" w:fill="FFFFFF"/>
        </w:rPr>
        <w:t xml:space="preserve"> of the star can have one fact table and a number of associated dimension tables. It is known as star schema as its structure resembles a star. The star schema is the sim</w:t>
      </w:r>
      <w:r w:rsidRPr="00A77AA6">
        <w:rPr>
          <w:rFonts w:ascii="Arial" w:hAnsi="Arial" w:cs="Arial"/>
          <w:color w:val="222222"/>
          <w:sz w:val="24"/>
          <w:szCs w:val="24"/>
          <w:shd w:val="clear" w:color="auto" w:fill="FFFFFF"/>
        </w:rPr>
        <w:t>plest type of Data Warehouse schema. It is also known as Star Join Schema and is optimized for querying large data sets.</w:t>
      </w:r>
    </w:p>
    <w:p w14:paraId="57B0BB08" w14:textId="77777777" w:rsidR="00C034E9" w:rsidRPr="00A77AA6" w:rsidRDefault="00C034E9">
      <w:pPr>
        <w:ind w:left="1080"/>
        <w:rPr>
          <w:rFonts w:ascii="Arial" w:hAnsi="Arial" w:cs="Arial"/>
          <w:sz w:val="24"/>
          <w:szCs w:val="24"/>
          <w:lang w:val="en-US"/>
        </w:rPr>
      </w:pPr>
    </w:p>
    <w:p w14:paraId="32041898" w14:textId="77777777" w:rsidR="00C034E9" w:rsidRPr="00A77AA6" w:rsidRDefault="00C034E9">
      <w:pPr>
        <w:ind w:left="1080"/>
        <w:rPr>
          <w:rFonts w:ascii="Arial" w:hAnsi="Arial" w:cs="Arial"/>
          <w:sz w:val="24"/>
          <w:szCs w:val="24"/>
        </w:rPr>
      </w:pPr>
    </w:p>
    <w:sectPr w:rsidR="00C034E9" w:rsidRPr="00A77AA6">
      <w:pgSz w:w="11906" w:h="16838"/>
      <w:pgMar w:top="708"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412F6"/>
    <w:multiLevelType w:val="multilevel"/>
    <w:tmpl w:val="2F145D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24A539A"/>
    <w:multiLevelType w:val="multilevel"/>
    <w:tmpl w:val="FF8080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E9"/>
    <w:rsid w:val="00A77AA6"/>
    <w:rsid w:val="00C034E9"/>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93C5"/>
  <w15:docId w15:val="{3C15A8B9-38E4-435C-B2D1-AF49449F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D0486"/>
  </w:style>
  <w:style w:type="character" w:customStyle="1" w:styleId="FooterChar">
    <w:name w:val="Footer Char"/>
    <w:basedOn w:val="DefaultParagraphFont"/>
    <w:link w:val="Footer"/>
    <w:uiPriority w:val="99"/>
    <w:qFormat/>
    <w:rsid w:val="006D0486"/>
  </w:style>
  <w:style w:type="character" w:styleId="Strong">
    <w:name w:val="Strong"/>
    <w:basedOn w:val="DefaultParagraphFont"/>
    <w:uiPriority w:val="22"/>
    <w:qFormat/>
    <w:rsid w:val="00B02796"/>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D0486"/>
    <w:pPr>
      <w:tabs>
        <w:tab w:val="center" w:pos="4513"/>
        <w:tab w:val="right" w:pos="9026"/>
      </w:tabs>
      <w:spacing w:after="0" w:line="240" w:lineRule="auto"/>
    </w:pPr>
  </w:style>
  <w:style w:type="paragraph" w:styleId="Footer">
    <w:name w:val="footer"/>
    <w:basedOn w:val="Normal"/>
    <w:link w:val="FooterChar"/>
    <w:uiPriority w:val="99"/>
    <w:unhideWhenUsed/>
    <w:rsid w:val="006D0486"/>
    <w:pPr>
      <w:tabs>
        <w:tab w:val="center" w:pos="4513"/>
        <w:tab w:val="right" w:pos="9026"/>
      </w:tabs>
      <w:spacing w:after="0" w:line="240" w:lineRule="auto"/>
    </w:pPr>
  </w:style>
  <w:style w:type="paragraph" w:styleId="ListParagraph">
    <w:name w:val="List Paragraph"/>
    <w:basedOn w:val="Normal"/>
    <w:uiPriority w:val="34"/>
    <w:qFormat/>
    <w:rsid w:val="006D0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 night</dc:creator>
  <dc:description/>
  <cp:lastModifiedBy>Neelesh</cp:lastModifiedBy>
  <cp:revision>4</cp:revision>
  <dcterms:created xsi:type="dcterms:W3CDTF">2020-08-30T11:38:00Z</dcterms:created>
  <dcterms:modified xsi:type="dcterms:W3CDTF">2021-03-12T09:50:00Z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