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B3BC7" w14:textId="77777777" w:rsidR="00A64C20" w:rsidRPr="00115021" w:rsidRDefault="00115021">
      <w:pPr>
        <w:pStyle w:val="Title"/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16110F4C" w14:textId="77777777" w:rsidR="00A64C20" w:rsidRPr="00115021" w:rsidRDefault="00115021">
      <w:pPr>
        <w:pStyle w:val="Heading1"/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1. Summary of Predictive Insights</w:t>
      </w:r>
    </w:p>
    <w:p w14:paraId="27848D75" w14:textId="77777777" w:rsidR="00A64C20" w:rsidRPr="00115021" w:rsidRDefault="00115021">
      <w:p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 xml:space="preserve">Our predictive model identified several customer segments at elevated risk of credit card delinquency. Key risk indicators include high credit </w:t>
      </w:r>
      <w:r w:rsidRPr="00115021">
        <w:rPr>
          <w:rFonts w:ascii="Arial" w:hAnsi="Arial" w:cs="Arial"/>
          <w:color w:val="000000" w:themeColor="text1"/>
        </w:rPr>
        <w:t>utilization, missed payments, and elevated debt-to-income ratios. These insights can help prioritize which customers may benefit most from early outreach or financial support strategies.</w:t>
      </w:r>
    </w:p>
    <w:p w14:paraId="233399D9" w14:textId="77777777" w:rsidR="00A64C20" w:rsidRPr="00115021" w:rsidRDefault="00115021">
      <w:pPr>
        <w:rPr>
          <w:rFonts w:ascii="Arial" w:hAnsi="Arial" w:cs="Arial"/>
          <w:b/>
          <w:bCs/>
          <w:color w:val="000000" w:themeColor="text1"/>
        </w:rPr>
      </w:pPr>
      <w:r w:rsidRPr="00115021">
        <w:rPr>
          <w:rFonts w:ascii="Arial" w:hAnsi="Arial" w:cs="Arial"/>
          <w:b/>
          <w:bCs/>
          <w:color w:val="000000" w:themeColor="text1"/>
        </w:rPr>
        <w:t>Key Insights 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5021" w:rsidRPr="00115021" w14:paraId="200A2B59" w14:textId="77777777">
        <w:tc>
          <w:tcPr>
            <w:tcW w:w="2160" w:type="dxa"/>
          </w:tcPr>
          <w:p w14:paraId="0DA1D33B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Key Insight</w:t>
            </w:r>
          </w:p>
        </w:tc>
        <w:tc>
          <w:tcPr>
            <w:tcW w:w="2160" w:type="dxa"/>
          </w:tcPr>
          <w:p w14:paraId="14313728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Customer Segment</w:t>
            </w:r>
          </w:p>
        </w:tc>
        <w:tc>
          <w:tcPr>
            <w:tcW w:w="2160" w:type="dxa"/>
          </w:tcPr>
          <w:p w14:paraId="3F1DC044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Influencing Variables</w:t>
            </w:r>
          </w:p>
        </w:tc>
        <w:tc>
          <w:tcPr>
            <w:tcW w:w="2160" w:type="dxa"/>
          </w:tcPr>
          <w:p w14:paraId="7365B629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Potential Impact</w:t>
            </w:r>
          </w:p>
        </w:tc>
      </w:tr>
      <w:tr w:rsidR="00115021" w:rsidRPr="00115021" w14:paraId="5D7F95CE" w14:textId="77777777">
        <w:tc>
          <w:tcPr>
            <w:tcW w:w="2160" w:type="dxa"/>
          </w:tcPr>
          <w:p w14:paraId="412DB0C0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High credit utilization correlates with increased delinquency risk.</w:t>
            </w:r>
          </w:p>
        </w:tc>
        <w:tc>
          <w:tcPr>
            <w:tcW w:w="2160" w:type="dxa"/>
          </w:tcPr>
          <w:p w14:paraId="10E2912A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Customers with &gt;50% utilization</w:t>
            </w:r>
          </w:p>
        </w:tc>
        <w:tc>
          <w:tcPr>
            <w:tcW w:w="2160" w:type="dxa"/>
          </w:tcPr>
          <w:p w14:paraId="5EE7C2CF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Credit Utilization, Missed Payments</w:t>
            </w:r>
          </w:p>
        </w:tc>
        <w:tc>
          <w:tcPr>
            <w:tcW w:w="2160" w:type="dxa"/>
          </w:tcPr>
          <w:p w14:paraId="7C297522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Consider lowering credit limits or offering usage monitoring tools.</w:t>
            </w:r>
          </w:p>
        </w:tc>
      </w:tr>
      <w:tr w:rsidR="00115021" w:rsidRPr="00115021" w14:paraId="73DFA3CF" w14:textId="77777777">
        <w:tc>
          <w:tcPr>
            <w:tcW w:w="2160" w:type="dxa"/>
          </w:tcPr>
          <w:p w14:paraId="02A2F4CE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Young customers with missed payments are high risk.</w:t>
            </w:r>
          </w:p>
        </w:tc>
        <w:tc>
          <w:tcPr>
            <w:tcW w:w="2160" w:type="dxa"/>
          </w:tcPr>
          <w:p w14:paraId="409624B4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Under 30, 2+ missed payments</w:t>
            </w:r>
          </w:p>
        </w:tc>
        <w:tc>
          <w:tcPr>
            <w:tcW w:w="2160" w:type="dxa"/>
          </w:tcPr>
          <w:p w14:paraId="5B0AEB20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Age, Payment History</w:t>
            </w:r>
          </w:p>
        </w:tc>
        <w:tc>
          <w:tcPr>
            <w:tcW w:w="2160" w:type="dxa"/>
          </w:tcPr>
          <w:p w14:paraId="4CEB2462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Proactive outreach with tailored financial education or hardship support.</w:t>
            </w:r>
          </w:p>
        </w:tc>
      </w:tr>
      <w:tr w:rsidR="00115021" w:rsidRPr="00115021" w14:paraId="1C0E39F2" w14:textId="77777777">
        <w:tc>
          <w:tcPr>
            <w:tcW w:w="2160" w:type="dxa"/>
          </w:tcPr>
          <w:p w14:paraId="659C1EBA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High DTI is associated with higher default rates.</w:t>
            </w:r>
          </w:p>
        </w:tc>
        <w:tc>
          <w:tcPr>
            <w:tcW w:w="2160" w:type="dxa"/>
          </w:tcPr>
          <w:p w14:paraId="3153C061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DTI &gt; 0.5</w:t>
            </w:r>
          </w:p>
        </w:tc>
        <w:tc>
          <w:tcPr>
            <w:tcW w:w="2160" w:type="dxa"/>
          </w:tcPr>
          <w:p w14:paraId="750817E9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Debt-to-Income Ratio</w:t>
            </w:r>
          </w:p>
        </w:tc>
        <w:tc>
          <w:tcPr>
            <w:tcW w:w="2160" w:type="dxa"/>
          </w:tcPr>
          <w:p w14:paraId="528A3B35" w14:textId="77777777" w:rsidR="00A64C20" w:rsidRPr="00115021" w:rsidRDefault="00115021">
            <w:pPr>
              <w:rPr>
                <w:rFonts w:ascii="Arial" w:hAnsi="Arial" w:cs="Arial"/>
                <w:color w:val="000000" w:themeColor="text1"/>
              </w:rPr>
            </w:pPr>
            <w:r w:rsidRPr="00115021">
              <w:rPr>
                <w:rFonts w:ascii="Arial" w:hAnsi="Arial" w:cs="Arial"/>
                <w:color w:val="000000" w:themeColor="text1"/>
              </w:rPr>
              <w:t>Debt restructuring support or repayment plan options.</w:t>
            </w:r>
          </w:p>
        </w:tc>
      </w:tr>
    </w:tbl>
    <w:p w14:paraId="68D1BCA6" w14:textId="77777777" w:rsidR="00A64C20" w:rsidRPr="00115021" w:rsidRDefault="00115021">
      <w:pPr>
        <w:pStyle w:val="Heading1"/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2. Recommendation Framework</w:t>
      </w:r>
    </w:p>
    <w:p w14:paraId="513F0DEF" w14:textId="77777777" w:rsidR="00A64C20" w:rsidRPr="00115021" w:rsidRDefault="00115021">
      <w:p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Restated Insight:</w:t>
      </w:r>
    </w:p>
    <w:p w14:paraId="7B067DA9" w14:textId="77777777" w:rsidR="00A64C20" w:rsidRPr="00115021" w:rsidRDefault="00115021">
      <w:p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Customers under 30 with two or more missed payments have a significantly higher likelihood of delinquency.</w:t>
      </w:r>
    </w:p>
    <w:p w14:paraId="430FB58E" w14:textId="77777777" w:rsidR="00A64C20" w:rsidRPr="00115021" w:rsidRDefault="00115021">
      <w:p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Proposed Recommendation:</w:t>
      </w:r>
    </w:p>
    <w:p w14:paraId="4CB4D77C" w14:textId="77777777" w:rsidR="00A64C20" w:rsidRPr="00115021" w:rsidRDefault="00115021">
      <w:p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 xml:space="preserve">Launch a 6-week pilot outreach </w:t>
      </w:r>
      <w:r w:rsidRPr="00115021">
        <w:rPr>
          <w:rFonts w:ascii="Arial" w:hAnsi="Arial" w:cs="Arial"/>
          <w:color w:val="000000" w:themeColor="text1"/>
        </w:rPr>
        <w:t>campaign targeting this segment with proactive SMS and email messaging. The goal is to offer tailored payment plans or financial counselling support before accounts reach 30+ days delinquent.</w:t>
      </w:r>
    </w:p>
    <w:p w14:paraId="50BB9426" w14:textId="77777777" w:rsidR="00A64C20" w:rsidRPr="00115021" w:rsidRDefault="00115021">
      <w:p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Justification and Business Rationale:</w:t>
      </w:r>
    </w:p>
    <w:p w14:paraId="72218F40" w14:textId="77777777" w:rsidR="00115021" w:rsidRDefault="00115021" w:rsidP="00115021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lastRenderedPageBreak/>
        <w:t>Specific: Focused on a clearly defined, high-risk group.</w:t>
      </w:r>
    </w:p>
    <w:p w14:paraId="58256F99" w14:textId="77777777" w:rsidR="00115021" w:rsidRDefault="00115021" w:rsidP="00115021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Measurable: Target a 10–15% reduction in delinquency within the pilot group.</w:t>
      </w:r>
    </w:p>
    <w:p w14:paraId="1C4C9335" w14:textId="77777777" w:rsidR="00115021" w:rsidRDefault="00115021" w:rsidP="00115021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Actionable: Uses existing communication infrastructure.</w:t>
      </w:r>
    </w:p>
    <w:p w14:paraId="4A3E7524" w14:textId="77777777" w:rsidR="00115021" w:rsidRDefault="00115021" w:rsidP="00115021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 xml:space="preserve">Relevant: Aligns with </w:t>
      </w:r>
      <w:proofErr w:type="spellStart"/>
      <w:r w:rsidRPr="00115021">
        <w:rPr>
          <w:rFonts w:ascii="Arial" w:hAnsi="Arial" w:cs="Arial"/>
          <w:color w:val="000000" w:themeColor="text1"/>
        </w:rPr>
        <w:t>Geldium’s</w:t>
      </w:r>
      <w:proofErr w:type="spellEnd"/>
      <w:r w:rsidRPr="00115021">
        <w:rPr>
          <w:rFonts w:ascii="Arial" w:hAnsi="Arial" w:cs="Arial"/>
          <w:color w:val="000000" w:themeColor="text1"/>
        </w:rPr>
        <w:t xml:space="preserve"> goals to reduce credit risk and improve customer outcomes.</w:t>
      </w:r>
    </w:p>
    <w:p w14:paraId="472F696B" w14:textId="06D59193" w:rsidR="00A64C20" w:rsidRPr="00115021" w:rsidRDefault="00115021" w:rsidP="00115021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Time-bound: Designed as a time-limited pilot with measurable outcomes.</w:t>
      </w:r>
    </w:p>
    <w:p w14:paraId="00EC1221" w14:textId="77777777" w:rsidR="00A64C20" w:rsidRPr="00115021" w:rsidRDefault="00115021">
      <w:pPr>
        <w:pStyle w:val="Heading1"/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3. Ethical and Responsible AI Considerations</w:t>
      </w:r>
    </w:p>
    <w:p w14:paraId="7FF89562" w14:textId="77777777" w:rsidR="00115021" w:rsidRDefault="00115021">
      <w:p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The model was evaluated for fairness using multiple performance metrics across age and income groups. No disproportionate flagging of protected segments was observed.</w:t>
      </w:r>
    </w:p>
    <w:p w14:paraId="71C8A2AE" w14:textId="77777777" w:rsidR="00115021" w:rsidRDefault="00115021" w:rsidP="00115021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Bias: We tested for overrepresentation in delinquency predictions and found a balanced outcome across customer demographics.</w:t>
      </w:r>
    </w:p>
    <w:p w14:paraId="6B3272FC" w14:textId="77777777" w:rsidR="00115021" w:rsidRDefault="00115021" w:rsidP="00115021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Explainability: The model uses logistic regression, which allows clear explanation of how key variables influence predictions.</w:t>
      </w:r>
    </w:p>
    <w:p w14:paraId="7B8030CF" w14:textId="00B642EF" w:rsidR="00A64C20" w:rsidRPr="00115021" w:rsidRDefault="00115021" w:rsidP="00115021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115021">
        <w:rPr>
          <w:rFonts w:ascii="Arial" w:hAnsi="Arial" w:cs="Arial"/>
          <w:color w:val="000000" w:themeColor="text1"/>
        </w:rPr>
        <w:t>Responsible use: The recommendation is focused on early, supportive interventions rather than punitive action, reinforcing fairness and customer care principles.</w:t>
      </w:r>
    </w:p>
    <w:sectPr w:rsidR="00A64C20" w:rsidRPr="00115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3A59CF"/>
    <w:multiLevelType w:val="hybridMultilevel"/>
    <w:tmpl w:val="9A5E8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A25BD"/>
    <w:multiLevelType w:val="hybridMultilevel"/>
    <w:tmpl w:val="68DE6B9C"/>
    <w:lvl w:ilvl="0" w:tplc="BFD49B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3764E"/>
    <w:multiLevelType w:val="hybridMultilevel"/>
    <w:tmpl w:val="AA621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A112A"/>
    <w:multiLevelType w:val="hybridMultilevel"/>
    <w:tmpl w:val="552CE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46317">
    <w:abstractNumId w:val="8"/>
  </w:num>
  <w:num w:numId="2" w16cid:durableId="2085642107">
    <w:abstractNumId w:val="6"/>
  </w:num>
  <w:num w:numId="3" w16cid:durableId="1579250593">
    <w:abstractNumId w:val="5"/>
  </w:num>
  <w:num w:numId="4" w16cid:durableId="1567834221">
    <w:abstractNumId w:val="4"/>
  </w:num>
  <w:num w:numId="5" w16cid:durableId="57170939">
    <w:abstractNumId w:val="7"/>
  </w:num>
  <w:num w:numId="6" w16cid:durableId="841512806">
    <w:abstractNumId w:val="3"/>
  </w:num>
  <w:num w:numId="7" w16cid:durableId="696929647">
    <w:abstractNumId w:val="2"/>
  </w:num>
  <w:num w:numId="8" w16cid:durableId="1704399148">
    <w:abstractNumId w:val="1"/>
  </w:num>
  <w:num w:numId="9" w16cid:durableId="1212691614">
    <w:abstractNumId w:val="0"/>
  </w:num>
  <w:num w:numId="10" w16cid:durableId="152181550">
    <w:abstractNumId w:val="12"/>
  </w:num>
  <w:num w:numId="11" w16cid:durableId="363601673">
    <w:abstractNumId w:val="10"/>
  </w:num>
  <w:num w:numId="12" w16cid:durableId="1564565011">
    <w:abstractNumId w:val="11"/>
  </w:num>
  <w:num w:numId="13" w16cid:durableId="734739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021"/>
    <w:rsid w:val="0015074B"/>
    <w:rsid w:val="0029639D"/>
    <w:rsid w:val="00326F90"/>
    <w:rsid w:val="008237CA"/>
    <w:rsid w:val="00A64C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070BB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Tran, Tammy</cp:lastModifiedBy>
  <cp:revision>2</cp:revision>
  <dcterms:created xsi:type="dcterms:W3CDTF">2013-12-23T23:15:00Z</dcterms:created>
  <dcterms:modified xsi:type="dcterms:W3CDTF">2025-03-23T11:54:00Z</dcterms:modified>
  <cp:category/>
</cp:coreProperties>
</file>