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CAA" w:rsidRPr="00880CAA" w:rsidRDefault="00880CAA" w:rsidP="00880CAA">
      <w:pPr>
        <w:spacing w:before="269" w:after="269" w:line="240" w:lineRule="auto"/>
        <w:jc w:val="both"/>
        <w:rPr>
          <w:rFonts w:ascii="Book Antiqua" w:eastAsia="Times New Roman" w:hAnsi="Book Antiqua" w:cs="Times New Roman"/>
          <w:sz w:val="24"/>
          <w:szCs w:val="24"/>
          <w:lang w:val="en-US" w:eastAsia="en-IN"/>
        </w:rPr>
      </w:pPr>
      <w:r w:rsidRPr="00880CAA">
        <w:rPr>
          <w:rFonts w:ascii="Book Antiqua" w:eastAsia="Times New Roman" w:hAnsi="Book Antiqua" w:cs="Times New Roman"/>
          <w:i/>
          <w:iCs/>
          <w:sz w:val="24"/>
          <w:szCs w:val="24"/>
          <w:u w:val="single"/>
          <w:lang w:val="en-US" w:eastAsia="en-IN"/>
        </w:rPr>
        <w:t>Mumbai, July 10, 2014:</w:t>
      </w:r>
    </w:p>
    <w:p w:rsidR="00880CAA" w:rsidRPr="00880CAA" w:rsidRDefault="00880CAA" w:rsidP="00880CAA">
      <w:pPr>
        <w:spacing w:before="269" w:after="269" w:line="240" w:lineRule="auto"/>
        <w:jc w:val="both"/>
        <w:rPr>
          <w:rFonts w:ascii="Book Antiqua" w:eastAsia="Times New Roman" w:hAnsi="Book Antiqua" w:cs="Times New Roman"/>
          <w:sz w:val="24"/>
          <w:szCs w:val="24"/>
          <w:lang w:val="en-US" w:eastAsia="en-IN"/>
        </w:rPr>
      </w:pPr>
      <w:r w:rsidRPr="00880CAA">
        <w:rPr>
          <w:rFonts w:ascii="Book Antiqua" w:eastAsia="Times New Roman" w:hAnsi="Book Antiqua" w:cs="Times New Roman"/>
          <w:i/>
          <w:iCs/>
          <w:sz w:val="24"/>
          <w:szCs w:val="24"/>
          <w:u w:val="single"/>
          <w:lang w:val="en-US" w:eastAsia="en-IN"/>
        </w:rPr>
        <w:t>Press Statement</w:t>
      </w:r>
    </w:p>
    <w:p w:rsidR="00880CAA" w:rsidRPr="00880CAA" w:rsidRDefault="00880CAA" w:rsidP="00880CAA">
      <w:pPr>
        <w:spacing w:before="269" w:after="269" w:line="240" w:lineRule="auto"/>
        <w:jc w:val="both"/>
        <w:rPr>
          <w:rFonts w:ascii="Book Antiqua" w:eastAsia="Times New Roman" w:hAnsi="Book Antiqua" w:cs="Times New Roman"/>
          <w:sz w:val="24"/>
          <w:szCs w:val="24"/>
          <w:lang w:val="en-US" w:eastAsia="en-IN"/>
        </w:rPr>
      </w:pPr>
      <w:r w:rsidRPr="00880CAA">
        <w:rPr>
          <w:rFonts w:ascii="Book Antiqua" w:eastAsia="Times New Roman" w:hAnsi="Book Antiqua" w:cs="Times New Roman"/>
          <w:b/>
          <w:bCs/>
          <w:sz w:val="24"/>
          <w:szCs w:val="24"/>
          <w:u w:val="single"/>
          <w:lang w:val="en-US" w:eastAsia="en-IN"/>
        </w:rPr>
        <w:t xml:space="preserve">Views from Mr. </w:t>
      </w:r>
      <w:proofErr w:type="spellStart"/>
      <w:r w:rsidRPr="00880CAA">
        <w:rPr>
          <w:rFonts w:ascii="Book Antiqua" w:eastAsia="Times New Roman" w:hAnsi="Book Antiqua" w:cs="Times New Roman"/>
          <w:b/>
          <w:bCs/>
          <w:sz w:val="24"/>
          <w:szCs w:val="24"/>
          <w:u w:val="single"/>
          <w:lang w:val="en-US" w:eastAsia="en-IN"/>
        </w:rPr>
        <w:t>Vipul</w:t>
      </w:r>
      <w:proofErr w:type="spellEnd"/>
      <w:r w:rsidRPr="00880CAA">
        <w:rPr>
          <w:rFonts w:ascii="Book Antiqua" w:eastAsia="Times New Roman" w:hAnsi="Book Antiqua" w:cs="Times New Roman"/>
          <w:b/>
          <w:bCs/>
          <w:sz w:val="24"/>
          <w:szCs w:val="24"/>
          <w:u w:val="single"/>
          <w:lang w:val="en-US" w:eastAsia="en-IN"/>
        </w:rPr>
        <w:t xml:space="preserve"> Shah, Chairman, Gem &amp; Jewelry Export Promotion Council</w:t>
      </w:r>
    </w:p>
    <w:p w:rsidR="00880CAA" w:rsidRPr="00880CAA" w:rsidRDefault="00880CAA" w:rsidP="00880CAA">
      <w:pPr>
        <w:spacing w:before="269" w:after="269" w:line="240" w:lineRule="auto"/>
        <w:jc w:val="both"/>
        <w:rPr>
          <w:rFonts w:ascii="Book Antiqua" w:eastAsia="Times New Roman" w:hAnsi="Book Antiqua" w:cs="Times New Roman"/>
          <w:sz w:val="24"/>
          <w:szCs w:val="24"/>
          <w:lang w:val="en-US" w:eastAsia="en-IN"/>
        </w:rPr>
      </w:pPr>
      <w:r w:rsidRPr="00880CAA">
        <w:rPr>
          <w:rFonts w:ascii="Book Antiqua" w:eastAsia="Times New Roman" w:hAnsi="Book Antiqua" w:cs="Times New Roman"/>
          <w:b/>
          <w:bCs/>
          <w:sz w:val="24"/>
          <w:szCs w:val="24"/>
          <w:lang w:val="en-US" w:eastAsia="en-IN"/>
        </w:rPr>
        <w:t> </w:t>
      </w:r>
    </w:p>
    <w:p w:rsidR="00880CAA" w:rsidRPr="00880CAA" w:rsidRDefault="00880CAA" w:rsidP="00880CAA">
      <w:pPr>
        <w:spacing w:before="269" w:after="269" w:line="240" w:lineRule="auto"/>
        <w:jc w:val="center"/>
        <w:rPr>
          <w:rFonts w:ascii="Book Antiqua" w:eastAsia="Times New Roman" w:hAnsi="Book Antiqua" w:cs="Arial"/>
          <w:sz w:val="24"/>
          <w:szCs w:val="24"/>
          <w:lang w:val="en-US" w:eastAsia="en-IN"/>
        </w:rPr>
      </w:pPr>
      <w:r w:rsidRPr="00880CAA">
        <w:rPr>
          <w:rFonts w:ascii="Book Antiqua" w:eastAsia="Times New Roman" w:hAnsi="Book Antiqua" w:cs="Arial"/>
          <w:b/>
          <w:bCs/>
          <w:sz w:val="24"/>
          <w:szCs w:val="24"/>
          <w:lang w:val="en-US" w:eastAsia="en-IN"/>
        </w:rPr>
        <w:t xml:space="preserve">No Bold Reforms by the </w:t>
      </w:r>
      <w:proofErr w:type="spellStart"/>
      <w:r w:rsidRPr="00880CAA">
        <w:rPr>
          <w:rFonts w:ascii="Book Antiqua" w:eastAsia="Times New Roman" w:hAnsi="Book Antiqua" w:cs="Arial"/>
          <w:b/>
          <w:bCs/>
          <w:sz w:val="24"/>
          <w:szCs w:val="24"/>
          <w:lang w:val="en-US" w:eastAsia="en-IN"/>
        </w:rPr>
        <w:t>Modi</w:t>
      </w:r>
      <w:proofErr w:type="spellEnd"/>
      <w:r w:rsidRPr="00880CAA">
        <w:rPr>
          <w:rFonts w:ascii="Book Antiqua" w:eastAsia="Times New Roman" w:hAnsi="Book Antiqua" w:cs="Arial"/>
          <w:b/>
          <w:bCs/>
          <w:sz w:val="24"/>
          <w:szCs w:val="24"/>
          <w:lang w:val="en-US" w:eastAsia="en-IN"/>
        </w:rPr>
        <w:t xml:space="preserve"> </w:t>
      </w:r>
      <w:proofErr w:type="spellStart"/>
      <w:r w:rsidRPr="00880CAA">
        <w:rPr>
          <w:rFonts w:ascii="Book Antiqua" w:eastAsia="Times New Roman" w:hAnsi="Book Antiqua" w:cs="Arial"/>
          <w:b/>
          <w:bCs/>
          <w:sz w:val="24"/>
          <w:szCs w:val="24"/>
          <w:lang w:val="en-US" w:eastAsia="en-IN"/>
        </w:rPr>
        <w:t>Govt’s</w:t>
      </w:r>
      <w:proofErr w:type="spellEnd"/>
      <w:r w:rsidRPr="00880CAA">
        <w:rPr>
          <w:rFonts w:ascii="Book Antiqua" w:eastAsia="Times New Roman" w:hAnsi="Book Antiqua" w:cs="Arial"/>
          <w:b/>
          <w:bCs/>
          <w:sz w:val="24"/>
          <w:szCs w:val="24"/>
          <w:lang w:val="en-US" w:eastAsia="en-IN"/>
        </w:rPr>
        <w:t xml:space="preserve"> First Budget</w:t>
      </w:r>
    </w:p>
    <w:p w:rsidR="00880CAA" w:rsidRPr="00880CAA" w:rsidRDefault="00880CAA" w:rsidP="00880CAA">
      <w:pPr>
        <w:spacing w:before="269" w:after="269" w:line="240" w:lineRule="auto"/>
        <w:jc w:val="center"/>
        <w:rPr>
          <w:rFonts w:ascii="Book Antiqua" w:eastAsia="Times New Roman" w:hAnsi="Book Antiqua" w:cs="Arial"/>
          <w:sz w:val="24"/>
          <w:szCs w:val="24"/>
          <w:lang w:val="en-US" w:eastAsia="en-IN"/>
        </w:rPr>
      </w:pPr>
      <w:r w:rsidRPr="00880CAA">
        <w:rPr>
          <w:rFonts w:ascii="Book Antiqua" w:eastAsia="Times New Roman" w:hAnsi="Book Antiqua" w:cs="Arial"/>
          <w:b/>
          <w:bCs/>
          <w:sz w:val="24"/>
          <w:szCs w:val="24"/>
          <w:lang w:val="en-US" w:eastAsia="en-IN"/>
        </w:rPr>
        <w:t>GJEPC welcomes the Export Promotion Mission and SEZ revival</w:t>
      </w:r>
    </w:p>
    <w:p w:rsidR="00880CAA" w:rsidRPr="00880CAA" w:rsidRDefault="00880CAA" w:rsidP="00880CAA">
      <w:pPr>
        <w:spacing w:before="269" w:after="269" w:line="240" w:lineRule="auto"/>
        <w:jc w:val="both"/>
        <w:rPr>
          <w:rFonts w:ascii="Book Antiqua" w:eastAsia="Times New Roman" w:hAnsi="Book Antiqua" w:cs="Arial"/>
          <w:sz w:val="24"/>
          <w:szCs w:val="24"/>
          <w:lang w:val="en-US" w:eastAsia="en-IN"/>
        </w:rPr>
      </w:pPr>
      <w:r w:rsidRPr="00880CAA">
        <w:rPr>
          <w:rFonts w:ascii="Book Antiqua" w:eastAsia="Times New Roman" w:hAnsi="Book Antiqua" w:cs="Arial"/>
          <w:b/>
          <w:bCs/>
          <w:sz w:val="24"/>
          <w:szCs w:val="24"/>
          <w:lang w:val="en-US" w:eastAsia="en-IN"/>
        </w:rPr>
        <w:t> </w:t>
      </w:r>
      <w:r w:rsidRPr="00880CAA">
        <w:rPr>
          <w:rFonts w:ascii="Book Antiqua" w:eastAsia="Times New Roman" w:hAnsi="Book Antiqua" w:cs="Arial"/>
          <w:sz w:val="24"/>
          <w:szCs w:val="24"/>
          <w:lang w:val="en-US" w:eastAsia="en-IN"/>
        </w:rPr>
        <w:t>Announcing the reforms and budget for 2014-15, the Finance Minister,</w:t>
      </w:r>
      <w:proofErr w:type="gramStart"/>
      <w:r w:rsidRPr="00880CAA">
        <w:rPr>
          <w:rFonts w:ascii="Book Antiqua" w:eastAsia="Times New Roman" w:hAnsi="Book Antiqua" w:cs="Arial"/>
          <w:sz w:val="24"/>
          <w:szCs w:val="24"/>
          <w:lang w:val="en-US" w:eastAsia="en-IN"/>
        </w:rPr>
        <w:t>  Mr</w:t>
      </w:r>
      <w:proofErr w:type="gramEnd"/>
      <w:r w:rsidRPr="00880CAA">
        <w:rPr>
          <w:rFonts w:ascii="Book Antiqua" w:eastAsia="Times New Roman" w:hAnsi="Book Antiqua" w:cs="Arial"/>
          <w:sz w:val="24"/>
          <w:szCs w:val="24"/>
          <w:lang w:val="en-US" w:eastAsia="en-IN"/>
        </w:rPr>
        <w:t xml:space="preserve">. </w:t>
      </w:r>
      <w:proofErr w:type="spellStart"/>
      <w:r w:rsidRPr="00880CAA">
        <w:rPr>
          <w:rFonts w:ascii="Book Antiqua" w:eastAsia="Times New Roman" w:hAnsi="Book Antiqua" w:cs="Arial"/>
          <w:sz w:val="24"/>
          <w:szCs w:val="24"/>
          <w:lang w:val="en-US" w:eastAsia="en-IN"/>
        </w:rPr>
        <w:t>Arun</w:t>
      </w:r>
      <w:proofErr w:type="spellEnd"/>
      <w:r w:rsidRPr="00880CAA">
        <w:rPr>
          <w:rFonts w:ascii="Book Antiqua" w:eastAsia="Times New Roman" w:hAnsi="Book Antiqua" w:cs="Arial"/>
          <w:sz w:val="24"/>
          <w:szCs w:val="24"/>
          <w:lang w:val="en-US" w:eastAsia="en-IN"/>
        </w:rPr>
        <w:t xml:space="preserve"> </w:t>
      </w:r>
      <w:proofErr w:type="spellStart"/>
      <w:r w:rsidRPr="00880CAA">
        <w:rPr>
          <w:rFonts w:ascii="Book Antiqua" w:eastAsia="Times New Roman" w:hAnsi="Book Antiqua" w:cs="Arial"/>
          <w:sz w:val="24"/>
          <w:szCs w:val="24"/>
          <w:lang w:val="en-US" w:eastAsia="en-IN"/>
        </w:rPr>
        <w:t>Jaitley</w:t>
      </w:r>
      <w:proofErr w:type="spellEnd"/>
      <w:r w:rsidRPr="00880CAA">
        <w:rPr>
          <w:rFonts w:ascii="Book Antiqua" w:eastAsia="Times New Roman" w:hAnsi="Book Antiqua" w:cs="Arial"/>
          <w:sz w:val="24"/>
          <w:szCs w:val="24"/>
          <w:lang w:val="en-US" w:eastAsia="en-IN"/>
        </w:rPr>
        <w:t xml:space="preserve"> has maintained the populist front, announcing various small measures and state level schemes however none of them promise any major impact on the gem &amp; jewelry sector. The industry is happy that our recommendation for rationalization of import duty of broken diamonds and withdrawal of import duty on pre forms of semiprecious and precious stones have been accepted. Also the rationalization of import duty on processed diamonds to 2.5% will help the domestic manufacturing sector. However the Jewelry sector is largely disappointed as the import duty on gold has not been reduced even by 2-3%; which will continue the occurrence of gold smuggling.</w:t>
      </w:r>
      <w:bookmarkStart w:id="0" w:name="_GoBack"/>
      <w:bookmarkEnd w:id="0"/>
      <w:r w:rsidRPr="00880CAA">
        <w:rPr>
          <w:rFonts w:ascii="Book Antiqua" w:eastAsia="Times New Roman" w:hAnsi="Book Antiqua" w:cs="Arial"/>
          <w:sz w:val="24"/>
          <w:szCs w:val="24"/>
          <w:lang w:val="en-US" w:eastAsia="en-IN"/>
        </w:rPr>
        <w:t> </w:t>
      </w:r>
    </w:p>
    <w:p w:rsidR="00880CAA" w:rsidRPr="00880CAA" w:rsidRDefault="00880CAA" w:rsidP="00880CAA">
      <w:pPr>
        <w:spacing w:before="269" w:after="269" w:line="240" w:lineRule="auto"/>
        <w:ind w:left="360" w:hanging="360"/>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t>·</w:t>
      </w:r>
      <w:r w:rsidRPr="00880CAA">
        <w:rPr>
          <w:rFonts w:ascii="Book Antiqua" w:eastAsia="Times New Roman" w:hAnsi="Book Antiqua" w:cs="Times New Roman"/>
          <w:sz w:val="24"/>
          <w:szCs w:val="24"/>
          <w:lang w:val="en-US" w:eastAsia="en-IN"/>
        </w:rPr>
        <w:t>       </w:t>
      </w:r>
      <w:r w:rsidRPr="00880CAA">
        <w:rPr>
          <w:rFonts w:ascii="Book Antiqua" w:eastAsia="Times New Roman" w:hAnsi="Book Antiqua" w:cs="Arial"/>
          <w:sz w:val="24"/>
          <w:szCs w:val="24"/>
          <w:lang w:val="en-US" w:eastAsia="en-IN"/>
        </w:rPr>
        <w:t xml:space="preserve"> The Gem &amp; Jewelry industry has a reason to cheer with the renewed focus on promotion of exports and reviving the SEZs in the country. The GJEPC is in the process of presenting its recommendations for reviving the G &amp; J SEZs in the country and will submit the same to the Govt. shortly.</w:t>
      </w:r>
    </w:p>
    <w:p w:rsidR="00880CAA" w:rsidRPr="00880CAA" w:rsidRDefault="00880CAA" w:rsidP="00880CAA">
      <w:pPr>
        <w:spacing w:before="269" w:after="269" w:line="240" w:lineRule="auto"/>
        <w:ind w:left="360" w:hanging="360"/>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t>·</w:t>
      </w:r>
      <w:r w:rsidRPr="00880CAA">
        <w:rPr>
          <w:rFonts w:ascii="Book Antiqua" w:eastAsia="Times New Roman" w:hAnsi="Book Antiqua" w:cs="Times New Roman"/>
          <w:sz w:val="24"/>
          <w:szCs w:val="24"/>
          <w:lang w:val="en-US" w:eastAsia="en-IN"/>
        </w:rPr>
        <w:t>       </w:t>
      </w:r>
      <w:r w:rsidRPr="00880CAA">
        <w:rPr>
          <w:rFonts w:ascii="Book Antiqua" w:eastAsia="Times New Roman" w:hAnsi="Book Antiqua" w:cs="Arial"/>
          <w:sz w:val="24"/>
          <w:szCs w:val="24"/>
          <w:lang w:val="en-US" w:eastAsia="en-IN"/>
        </w:rPr>
        <w:t xml:space="preserve"> We also welcome the steps to improve the infrastructure for exports in all states by forming an Export Promotion Mission along with the State by the Central Govt. The Council’s long standing demand of creating a convention center of 1 </w:t>
      </w:r>
      <w:proofErr w:type="spellStart"/>
      <w:r w:rsidRPr="00880CAA">
        <w:rPr>
          <w:rFonts w:ascii="Book Antiqua" w:eastAsia="Times New Roman" w:hAnsi="Book Antiqua" w:cs="Arial"/>
          <w:sz w:val="24"/>
          <w:szCs w:val="24"/>
          <w:lang w:val="en-US" w:eastAsia="en-IN"/>
        </w:rPr>
        <w:t>mn</w:t>
      </w:r>
      <w:proofErr w:type="spellEnd"/>
      <w:r w:rsidRPr="00880CAA">
        <w:rPr>
          <w:rFonts w:ascii="Book Antiqua" w:eastAsia="Times New Roman" w:hAnsi="Book Antiqua" w:cs="Arial"/>
          <w:sz w:val="24"/>
          <w:szCs w:val="24"/>
          <w:lang w:val="en-US" w:eastAsia="en-IN"/>
        </w:rPr>
        <w:t xml:space="preserve"> sq. ft. in Mumbai may soon become a reality.</w:t>
      </w:r>
    </w:p>
    <w:p w:rsidR="00880CAA" w:rsidRPr="00880CAA" w:rsidRDefault="00880CAA" w:rsidP="00880CAA">
      <w:pPr>
        <w:spacing w:before="269" w:after="269" w:line="240" w:lineRule="auto"/>
        <w:ind w:left="360" w:hanging="360"/>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t>·</w:t>
      </w:r>
      <w:r w:rsidRPr="00880CAA">
        <w:rPr>
          <w:rFonts w:ascii="Book Antiqua" w:eastAsia="Times New Roman" w:hAnsi="Book Antiqua" w:cs="Times New Roman"/>
          <w:sz w:val="24"/>
          <w:szCs w:val="24"/>
          <w:lang w:val="en-US" w:eastAsia="en-IN"/>
        </w:rPr>
        <w:t>       </w:t>
      </w:r>
      <w:r w:rsidRPr="00880CAA">
        <w:rPr>
          <w:rFonts w:ascii="Book Antiqua" w:eastAsia="Times New Roman" w:hAnsi="Book Antiqua" w:cs="Arial"/>
          <w:sz w:val="24"/>
          <w:szCs w:val="24"/>
          <w:lang w:val="en-US" w:eastAsia="en-IN"/>
        </w:rPr>
        <w:t xml:space="preserve"> The formation of skilled India is encouraging and the sectorial skills will also get the right focus.</w:t>
      </w:r>
    </w:p>
    <w:p w:rsidR="00880CAA" w:rsidRPr="00880CAA" w:rsidRDefault="00880CAA" w:rsidP="00880CAA">
      <w:pPr>
        <w:spacing w:before="269" w:after="269" w:line="240" w:lineRule="auto"/>
        <w:ind w:left="360" w:hanging="360"/>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t>·</w:t>
      </w:r>
      <w:r w:rsidRPr="00880CAA">
        <w:rPr>
          <w:rFonts w:ascii="Book Antiqua" w:eastAsia="Times New Roman" w:hAnsi="Book Antiqua" w:cs="Times New Roman"/>
          <w:sz w:val="24"/>
          <w:szCs w:val="24"/>
          <w:lang w:val="en-US" w:eastAsia="en-IN"/>
        </w:rPr>
        <w:t>       </w:t>
      </w:r>
      <w:r w:rsidRPr="00880CAA">
        <w:rPr>
          <w:rFonts w:ascii="Book Antiqua" w:eastAsia="Times New Roman" w:hAnsi="Book Antiqua" w:cs="Arial"/>
          <w:sz w:val="24"/>
          <w:szCs w:val="24"/>
          <w:lang w:val="en-US" w:eastAsia="en-IN"/>
        </w:rPr>
        <w:t xml:space="preserve"> The industry welcomes the intent of the Govt. to rationalize the direct tax mechanism for faster settlement of tax disputes as this industry is one of the main victims of such disputes.</w:t>
      </w:r>
    </w:p>
    <w:p w:rsidR="00880CAA" w:rsidRPr="00880CAA" w:rsidRDefault="00880CAA" w:rsidP="00880CAA">
      <w:pPr>
        <w:spacing w:before="269" w:after="269" w:line="240" w:lineRule="auto"/>
        <w:ind w:left="360" w:hanging="360"/>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t>·</w:t>
      </w:r>
      <w:r w:rsidRPr="00880CAA">
        <w:rPr>
          <w:rFonts w:ascii="Book Antiqua" w:eastAsia="Times New Roman" w:hAnsi="Book Antiqua" w:cs="Times New Roman"/>
          <w:sz w:val="24"/>
          <w:szCs w:val="24"/>
          <w:lang w:val="en-US" w:eastAsia="en-IN"/>
        </w:rPr>
        <w:t>       </w:t>
      </w:r>
      <w:r w:rsidRPr="00880CAA">
        <w:rPr>
          <w:rFonts w:ascii="Book Antiqua" w:eastAsia="Times New Roman" w:hAnsi="Book Antiqua" w:cs="Arial"/>
          <w:sz w:val="24"/>
          <w:szCs w:val="24"/>
          <w:lang w:val="en-US" w:eastAsia="en-IN"/>
        </w:rPr>
        <w:t xml:space="preserve"> We will also wait for the fine print of Transfer Pricing which may have impact on the diamond industry due to its international nature of business.</w:t>
      </w:r>
    </w:p>
    <w:p w:rsidR="00880CAA" w:rsidRPr="00880CAA" w:rsidRDefault="00880CAA" w:rsidP="00880CAA">
      <w:pPr>
        <w:spacing w:before="269" w:after="269" w:line="240" w:lineRule="auto"/>
        <w:ind w:left="360" w:hanging="360"/>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t>·</w:t>
      </w:r>
      <w:r w:rsidRPr="00880CAA">
        <w:rPr>
          <w:rFonts w:ascii="Book Antiqua" w:eastAsia="Times New Roman" w:hAnsi="Book Antiqua" w:cs="Times New Roman"/>
          <w:sz w:val="24"/>
          <w:szCs w:val="24"/>
          <w:lang w:val="en-US" w:eastAsia="en-IN"/>
        </w:rPr>
        <w:t>       </w:t>
      </w:r>
      <w:r w:rsidRPr="00880CAA">
        <w:rPr>
          <w:rFonts w:ascii="Book Antiqua" w:eastAsia="Times New Roman" w:hAnsi="Book Antiqua" w:cs="Arial"/>
          <w:sz w:val="24"/>
          <w:szCs w:val="24"/>
          <w:lang w:val="en-US" w:eastAsia="en-IN"/>
        </w:rPr>
        <w:t xml:space="preserve"> The industry also expects that the </w:t>
      </w:r>
      <w:proofErr w:type="spellStart"/>
      <w:r w:rsidRPr="00880CAA">
        <w:rPr>
          <w:rFonts w:ascii="Book Antiqua" w:eastAsia="Times New Roman" w:hAnsi="Book Antiqua" w:cs="Arial"/>
          <w:sz w:val="24"/>
          <w:szCs w:val="24"/>
          <w:lang w:val="en-US" w:eastAsia="en-IN"/>
        </w:rPr>
        <w:t>Govt</w:t>
      </w:r>
      <w:proofErr w:type="spellEnd"/>
      <w:r w:rsidRPr="00880CAA">
        <w:rPr>
          <w:rFonts w:ascii="Book Antiqua" w:eastAsia="Times New Roman" w:hAnsi="Book Antiqua" w:cs="Arial"/>
          <w:sz w:val="24"/>
          <w:szCs w:val="24"/>
          <w:lang w:val="en-US" w:eastAsia="en-IN"/>
        </w:rPr>
        <w:t xml:space="preserve"> will accept its recommendations on benign tax under the tax reforms program in the long run.</w:t>
      </w:r>
    </w:p>
    <w:p w:rsidR="00880CAA" w:rsidRPr="00880CAA" w:rsidRDefault="00880CAA" w:rsidP="00880CAA">
      <w:pPr>
        <w:spacing w:before="269" w:after="269" w:line="240" w:lineRule="auto"/>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t> </w:t>
      </w:r>
    </w:p>
    <w:p w:rsidR="00880CAA" w:rsidRPr="00880CAA" w:rsidRDefault="00880CAA" w:rsidP="00880CAA">
      <w:pPr>
        <w:spacing w:before="269" w:after="269" w:line="240" w:lineRule="auto"/>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lastRenderedPageBreak/>
        <w:t xml:space="preserve">The budget is almost industry neutral without any of the sector’s demands like introduction of benign tax at practical rates, decrease of import duty on gold bullion and introduction of procedurals for creation of SEZ for rough diamonds finding any mention in the budget. However, we believe that this budget shows the intent of the </w:t>
      </w:r>
      <w:proofErr w:type="spellStart"/>
      <w:r w:rsidRPr="00880CAA">
        <w:rPr>
          <w:rFonts w:ascii="Book Antiqua" w:eastAsia="Times New Roman" w:hAnsi="Book Antiqua" w:cs="Arial"/>
          <w:sz w:val="24"/>
          <w:szCs w:val="24"/>
          <w:lang w:val="en-US" w:eastAsia="en-IN"/>
        </w:rPr>
        <w:t>Govt</w:t>
      </w:r>
      <w:proofErr w:type="spellEnd"/>
      <w:r w:rsidRPr="00880CAA">
        <w:rPr>
          <w:rFonts w:ascii="Book Antiqua" w:eastAsia="Times New Roman" w:hAnsi="Book Antiqua" w:cs="Arial"/>
          <w:sz w:val="24"/>
          <w:szCs w:val="24"/>
          <w:lang w:val="en-US" w:eastAsia="en-IN"/>
        </w:rPr>
        <w:t xml:space="preserve"> is positive which will improve the fiscal position of the country.</w:t>
      </w:r>
    </w:p>
    <w:p w:rsidR="00880CAA" w:rsidRPr="00880CAA" w:rsidRDefault="00880CAA" w:rsidP="00880CAA">
      <w:pPr>
        <w:spacing w:before="269" w:after="269" w:line="240" w:lineRule="auto"/>
        <w:jc w:val="both"/>
        <w:rPr>
          <w:rFonts w:ascii="Book Antiqua" w:eastAsia="Times New Roman" w:hAnsi="Book Antiqua" w:cs="Arial"/>
          <w:sz w:val="24"/>
          <w:szCs w:val="24"/>
          <w:lang w:val="en-US" w:eastAsia="en-IN"/>
        </w:rPr>
      </w:pPr>
      <w:r w:rsidRPr="00880CAA">
        <w:rPr>
          <w:rFonts w:ascii="Book Antiqua" w:eastAsia="Times New Roman" w:hAnsi="Book Antiqua" w:cs="Arial"/>
          <w:sz w:val="24"/>
          <w:szCs w:val="24"/>
          <w:lang w:val="en-US" w:eastAsia="en-IN"/>
        </w:rPr>
        <w:t> </w:t>
      </w:r>
    </w:p>
    <w:p w:rsidR="00880CAA" w:rsidRPr="00880CAA" w:rsidRDefault="00880CAA" w:rsidP="00880CAA">
      <w:pPr>
        <w:spacing w:before="269" w:after="269" w:line="240" w:lineRule="auto"/>
        <w:jc w:val="both"/>
        <w:rPr>
          <w:rFonts w:ascii="Book Antiqua" w:eastAsia="Times New Roman" w:hAnsi="Book Antiqua" w:cs="Times New Roman"/>
          <w:sz w:val="24"/>
          <w:szCs w:val="24"/>
          <w:lang w:val="en-US" w:eastAsia="en-IN"/>
        </w:rPr>
      </w:pPr>
      <w:r w:rsidRPr="00880CAA">
        <w:rPr>
          <w:rFonts w:ascii="Book Antiqua" w:eastAsia="Times New Roman" w:hAnsi="Book Antiqua" w:cs="Times New Roman"/>
          <w:b/>
          <w:bCs/>
          <w:sz w:val="24"/>
          <w:szCs w:val="24"/>
          <w:u w:val="single"/>
          <w:lang w:val="en-US" w:eastAsia="en-IN"/>
        </w:rPr>
        <w:t>Notes to Editor:</w:t>
      </w:r>
    </w:p>
    <w:p w:rsidR="00880CAA" w:rsidRPr="00880CAA" w:rsidRDefault="00880CAA" w:rsidP="00880CAA">
      <w:pPr>
        <w:spacing w:before="269" w:after="269" w:line="240" w:lineRule="auto"/>
        <w:jc w:val="both"/>
        <w:rPr>
          <w:rFonts w:ascii="Book Antiqua" w:eastAsia="Times New Roman" w:hAnsi="Book Antiqua" w:cs="Times New Roman"/>
          <w:sz w:val="24"/>
          <w:szCs w:val="24"/>
          <w:lang w:val="en-US" w:eastAsia="en-IN"/>
        </w:rPr>
      </w:pPr>
      <w:r w:rsidRPr="00880CAA">
        <w:rPr>
          <w:rFonts w:ascii="Book Antiqua" w:eastAsia="Times New Roman" w:hAnsi="Book Antiqua" w:cs="Times New Roman"/>
          <w:sz w:val="24"/>
          <w:szCs w:val="24"/>
          <w:lang w:val="en-US" w:eastAsia="en-IN"/>
        </w:rPr>
        <w:t>The Gem &amp; Jewellery Export Promotion Council is an all - India apex body for Gem &amp; Jewellery representing about 5,500 members. Set up in 1966, it operates under the supervision of the Ministry of Commerce &amp; Industry, Government of India.</w:t>
      </w:r>
    </w:p>
    <w:p w:rsidR="00880CAA" w:rsidRPr="00880CAA" w:rsidRDefault="00880CAA" w:rsidP="00880CAA">
      <w:pPr>
        <w:shd w:val="clear" w:color="auto" w:fill="FFFFFF"/>
        <w:spacing w:after="100" w:line="240" w:lineRule="auto"/>
        <w:jc w:val="both"/>
        <w:rPr>
          <w:rFonts w:ascii="Book Antiqua" w:eastAsia="Times New Roman" w:hAnsi="Book Antiqua" w:cs="Arial"/>
          <w:sz w:val="24"/>
          <w:szCs w:val="24"/>
          <w:lang w:val="en-US" w:eastAsia="en-IN"/>
        </w:rPr>
      </w:pPr>
      <w:r w:rsidRPr="00880CAA">
        <w:rPr>
          <w:rFonts w:ascii="Book Antiqua" w:eastAsia="Times New Roman" w:hAnsi="Book Antiqua" w:cs="Arial"/>
          <w:color w:val="222222"/>
          <w:sz w:val="24"/>
          <w:szCs w:val="24"/>
          <w:lang w:val="en-US" w:eastAsia="en-IN"/>
        </w:rPr>
        <w:t> </w:t>
      </w:r>
    </w:p>
    <w:p w:rsidR="00880CAA" w:rsidRPr="00880CAA" w:rsidRDefault="00880CAA" w:rsidP="00880CAA">
      <w:pPr>
        <w:jc w:val="both"/>
        <w:rPr>
          <w:rFonts w:ascii="Book Antiqua" w:hAnsi="Book Antiqua"/>
          <w:sz w:val="24"/>
          <w:szCs w:val="24"/>
        </w:rPr>
      </w:pPr>
    </w:p>
    <w:sectPr w:rsidR="00880CAA" w:rsidRPr="00880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AA"/>
    <w:rsid w:val="00880CAA"/>
    <w:rsid w:val="00CD2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28A80-C36A-4411-B1D8-257EA630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1636">
      <w:bodyDiv w:val="1"/>
      <w:marLeft w:val="0"/>
      <w:marRight w:val="0"/>
      <w:marTop w:val="0"/>
      <w:marBottom w:val="0"/>
      <w:divBdr>
        <w:top w:val="none" w:sz="0" w:space="0" w:color="auto"/>
        <w:left w:val="none" w:sz="0" w:space="0" w:color="auto"/>
        <w:bottom w:val="none" w:sz="0" w:space="0" w:color="auto"/>
        <w:right w:val="none" w:sz="0" w:space="0" w:color="auto"/>
      </w:divBdr>
      <w:divsChild>
        <w:div w:id="1206529041">
          <w:marLeft w:val="0"/>
          <w:marRight w:val="0"/>
          <w:marTop w:val="100"/>
          <w:marBottom w:val="100"/>
          <w:divBdr>
            <w:top w:val="none" w:sz="0" w:space="0" w:color="auto"/>
            <w:left w:val="none" w:sz="0" w:space="0" w:color="auto"/>
            <w:bottom w:val="none" w:sz="0" w:space="0" w:color="auto"/>
            <w:right w:val="none" w:sz="0" w:space="0" w:color="auto"/>
          </w:divBdr>
          <w:divsChild>
            <w:div w:id="850873535">
              <w:marLeft w:val="0"/>
              <w:marRight w:val="0"/>
              <w:marTop w:val="0"/>
              <w:marBottom w:val="0"/>
              <w:divBdr>
                <w:top w:val="none" w:sz="0" w:space="0" w:color="auto"/>
                <w:left w:val="none" w:sz="0" w:space="0" w:color="auto"/>
                <w:bottom w:val="none" w:sz="0" w:space="0" w:color="auto"/>
                <w:right w:val="none" w:sz="0" w:space="0" w:color="auto"/>
              </w:divBdr>
              <w:divsChild>
                <w:div w:id="1691175228">
                  <w:marLeft w:val="0"/>
                  <w:marRight w:val="0"/>
                  <w:marTop w:val="0"/>
                  <w:marBottom w:val="0"/>
                  <w:divBdr>
                    <w:top w:val="none" w:sz="0" w:space="0" w:color="auto"/>
                    <w:left w:val="none" w:sz="0" w:space="0" w:color="auto"/>
                    <w:bottom w:val="none" w:sz="0" w:space="0" w:color="auto"/>
                    <w:right w:val="none" w:sz="0" w:space="0" w:color="auto"/>
                  </w:divBdr>
                  <w:divsChild>
                    <w:div w:id="1748846019">
                      <w:marLeft w:val="0"/>
                      <w:marRight w:val="0"/>
                      <w:marTop w:val="0"/>
                      <w:marBottom w:val="0"/>
                      <w:divBdr>
                        <w:top w:val="none" w:sz="0" w:space="0" w:color="auto"/>
                        <w:left w:val="none" w:sz="0" w:space="0" w:color="auto"/>
                        <w:bottom w:val="none" w:sz="0" w:space="0" w:color="auto"/>
                        <w:right w:val="none" w:sz="0" w:space="0" w:color="auto"/>
                      </w:divBdr>
                      <w:divsChild>
                        <w:div w:id="2059548248">
                          <w:marLeft w:val="0"/>
                          <w:marRight w:val="0"/>
                          <w:marTop w:val="0"/>
                          <w:marBottom w:val="0"/>
                          <w:divBdr>
                            <w:top w:val="none" w:sz="0" w:space="0" w:color="auto"/>
                            <w:left w:val="none" w:sz="0" w:space="0" w:color="auto"/>
                            <w:bottom w:val="none" w:sz="0" w:space="0" w:color="auto"/>
                            <w:right w:val="none" w:sz="0" w:space="0" w:color="auto"/>
                          </w:divBdr>
                          <w:divsChild>
                            <w:div w:id="1610620553">
                              <w:marLeft w:val="0"/>
                              <w:marRight w:val="0"/>
                              <w:marTop w:val="100"/>
                              <w:marBottom w:val="100"/>
                              <w:divBdr>
                                <w:top w:val="none" w:sz="0" w:space="0" w:color="auto"/>
                                <w:left w:val="none" w:sz="0" w:space="0" w:color="auto"/>
                                <w:bottom w:val="none" w:sz="0" w:space="0" w:color="auto"/>
                                <w:right w:val="none" w:sz="0" w:space="0" w:color="auto"/>
                              </w:divBdr>
                              <w:divsChild>
                                <w:div w:id="528421812">
                                  <w:marLeft w:val="0"/>
                                  <w:marRight w:val="0"/>
                                  <w:marTop w:val="0"/>
                                  <w:marBottom w:val="0"/>
                                  <w:divBdr>
                                    <w:top w:val="none" w:sz="0" w:space="0" w:color="auto"/>
                                    <w:left w:val="none" w:sz="0" w:space="0" w:color="auto"/>
                                    <w:bottom w:val="none" w:sz="0" w:space="0" w:color="auto"/>
                                    <w:right w:val="none" w:sz="0" w:space="0" w:color="auto"/>
                                  </w:divBdr>
                                  <w:divsChild>
                                    <w:div w:id="506483038">
                                      <w:marLeft w:val="0"/>
                                      <w:marRight w:val="0"/>
                                      <w:marTop w:val="0"/>
                                      <w:marBottom w:val="0"/>
                                      <w:divBdr>
                                        <w:top w:val="none" w:sz="0" w:space="0" w:color="auto"/>
                                        <w:left w:val="none" w:sz="0" w:space="0" w:color="auto"/>
                                        <w:bottom w:val="none" w:sz="0" w:space="0" w:color="auto"/>
                                        <w:right w:val="none" w:sz="0" w:space="0" w:color="auto"/>
                                      </w:divBdr>
                                      <w:divsChild>
                                        <w:div w:id="364597318">
                                          <w:marLeft w:val="0"/>
                                          <w:marRight w:val="0"/>
                                          <w:marTop w:val="0"/>
                                          <w:marBottom w:val="0"/>
                                          <w:divBdr>
                                            <w:top w:val="none" w:sz="0" w:space="0" w:color="auto"/>
                                            <w:left w:val="none" w:sz="0" w:space="0" w:color="auto"/>
                                            <w:bottom w:val="none" w:sz="0" w:space="0" w:color="auto"/>
                                            <w:right w:val="none" w:sz="0" w:space="0" w:color="auto"/>
                                          </w:divBdr>
                                          <w:divsChild>
                                            <w:div w:id="3368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2401</Characters>
  <Application>Microsoft Office Word</Application>
  <DocSecurity>0</DocSecurity>
  <Lines>20</Lines>
  <Paragraphs>5</Paragraphs>
  <ScaleCrop>false</ScaleCrop>
  <Company>Microsoft</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dc:creator>
  <cp:keywords/>
  <dc:description/>
  <cp:lastModifiedBy>archana</cp:lastModifiedBy>
  <cp:revision>1</cp:revision>
  <dcterms:created xsi:type="dcterms:W3CDTF">2014-07-11T07:19:00Z</dcterms:created>
  <dcterms:modified xsi:type="dcterms:W3CDTF">2014-07-11T07:20:00Z</dcterms:modified>
</cp:coreProperties>
</file>