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1951" w14:textId="77777777" w:rsidR="00E667DC" w:rsidRDefault="00000000">
      <w:pPr>
        <w:jc w:val="center"/>
      </w:pPr>
      <w:r>
        <w:rPr>
          <w:b/>
          <w:color w:val="1F4E79"/>
          <w:sz w:val="32"/>
        </w:rPr>
        <w:t>LITERATURE REVIEW REPORT</w:t>
      </w:r>
    </w:p>
    <w:p w14:paraId="40FCF019" w14:textId="77777777" w:rsidR="00E667DC" w:rsidRDefault="00000000">
      <w:pPr>
        <w:jc w:val="center"/>
      </w:pPr>
      <w:r>
        <w:rPr>
          <w:b/>
          <w:sz w:val="36"/>
        </w:rPr>
        <w:t>Evaluating Hybrid Post-Quantum Cryptography for Enterprise File Transfer Systems:</w:t>
      </w:r>
      <w:r>
        <w:rPr>
          <w:b/>
          <w:sz w:val="36"/>
        </w:rPr>
        <w:br/>
        <w:t>Security, Performance, and Migration Considerations</w:t>
      </w:r>
    </w:p>
    <w:p w14:paraId="4293C759" w14:textId="77777777" w:rsidR="00E667DC" w:rsidRDefault="00000000">
      <w:pPr>
        <w:jc w:val="center"/>
      </w:pPr>
      <w:r>
        <w:t>Unit: MIT653 Research Methods</w:t>
      </w:r>
    </w:p>
    <w:p w14:paraId="2F80DA78" w14:textId="3491D85C" w:rsidR="00E667DC" w:rsidRDefault="00000000">
      <w:pPr>
        <w:jc w:val="center"/>
      </w:pPr>
      <w:r>
        <w:t>Student Name</w:t>
      </w:r>
      <w:proofErr w:type="gramStart"/>
      <w:r>
        <w:t xml:space="preserve">: </w:t>
      </w:r>
      <w:r w:rsidR="00E30B31">
        <w:t xml:space="preserve"> </w:t>
      </w:r>
      <w:r>
        <w:t>Student</w:t>
      </w:r>
      <w:proofErr w:type="gramEnd"/>
      <w:r>
        <w:t xml:space="preserve"> ID</w:t>
      </w:r>
    </w:p>
    <w:p w14:paraId="7D49F3F3" w14:textId="191021AC" w:rsidR="00E667DC" w:rsidRDefault="00000000">
      <w:pPr>
        <w:jc w:val="center"/>
      </w:pPr>
      <w:r>
        <w:t>Submission Date</w:t>
      </w:r>
    </w:p>
    <w:p w14:paraId="1920A0A0" w14:textId="77777777" w:rsidR="00E667DC" w:rsidRDefault="00000000">
      <w:r>
        <w:br w:type="page"/>
      </w:r>
    </w:p>
    <w:p w14:paraId="13BECA9B" w14:textId="7C066E6F" w:rsidR="00E667DC" w:rsidRDefault="00000000">
      <w:pPr>
        <w:pStyle w:val="SectionHeading"/>
      </w:pPr>
      <w:r>
        <w:lastRenderedPageBreak/>
        <w:t>Abstract</w:t>
      </w:r>
    </w:p>
    <w:p w14:paraId="196F63CB" w14:textId="77777777" w:rsidR="00E667DC" w:rsidRDefault="00000000">
      <w:r>
        <w:t>This literature review examines how hybrid classical and post-quantum cryptography may affect the security and performance of enterprise file transfer systems during the transition to quantum-resistant security. The review synthesises foundational TLS research, protocol-level evaluations of post-quantum and hybrid TLS 1.3 and SSH, a data-heavy TLS 1.3 study centred on time-to-last-byte, an enterprise-oriented transition framework, an emerging post-quantum file transfer architecture, and a Banque de France case study on regulatory file transfer protection. Across this literature, four themes dominate: the transitional rationale for hybridisation, the protection of long-lived data against harvest-now, decrypt-later threats, the variable cost of larger handshakes and stronger authentication, and the migration difficulty created by legacy systems, certificate infrastructures, and governance controls. The evidence broadly supports the hypothesis that hybrid classical and post-quantum cryptography improves long-term confidentiality and transitional resilience, but introduces measurable overhead whose scale depends on protocol design, network conditions, workload size, and deployment choices. The clearest research gap is the lack of direct, application-level evaluation of hybrid post-quantum cryptography in real enterprise file transfer systems. Existing studies remain concentrated on TLS or SSH handshakes, data-heavy TLS transfers, governance frameworks, or proof-of-concept architectures, leaving limited evidence on full enterprise transfer behaviour, backward compatibility, and staged migration under realistic conditions.</w:t>
      </w:r>
    </w:p>
    <w:p w14:paraId="3A20DD19" w14:textId="77777777" w:rsidR="001A0875" w:rsidRDefault="001A0875"/>
    <w:p w14:paraId="2D6B12B0" w14:textId="77777777" w:rsidR="001A0875" w:rsidRDefault="001A0875"/>
    <w:p w14:paraId="6CFF4930" w14:textId="77777777" w:rsidR="001A0875" w:rsidRDefault="001A0875"/>
    <w:p w14:paraId="73F71041" w14:textId="77777777" w:rsidR="001A0875" w:rsidRDefault="001A0875"/>
    <w:p w14:paraId="35C70291" w14:textId="77777777" w:rsidR="001A0875" w:rsidRDefault="001A0875"/>
    <w:p w14:paraId="3D740357" w14:textId="77777777" w:rsidR="001A0875" w:rsidRDefault="001A0875"/>
    <w:p w14:paraId="6D45A770" w14:textId="77777777" w:rsidR="001A0875" w:rsidRDefault="001A0875"/>
    <w:p w14:paraId="312A6979" w14:textId="77777777" w:rsidR="001A0875" w:rsidRDefault="001A0875"/>
    <w:p w14:paraId="4AD159B6" w14:textId="77777777" w:rsidR="001A0875" w:rsidRDefault="001A0875"/>
    <w:p w14:paraId="20339B08" w14:textId="77777777" w:rsidR="001A0875" w:rsidRDefault="001A0875"/>
    <w:p w14:paraId="0B7E25E2" w14:textId="77777777" w:rsidR="001A0875" w:rsidRDefault="001A0875"/>
    <w:p w14:paraId="25ED0514" w14:textId="77777777" w:rsidR="001A0875" w:rsidRDefault="001A0875"/>
    <w:p w14:paraId="46D8C1BE" w14:textId="77777777" w:rsidR="001A0875" w:rsidRDefault="001A0875"/>
    <w:p w14:paraId="42A000B2" w14:textId="77777777" w:rsidR="001A0875" w:rsidRDefault="001A0875"/>
    <w:p w14:paraId="454D9C8E" w14:textId="77777777" w:rsidR="001A0875" w:rsidRDefault="001A0875"/>
    <w:p w14:paraId="1F7F378D" w14:textId="77777777" w:rsidR="001A0875" w:rsidRDefault="001A0875"/>
    <w:p w14:paraId="2D44023C" w14:textId="77777777" w:rsidR="001A0875" w:rsidRDefault="001A0875"/>
    <w:p w14:paraId="690423C1" w14:textId="77777777" w:rsidR="001A0875" w:rsidRDefault="001A0875"/>
    <w:p w14:paraId="4DF71430" w14:textId="77777777" w:rsidR="001A0875" w:rsidRDefault="001A0875"/>
    <w:p w14:paraId="61542129" w14:textId="633D75A6" w:rsidR="00E667DC" w:rsidRDefault="00000000">
      <w:pPr>
        <w:pStyle w:val="SectionHeading"/>
      </w:pPr>
      <w:r>
        <w:lastRenderedPageBreak/>
        <w:t xml:space="preserve">Table of </w:t>
      </w:r>
      <w:r w:rsidR="001A0875">
        <w:t>Contents</w:t>
      </w:r>
    </w:p>
    <w:p w14:paraId="6E49160D" w14:textId="28D0B76C" w:rsidR="00E667DC" w:rsidRDefault="001A0875">
      <w:r>
        <w:t>1</w:t>
      </w:r>
      <w:r w:rsidR="00000000">
        <w:t>. Introduction &amp; Background</w:t>
      </w:r>
    </w:p>
    <w:p w14:paraId="04DFD5E1" w14:textId="6EC76BC3" w:rsidR="00E667DC" w:rsidRDefault="001A0875">
      <w:r>
        <w:t>2</w:t>
      </w:r>
      <w:r w:rsidR="00000000">
        <w:t>. Purpose &amp; Aims of the Literature Review</w:t>
      </w:r>
    </w:p>
    <w:p w14:paraId="1A1CD49C" w14:textId="471CB35D" w:rsidR="00E667DC" w:rsidRDefault="001A0875">
      <w:r>
        <w:t>3</w:t>
      </w:r>
      <w:r w:rsidR="00000000">
        <w:t>. Literature Review Process</w:t>
      </w:r>
    </w:p>
    <w:p w14:paraId="5F151D2B" w14:textId="016DCFE7" w:rsidR="00E667DC" w:rsidRDefault="001A0875">
      <w:r>
        <w:t>4</w:t>
      </w:r>
      <w:r w:rsidR="00000000">
        <w:t>. Main Body of the Report</w:t>
      </w:r>
    </w:p>
    <w:p w14:paraId="480CD2D0" w14:textId="23F82162" w:rsidR="00E667DC" w:rsidRDefault="00000000">
      <w:r>
        <w:t xml:space="preserve">   </w:t>
      </w:r>
      <w:r w:rsidR="001A0875">
        <w:t>4</w:t>
      </w:r>
      <w:r>
        <w:t>.1 Foundations and Rationale of Hybrid Post-Quantum Cryptography</w:t>
      </w:r>
    </w:p>
    <w:p w14:paraId="2F004763" w14:textId="14B2509C" w:rsidR="00E667DC" w:rsidRDefault="00000000">
      <w:r>
        <w:t xml:space="preserve">   </w:t>
      </w:r>
      <w:r w:rsidR="001A0875">
        <w:t>4</w:t>
      </w:r>
      <w:r>
        <w:t>.2 Security Implications for Enterprise File Transfer Systems</w:t>
      </w:r>
    </w:p>
    <w:p w14:paraId="38BF61EE" w14:textId="67FA1A2F" w:rsidR="00E667DC" w:rsidRDefault="00000000">
      <w:r>
        <w:t xml:space="preserve">   </w:t>
      </w:r>
      <w:r w:rsidR="001A0875">
        <w:t>4</w:t>
      </w:r>
      <w:r>
        <w:t>.3 Performance, Overhead, and Operational Trade-offs</w:t>
      </w:r>
    </w:p>
    <w:p w14:paraId="211CAD72" w14:textId="14326C63" w:rsidR="00E667DC" w:rsidRDefault="00000000">
      <w:r>
        <w:t xml:space="preserve">   </w:t>
      </w:r>
      <w:r w:rsidR="001A0875">
        <w:t>4</w:t>
      </w:r>
      <w:r>
        <w:t>.4 Migration, Interoperability, and Enterprise Deployment Considerations</w:t>
      </w:r>
    </w:p>
    <w:p w14:paraId="6436BAEA" w14:textId="368A7D69" w:rsidR="00E667DC" w:rsidRDefault="00000000">
      <w:r>
        <w:t xml:space="preserve">   </w:t>
      </w:r>
      <w:r w:rsidR="001A0875">
        <w:t>4</w:t>
      </w:r>
      <w:r>
        <w:t>.5 Critical Evaluation, Trends, and Emerging Issues</w:t>
      </w:r>
    </w:p>
    <w:p w14:paraId="22AD8E4F" w14:textId="06675ED8" w:rsidR="00E667DC" w:rsidRDefault="00000000">
      <w:r>
        <w:t xml:space="preserve">   </w:t>
      </w:r>
      <w:r w:rsidR="001A0875">
        <w:t>4</w:t>
      </w:r>
      <w:r>
        <w:t>.6 Research Gap</w:t>
      </w:r>
    </w:p>
    <w:p w14:paraId="7739245E" w14:textId="24A51097" w:rsidR="00E667DC" w:rsidRDefault="001A0875">
      <w:r>
        <w:t>5</w:t>
      </w:r>
      <w:r w:rsidR="00000000">
        <w:t>. Conclusions</w:t>
      </w:r>
    </w:p>
    <w:p w14:paraId="663528C6" w14:textId="47BF6354" w:rsidR="00E667DC" w:rsidRDefault="001A0875">
      <w:r>
        <w:t>6</w:t>
      </w:r>
      <w:r w:rsidR="00000000">
        <w:t>. References</w:t>
      </w:r>
    </w:p>
    <w:p w14:paraId="225A9F52" w14:textId="77777777" w:rsidR="001A0875" w:rsidRDefault="001A0875"/>
    <w:p w14:paraId="2EAF4F6C" w14:textId="77777777" w:rsidR="001A0875" w:rsidRDefault="001A0875"/>
    <w:p w14:paraId="47FB8CD1" w14:textId="77777777" w:rsidR="001A0875" w:rsidRDefault="001A0875"/>
    <w:p w14:paraId="7A6E32FD" w14:textId="77777777" w:rsidR="00DE1024" w:rsidRDefault="00DE1024"/>
    <w:p w14:paraId="5273E876" w14:textId="77777777" w:rsidR="00DE1024" w:rsidRDefault="00DE1024"/>
    <w:p w14:paraId="638D8EE0" w14:textId="77777777" w:rsidR="00DE1024" w:rsidRDefault="00DE1024"/>
    <w:p w14:paraId="7DBA220B" w14:textId="77777777" w:rsidR="00DE1024" w:rsidRDefault="00DE1024"/>
    <w:p w14:paraId="1D51EA61" w14:textId="77777777" w:rsidR="00DE1024" w:rsidRDefault="00DE1024"/>
    <w:p w14:paraId="15AE5125" w14:textId="77777777" w:rsidR="00DE1024" w:rsidRDefault="00DE1024"/>
    <w:p w14:paraId="4DD17AFB" w14:textId="77777777" w:rsidR="00DE1024" w:rsidRDefault="00DE1024"/>
    <w:p w14:paraId="4163D3AB" w14:textId="77777777" w:rsidR="00DE1024" w:rsidRDefault="00DE1024"/>
    <w:p w14:paraId="275FF6FC" w14:textId="77777777" w:rsidR="00DE1024" w:rsidRDefault="00DE1024"/>
    <w:p w14:paraId="4CCE561E" w14:textId="77777777" w:rsidR="00DE1024" w:rsidRDefault="00DE1024"/>
    <w:p w14:paraId="543BBD58" w14:textId="77777777" w:rsidR="00DE1024" w:rsidRDefault="00DE1024"/>
    <w:p w14:paraId="12EE6F49" w14:textId="77777777" w:rsidR="00DE1024" w:rsidRDefault="00DE1024"/>
    <w:p w14:paraId="2D510D39" w14:textId="77777777" w:rsidR="00DE1024" w:rsidRDefault="00DE1024"/>
    <w:p w14:paraId="38160DEB" w14:textId="77777777" w:rsidR="00DE1024" w:rsidRDefault="00DE1024"/>
    <w:p w14:paraId="20F796EE" w14:textId="77777777" w:rsidR="00DE1024" w:rsidRDefault="00DE1024"/>
    <w:p w14:paraId="43792C68" w14:textId="77777777" w:rsidR="00DE1024" w:rsidRDefault="00DE1024"/>
    <w:p w14:paraId="206A333C" w14:textId="3637780B" w:rsidR="00E667DC" w:rsidRDefault="001A0875">
      <w:pPr>
        <w:pStyle w:val="SectionHeading"/>
      </w:pPr>
      <w:r>
        <w:lastRenderedPageBreak/>
        <w:t>1</w:t>
      </w:r>
      <w:r w:rsidR="00000000">
        <w:t>. Introduction &amp; Background</w:t>
      </w:r>
    </w:p>
    <w:p w14:paraId="253C4F94" w14:textId="14936211" w:rsidR="00E667DC" w:rsidRDefault="00000000">
      <w:r>
        <w:t xml:space="preserve">Post-quantum cryptography has emerged in response to the possibility that future quantum computers may break classical public-key systems such as RSA, ECDH, and ECDSA. The reviewed literature treats this as a practical transition problem rather than a distant theoretical one. Bos et al. showed that post-quantum key exchange based on ring learning with errors could be integrated into TLS while retaining standard RSA or elliptic-curve signatures for authentication, thereby preserving compatibility with existing certificate infrastructure [1]. Kampanakis and Childs-Klein later showed that the overhead of post-quantum TLS should not be judged only at </w:t>
      </w:r>
      <w:r w:rsidR="001A0875">
        <w:t xml:space="preserve">the </w:t>
      </w:r>
      <w:r>
        <w:t>handshake level, because the relative penalty can shrink as secure transfer size increases [2]. Sikeridis et al. then identified TLS 1.3 and SSH as critical early targets because they remain central to secure web delivery, remote administration, and file transfer [3].</w:t>
      </w:r>
    </w:p>
    <w:p w14:paraId="15C59EE2" w14:textId="77777777" w:rsidR="00E667DC" w:rsidRDefault="00000000">
      <w:r>
        <w:t>Hybrid classical and post-quantum cryptography has become important because immediate, organisation-wide replacement of all cryptographic components is unrealistic. Hadd argues that hybrid TLS offers a practical bridge for layered enterprise systems by combining classical and post-quantum primitives so that security holds if either component remains sound [5]. Enterprise file transfer systems are a significant context because they rely on the same secure transport protocols yet impose stronger operational demands, including larger payloads, repeated automated transfers, mixed TLS- and SSH-based workflows, compliance obligations, and long-lived confidentiality requirements. The file transfer architecture of Sola-Thomas and Imtiaz and the Banque de France regulatory transfer experiment both show that post-quantum protection is already being explored beyond generic secure channel studies [6], [7].</w:t>
      </w:r>
    </w:p>
    <w:p w14:paraId="596D0DD4" w14:textId="77777777" w:rsidR="00E667DC" w:rsidRDefault="00000000">
      <w:r>
        <w:t>For this reason, security, performance, and migration must be assessed together. A design that improves confidentiality but causes unacceptable delay may be impractical. A design that performs well but silently downgrades to classical negotiation fails strategically. This review therefore addresses the research question: How does hybrid classical and post-quantum cryptography affect the security and performance of enterprise file transfer systems? The working hypothesis is that hybrid classical and post-quantum cryptography enhances future security in enterprise file transfer systems but introduces moderate performance overhead.</w:t>
      </w:r>
    </w:p>
    <w:p w14:paraId="47B87407" w14:textId="247E7242" w:rsidR="00E667DC" w:rsidRDefault="001A0875">
      <w:pPr>
        <w:pStyle w:val="SectionHeading"/>
      </w:pPr>
      <w:r>
        <w:t>2</w:t>
      </w:r>
      <w:r w:rsidR="00000000">
        <w:t>. Purpose &amp; Aims of the Literature Review</w:t>
      </w:r>
    </w:p>
    <w:p w14:paraId="0A480D9C" w14:textId="77777777" w:rsidR="00E667DC" w:rsidRDefault="00000000">
      <w:r>
        <w:t>The purpose of this literature review is to critically evaluate current research relevant to hybrid post-quantum cryptography in the context of enterprise file transfer systems. The review examines how the literature addresses security implications, performance effects, and migration or deployment considerations, and it assesses how far existing TLS-, SSH-, and file-transfer studies can support conclusions about enterprise transfer environments. A further aim is to identify a precise research gap that follows directly from the reviewed evidence and justifies focused future investigation.</w:t>
      </w:r>
    </w:p>
    <w:p w14:paraId="093EBDB7" w14:textId="614D55D7" w:rsidR="00E667DC" w:rsidRDefault="001A0875">
      <w:pPr>
        <w:pStyle w:val="SectionHeading"/>
      </w:pPr>
      <w:r>
        <w:t>3</w:t>
      </w:r>
      <w:r w:rsidR="00000000">
        <w:t>. Literature Review Process</w:t>
      </w:r>
    </w:p>
    <w:p w14:paraId="4700D71E" w14:textId="77777777" w:rsidR="00E667DC" w:rsidRDefault="00000000">
      <w:r>
        <w:t xml:space="preserve">This review is based only on the research papers and official reports already shared and discussed in this conversation. The source base includes peer-reviewed conference papers, protocol-oriented performance studies, a data-heavy TLS transfer evaluation, a hybrid TLS enterprise transition framework, a post-quantum file transfer architecture paper, official NIST standards referenced in the reviewed studies, and the Banque de France report on post-quantum protection for regulatory file transfers. Priority has been given to recent and relevant literature from roughly the last five to ten years, while retaining one </w:t>
      </w:r>
      <w:r>
        <w:lastRenderedPageBreak/>
        <w:t>foundational TLS study because of its continuing significance to practical post-quantum and hybrid key exchange. The review is thematic, comparative, and critical rather than descriptive.</w:t>
      </w:r>
    </w:p>
    <w:p w14:paraId="0649783D" w14:textId="5D764EFA" w:rsidR="00E667DC" w:rsidRDefault="00E667DC"/>
    <w:p w14:paraId="6376C6B5" w14:textId="1394BF55" w:rsidR="00E667DC" w:rsidRDefault="001A0875">
      <w:pPr>
        <w:pStyle w:val="SectionHeading"/>
      </w:pPr>
      <w:r>
        <w:t>4</w:t>
      </w:r>
      <w:r w:rsidR="00000000">
        <w:t>. Main Body of the Report</w:t>
      </w:r>
    </w:p>
    <w:p w14:paraId="5EB1F275" w14:textId="6A77AABB" w:rsidR="00E667DC" w:rsidRDefault="001A0875">
      <w:pPr>
        <w:pStyle w:val="SubsectionHeading"/>
      </w:pPr>
      <w:r>
        <w:t>4</w:t>
      </w:r>
      <w:r w:rsidR="00000000">
        <w:t>.1 Foundations and Rationale of Hybrid Post-Quantum Cryptography</w:t>
      </w:r>
    </w:p>
    <w:p w14:paraId="6BAF5123" w14:textId="77777777" w:rsidR="00E667DC" w:rsidRDefault="00000000">
      <w:r>
        <w:t>The technical logic of hybrid cryptography rests on transitional uncertainty. Bos et al. demonstrated that post-quantum key exchange could be integrated into TLS while leaving authentication on classical certificates, thereby smoothing the path to adoption [1]. Hadd develops this rationale in enterprise terms by arguing that hybrid cryptography is valuable during transition because it preserves compatibility with existing clients and infrastructure while reducing dependence on a single cryptographic assumption [5].</w:t>
      </w:r>
    </w:p>
    <w:p w14:paraId="3FC8955D" w14:textId="77777777" w:rsidR="00E667DC" w:rsidRDefault="00000000">
      <w:r>
        <w:t>Garcia et al. extend the same principle through a triple-hybrid TLS 1.3 design that combines classical cryptography, post-quantum cryptography, and QKD [4]. Although this model goes beyond the classical-plus-post-quantum scope of the present topic, it reinforces the broader point that migration can be strengthened when security is distributed across multiple mechanisms. Across these studies, three concepts recur: crypto agility, long-term confidentiality, and transitional trust. For enterprise file transfer systems, which often depend on heterogeneous software stacks and layered control points, this rationale is particularly strong.</w:t>
      </w:r>
    </w:p>
    <w:p w14:paraId="0D16EF20" w14:textId="53291CDB" w:rsidR="00E667DC" w:rsidRDefault="001A0875">
      <w:pPr>
        <w:pStyle w:val="SubsectionHeading"/>
      </w:pPr>
      <w:r>
        <w:t>4</w:t>
      </w:r>
      <w:r w:rsidR="00000000">
        <w:t>.2 Security Implications for Enterprise File Transfer Systems</w:t>
      </w:r>
    </w:p>
    <w:p w14:paraId="43E0460A" w14:textId="77777777" w:rsidR="00E667DC" w:rsidRDefault="00000000">
      <w:r>
        <w:t>The strongest security argument in the literature concerns long-term confidentiality. Bos et al. explicitly state that using post-quantum key exchange in TLS today can help ensure that session keys established now remain secure even if powerful quantum computers appear later [1]. This is especially important in enterprise transfer contexts, where archives, financial documents, customer records, legal materials, and internal data exports may remain sensitive for years.</w:t>
      </w:r>
    </w:p>
    <w:p w14:paraId="0DEBB5F1" w14:textId="77777777" w:rsidR="00E667DC" w:rsidRDefault="00000000">
      <w:r>
        <w:t>Hadd treats harvest-now, decrypt-later exposure as the main driver for enterprise migration and highlights active downgrade threats, group mismatch, and middlebox intolerance as practical security issues [5]. These matter directly to enterprise file transfer because transfer services are commonly layered behind gateways, proxies, or storage endpoints where silent fallback may undermine intended protection. Sikeridis et al. show that post-quantum authentication can be integrated into TLS 1.3 and SSH, but also show why it is operationally difficult: large post-quantum signatures and certificate chains impose substantial handshake and bandwidth cost [3].</w:t>
      </w:r>
    </w:p>
    <w:p w14:paraId="26AF9CE5" w14:textId="77777777" w:rsidR="00E667DC" w:rsidRDefault="00000000">
      <w:r>
        <w:t>The Banque de France and Allianz France experiment is significant because it shows that enterprise-style file transfer protection can be improved through a hybrid tunnelling approach without changing core legacy applications, browsers, or IAM components [7]. Sola-Thomas and Imtiaz provide a complementary system-level perspective through a post-quantum file transfer architecture based on Kyber, Dilithium, and auditable transaction logging [6]. Together, these studies support the claim that hybrid and post-quantum approaches can improve future security, but they also show that practical security depends on how key exchange, authentication, downgrade resistance, observability, and infrastructure compatibility are managed together.</w:t>
      </w:r>
    </w:p>
    <w:p w14:paraId="3A22B577" w14:textId="4CA6231A" w:rsidR="00E667DC" w:rsidRDefault="001A0875">
      <w:pPr>
        <w:pStyle w:val="SubsectionHeading"/>
      </w:pPr>
      <w:r>
        <w:lastRenderedPageBreak/>
        <w:t>4</w:t>
      </w:r>
      <w:r w:rsidR="00000000">
        <w:t>.3 Performance, Overhead, and Operational Trade-offs</w:t>
      </w:r>
    </w:p>
    <w:p w14:paraId="60985984" w14:textId="77777777" w:rsidR="00E667DC" w:rsidRDefault="00000000">
      <w:r>
        <w:t>Performance is the most contested area in the literature because overhead is both real and variable. Bos et al. found that R-LWE-based key exchange increased TLS handshake size by about 8 KiB and reduced throughput relative to elliptic-curve Diffie-Hellman, yet still concluded that post-quantum TLS remained practical [1]. Their results are important because they show that once key exchange is measured inside full HTTPS operation rather than as isolated arithmetic, the observed penalty can remain moderate.</w:t>
      </w:r>
    </w:p>
    <w:p w14:paraId="4FAEFB23" w14:textId="77777777" w:rsidR="00E667DC" w:rsidRDefault="00000000">
      <w:r>
        <w:t>Kampanakis and Childs-Klein extend this line of evidence by arguing that handshake-focused measurement alone can overstate the practical cost of post-quantum TLS 1.3 [2]. They evaluate time-to-last-byte rather than only time-to-first-byte and show that the relative slowdown diminishes as transferred data increases. Under stable high-bandwidth conditions, the time-to-last-byte increase stayed below 5 percent, while under stable low-bandwidth conditions the slowdown dropped from about 32 percent at handshake level to under 15 percent once the transfer reached 50 KiB or more; at 200 KiB, the additional slowdown fell below 10 percent in some constrained cases [2]. This is especially relevant to enterprise file transfer because it suggests that larger secure transfers may absorb handshake overhead more effectively than short control-plane transactions.</w:t>
      </w:r>
    </w:p>
    <w:p w14:paraId="06E553EC" w14:textId="77777777" w:rsidR="00E667DC" w:rsidRDefault="00000000">
      <w:r>
        <w:t>Sikeridis et al. present a broader performance picture. Their experiments showed handshake latency increases ranging from 1 to 300 percent for TLS and from 0.5 to 50 percent for SSH, depending on algorithm choice and network conditions [3]. They also found that hybrid key exchange itself may add very little over a PQ-only configuration. In their hybrid TLS example, the additional delay was about 1 ms, while in SSH the additional latency was less than 2 percent over the PQ-only case [3]. This suggests that hybridisation does not necessarily dominate performance cost, although post-quantum signatures and certificate chains can still trigger extra round trips when they exceed the TCP initial congestion window.</w:t>
      </w:r>
    </w:p>
    <w:p w14:paraId="26D12EEC" w14:textId="77777777" w:rsidR="00E667DC" w:rsidRDefault="00000000">
      <w:r>
        <w:t>Garcia et al. show the upper end of the trade-off. Their triple-hybrid TLS 1.3 design increases communication cost by approximately 68 percent over the total time of composite handshakes, with QKD retrieval contributing significantly to the added delay [4]. At application level, Sola-Thomas and Imtiaz report that in-memory post-quantum file encryption performed nearly as fast as AES on large files, while file-based processing remained acceptable though slower [6]. The Banque de France report similarly indicates that no significant performance degradation was observed in its regulatory transfer experiment, although it does not provide the benchmark granularity of the protocol papers [7]. Taken together, the evidence supports the hypothesis conditionally. Hybrid post-quantum cryptography does introduce measurable overhead, but much of the literature suggests that the burden is often moderate rather than severe in well-chosen designs.</w:t>
      </w:r>
    </w:p>
    <w:p w14:paraId="4201D153" w14:textId="62D1FD88" w:rsidR="00E667DC" w:rsidRDefault="001A0875">
      <w:pPr>
        <w:pStyle w:val="SubsectionHeading"/>
      </w:pPr>
      <w:r>
        <w:t>4</w:t>
      </w:r>
      <w:r w:rsidR="00000000">
        <w:t>.4 Migration, Interoperability, and Enterprise Deployment Considerations</w:t>
      </w:r>
    </w:p>
    <w:p w14:paraId="5AC842D4" w14:textId="77777777" w:rsidR="00E667DC" w:rsidRDefault="00000000">
      <w:r>
        <w:t>Migration is where enterprise relevance becomes strongest. Hadd’s framework is especially relevant to enterprise environments because it treats hybrid post-quantum adoption as a managed deployment process rather than a simple algorithm replacement [5]. By focusing on the TLS termination layer, it enables organisations to apply policy and monitoring centrally. Its staged maturity model is particularly useful because it allows strict enforcement for sensitive traffic while permitting controlled, temporary fallback for broader services during migration.</w:t>
      </w:r>
    </w:p>
    <w:p w14:paraId="4FB8AB83" w14:textId="77777777" w:rsidR="00E667DC" w:rsidRDefault="00000000">
      <w:r>
        <w:t xml:space="preserve">Sikeridis et al. reinforce these deployment concerns from a protocol engineering angle by showing that certificate size, initial TCP window, and authentication method materially affect handshake cost [3]. The </w:t>
      </w:r>
      <w:r>
        <w:lastRenderedPageBreak/>
        <w:t>Banque de France and Allianz France experiment is especially valuable because it provides rare production-oriented evidence. Instead of redesigning the OneGate regulatory platform, the project placed a quantum-safe hybrid tunnelling layer around existing communication flows in order to secure weekly file exchanges without changing critical systems [7]. This makes the report stronger than most laboratory-only studies for demonstrating backward compatibility and staged migration feasibility, even though it is weaker on detailed benchmark methodology.</w:t>
      </w:r>
    </w:p>
    <w:p w14:paraId="7A989B06" w14:textId="77777777" w:rsidR="00E667DC" w:rsidRDefault="00000000">
      <w:r>
        <w:t>Garcia et al. highlight another migration constraint. Their QKD-based design is explicitly suited to settings where dedicated optical infrastructure and secure key management are feasible [4]. While valuable for specialised sectors, this reduces its realism for most enterprise file transfer environments. In contrast, Hadd’s hybrid TLS framework and the Banque de France case are more realistic for near-term enterprise adoption because they assume layered enterprise systems and phased operational change rather than specialised quantum infrastructure.</w:t>
      </w:r>
    </w:p>
    <w:p w14:paraId="4B803E99" w14:textId="47B8895E" w:rsidR="00E667DC" w:rsidRDefault="001A0875">
      <w:pPr>
        <w:pStyle w:val="SubsectionHeading"/>
      </w:pPr>
      <w:r>
        <w:t>4</w:t>
      </w:r>
      <w:r w:rsidR="00000000">
        <w:t>.5 Critical Evaluation, Trends, and Emerging Issues</w:t>
      </w:r>
    </w:p>
    <w:p w14:paraId="11EE5285" w14:textId="77777777" w:rsidR="00E667DC" w:rsidRDefault="00000000">
      <w:r>
        <w:t>The literature has several clear strengths. It is implementation-oriented, because Bos et al., Kampanakis and Childs-Klein, Sikeridis et al., and Garcia et al. all provide concrete protocol evidence rather than purely conceptual discussion [1]–[4]. Recent work also recognises that migration is an operational issue involving observability, policy pinning, interoperability planning, and exception management rather than only algorithm selection [5]. The file transfer architecture paper and the Banque de France case study further show that the field is beginning to move beyond generic secure channels toward application-specific and enterprise-oriented designs [6], [7].</w:t>
      </w:r>
    </w:p>
    <w:p w14:paraId="7EE0711C" w14:textId="77777777" w:rsidR="00E667DC" w:rsidRDefault="00000000">
      <w:r>
        <w:t>There are also notable weaknesses. Much of the protocol literature remains handshake-centric, which limits generalisability to enterprise transfer systems where total completion time, repeated transfers, session reuse, and payload size are crucial. TLS is discussed far more extensively than SSH, even though SSH remains central to secure management and file transfer. A further limitation is uneven realism: Hadd’s framework is strong on governance but not a field deployment study, Garcia et al. are strong on hybrid design but specialised due to QKD assumptions, and Sola-Thomas and Imtiaz offer a proof of concept rather than a comparative enterprise evaluation. The Banque de France report adds real-world relevance, but as an institutional experiment report it is less detailed than peer-reviewed protocol benchmarks [7]. The overall result is a fragmented evidence base in which security theory, protocol performance, migration strategy, and application-level design are rarely combined in one study.</w:t>
      </w:r>
    </w:p>
    <w:p w14:paraId="0360333D" w14:textId="37AC1D83" w:rsidR="00E667DC" w:rsidRDefault="001A0875">
      <w:pPr>
        <w:pStyle w:val="SubsectionHeading"/>
      </w:pPr>
      <w:r>
        <w:t>4</w:t>
      </w:r>
      <w:r w:rsidR="00000000">
        <w:t>.6 Research Gap</w:t>
      </w:r>
    </w:p>
    <w:p w14:paraId="1C9A6C93" w14:textId="77777777" w:rsidR="00E667DC" w:rsidRDefault="00000000">
      <w:r>
        <w:t>The reviewed literature covers several things well. It establishes the technical feasibility of post-quantum and hybrid key exchange in TLS, demonstrates protocol-level performance trade-offs in TLS 1.3 and SSH, shows that transfer-level overhead can shrink as data volume increases, outlines governance-oriented enterprise transition models, and includes one useful institutional case study of enterprise-style file transfer protection [1]–[7].</w:t>
      </w:r>
    </w:p>
    <w:p w14:paraId="6B440CD4" w14:textId="77777777" w:rsidR="00E667DC" w:rsidRDefault="00000000">
      <w:r>
        <w:t xml:space="preserve">What it does not cover adequately is the combined, application-level effect of hybrid classical and post-quantum cryptography in real enterprise file transfer systems. More specifically, the literature does not yet provide a direct evaluation of how hybrid cryptography affects end-to-end transfer behaviour, large-payload workflows, repeated or automated transfers, mixed TLS- and SSH-based file transfer stacks, and </w:t>
      </w:r>
      <w:r>
        <w:lastRenderedPageBreak/>
        <w:t>staged enterprise migration under realistic operational constraints. Protocol studies remain too handshake-focused or TLS-focused. Enterprise migration work remains too governance-focused. File-transfer architecture work remains too proof-of-concept-specific. The Banque de France report narrows this gap by showing operational feasibility, but it still does not provide a full end-to-end comparative evaluation.</w:t>
      </w:r>
    </w:p>
    <w:p w14:paraId="2CAD2185" w14:textId="77777777" w:rsidR="00E667DC" w:rsidRDefault="00000000">
      <w:r>
        <w:t>This missing area matters because enterprise file transfer systems are not simply secure handshakes. They are layered operational systems where confidentiality, throughput, completion time, fallback behaviour, certificate management, and deployment complexity interact directly. Accordingly, the precise research gap is this: the current literature lacks a direct, end-to-end evaluation of how hybrid classical and post-quantum cryptography affects the security, performance, and migration readiness of enterprise file transfer systems under realistic enterprise workloads and legacy constraints.</w:t>
      </w:r>
    </w:p>
    <w:p w14:paraId="08EBB294" w14:textId="34446FC9" w:rsidR="00E667DC" w:rsidRDefault="001A0875">
      <w:pPr>
        <w:pStyle w:val="SectionHeading"/>
      </w:pPr>
      <w:r>
        <w:t>5</w:t>
      </w:r>
      <w:r w:rsidR="00000000">
        <w:t>. Conclusions</w:t>
      </w:r>
    </w:p>
    <w:p w14:paraId="552E8146" w14:textId="77777777" w:rsidR="00E667DC" w:rsidRDefault="00000000">
      <w:r>
        <w:t>The literature indicates that hybrid post-quantum cryptography is a credible and increasingly practical transition path for secure enterprise transfer environments. Foundational work demonstrates that post-quantum key exchange can be integrated into TLS while retaining compatibility with existing authentication infrastructure [1]. Later protocol studies show that both TLS 1.3 and SSH can accommodate post-quantum and hybrid mechanisms, although the scale of overhead varies substantially with algorithm choice, signature size, certificate-chain growth, network conditions, and transfer volume [2], [3]. More recent enterprise-oriented work and the Banque de France case show that migration must be staged, policy-driven, observable, and backward compatible if it is to succeed across layered systems [5], [7].</w:t>
      </w:r>
    </w:p>
    <w:p w14:paraId="74224C65" w14:textId="77777777" w:rsidR="00E667DC" w:rsidRDefault="00000000">
      <w:r>
        <w:t>The hypothesis is therefore supported conditionally rather than absolutely. The literature strongly supports the view that hybrid classical and post-quantum cryptography improves long-term security, especially against harvest-now, decrypt-later threats and transitional uncertainty. It also supports the view that the performance overhead is often moderate in practical hybrid deployments, though not always. Overhead can become substantial in specialised or heavyweight designs, particularly when large signatures or triple-hybrid constructions dominate the handshake [3], [4].</w:t>
      </w:r>
    </w:p>
    <w:p w14:paraId="62D9A318" w14:textId="77777777" w:rsidR="00E667DC" w:rsidRDefault="00000000">
      <w:r>
        <w:t>For enterprise file transfer systems, the key unresolved issue is no longer whether hybrid post-quantum cryptography is theoretically useful, but how its security, operational cost, and migration behaviour interact in real transfer systems that move large data, reuse sessions differently, and must coexist with legacy infrastructure. The precise research gap is therefore the lack of direct, end-to-end, application-level evaluation of hybrid post-quantum cryptography in enterprise file transfer systems. That gap justifies further focused research.</w:t>
      </w:r>
    </w:p>
    <w:p w14:paraId="6FF74B6A" w14:textId="77777777" w:rsidR="00DE1024" w:rsidRDefault="00DE1024"/>
    <w:p w14:paraId="2D84A2D5" w14:textId="77777777" w:rsidR="00DE1024" w:rsidRDefault="00DE1024"/>
    <w:p w14:paraId="25068805" w14:textId="77777777" w:rsidR="00DE1024" w:rsidRDefault="00DE1024"/>
    <w:p w14:paraId="4D2AC02C" w14:textId="77777777" w:rsidR="00DE1024" w:rsidRDefault="00DE1024"/>
    <w:p w14:paraId="3BF12AB4" w14:textId="77777777" w:rsidR="00DE1024" w:rsidRDefault="00DE1024"/>
    <w:p w14:paraId="517DE9A9" w14:textId="77777777" w:rsidR="00DE1024" w:rsidRDefault="00DE1024"/>
    <w:p w14:paraId="207FD348" w14:textId="3C397DBB" w:rsidR="001A0875" w:rsidRDefault="001A0875" w:rsidP="001A0875">
      <w:pPr>
        <w:pStyle w:val="SectionHeading"/>
      </w:pPr>
      <w:r>
        <w:lastRenderedPageBreak/>
        <w:t>6</w:t>
      </w:r>
      <w:r>
        <w:t>. References</w:t>
      </w:r>
    </w:p>
    <w:p w14:paraId="5252B8D8" w14:textId="77777777" w:rsidR="00E667DC" w:rsidRPr="001A0875" w:rsidRDefault="00000000" w:rsidP="001A0875">
      <w:r w:rsidRPr="001A0875">
        <w:t>[1] J. W. Bos, C. Costello, M. Naehrig, and D. Stebila, “Post-quantum key exchange for the TLS protocol from the ring learning with errors problem,” IACR ePrint 2014/599, 2014.</w:t>
      </w:r>
    </w:p>
    <w:p w14:paraId="4A8A0A3D" w14:textId="77777777" w:rsidR="00E667DC" w:rsidRDefault="00000000">
      <w:r>
        <w:t>[2] P. Kampanakis and W. Childs-Klein, “The impact of data-heavy, post-quantum TLS 1.3 on the Time-To-Last-Byte of real-world connections,” Cryptology ePrint Archive, Paper 2024/176, 2024.</w:t>
      </w:r>
    </w:p>
    <w:p w14:paraId="2CB7A2D9" w14:textId="77777777" w:rsidR="00E667DC" w:rsidRDefault="00000000">
      <w:r>
        <w:t>[3] D. Sikeridis, P. Kampanakis, and M. Devetsikiotis, “Assessing the overhead of post-quantum cryptography in TLS 1.3 and SSH,” in Proc. 16th Int. Conf. Emerging Networking EXperiments and Technologies (CoNEXT), Barcelona, Spain, 2020, pp. 149–154, doi: 10.1145/3386367.3431305.</w:t>
      </w:r>
    </w:p>
    <w:p w14:paraId="1BEF2CC3" w14:textId="77777777" w:rsidR="00E667DC" w:rsidRDefault="00000000">
      <w:r>
        <w:t>[4] C. R. Garcia, A. C. Aguilera, J. J. Vegas Olmos, I. T. Monroy, and S. Rommel, “Quantum-Resistant TLS 1.3: A Hybrid Solution Combining Classical, Quantum and Post-Quantum Cryptography,” in 2023 IEEE 28th Int. Workshop on Computer Aided Modeling and Design of Communication Links and Networks (CAMAD), 2024, pp. 246–251, doi: 10.1109/CAMAD59638.2023.10478407.</w:t>
      </w:r>
    </w:p>
    <w:p w14:paraId="4194E4B8" w14:textId="77777777" w:rsidR="00E667DC" w:rsidRDefault="00000000">
      <w:r>
        <w:t>[5] W. Hadd, “A Transition Framework for Hybrid TLS in Enterprise-Level Systems,” Cybersecurity Undergraduate Research Showcase, Old Dominion University, 2025.</w:t>
      </w:r>
    </w:p>
    <w:p w14:paraId="0817434F" w14:textId="77777777" w:rsidR="00E667DC" w:rsidRDefault="00000000">
      <w:r>
        <w:t>[6] E. Sola-Thomas and M. H. Imtiaz, “Development of a Quantum-Resistant File Transfer System with Blockchain Audit Trail,” arXiv:2504.07938, 2025.</w:t>
      </w:r>
    </w:p>
    <w:p w14:paraId="7F7DE6B7" w14:textId="77777777" w:rsidR="00E667DC" w:rsidRDefault="00000000">
      <w:r>
        <w:t>[7] Banque de France and Allianz France, “Experiment securing regulatory file transfers with post-quantum cryptography,” institutional report, 2025.</w:t>
      </w:r>
    </w:p>
    <w:p w14:paraId="1C090374" w14:textId="77777777" w:rsidR="00E667DC" w:rsidRDefault="00000000">
      <w:r>
        <w:t>[8] National Institute of Standards and Technology, FIPS 203: Module-Lattice-Based Key-Encapsulation Mechanism Standard, 2024.</w:t>
      </w:r>
    </w:p>
    <w:p w14:paraId="20D62E1E" w14:textId="77777777" w:rsidR="00E667DC" w:rsidRDefault="00000000">
      <w:r>
        <w:t>[9] National Institute of Standards and Technology, FIPS 204: Module-Lattice-Based Digital Signature Standard, 2024.</w:t>
      </w:r>
    </w:p>
    <w:p w14:paraId="53B3F87C" w14:textId="77777777" w:rsidR="00E667DC" w:rsidRDefault="00000000">
      <w:r>
        <w:t>[10] National Institute of Standards and Technology, FIPS 205: Stateless Hash-Based Digital Signature Standard, 2024.</w:t>
      </w:r>
    </w:p>
    <w:p w14:paraId="3A5080BE" w14:textId="77777777" w:rsidR="00E667DC" w:rsidRDefault="00000000">
      <w:r>
        <w:t>[11] Open Quantum Safe Project, liboqs and OpenSSL/OpenSSH integration work, as discussed in the reviewed literature.</w:t>
      </w:r>
    </w:p>
    <w:p w14:paraId="3D67CEBE" w14:textId="77777777" w:rsidR="00E667DC" w:rsidRDefault="00000000">
      <w:r>
        <w:t>[12] Internet Engineering Task Force, TLS hybrid key exchange drafts defining ECDHE + ML-KEM groups, as discussed in the reviewed literature.</w:t>
      </w:r>
    </w:p>
    <w:sectPr w:rsidR="00E667DC" w:rsidSect="00034616">
      <w:pgSz w:w="12240" w:h="15840"/>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053519">
    <w:abstractNumId w:val="8"/>
  </w:num>
  <w:num w:numId="2" w16cid:durableId="1142189682">
    <w:abstractNumId w:val="6"/>
  </w:num>
  <w:num w:numId="3" w16cid:durableId="1270047088">
    <w:abstractNumId w:val="5"/>
  </w:num>
  <w:num w:numId="4" w16cid:durableId="1219853947">
    <w:abstractNumId w:val="4"/>
  </w:num>
  <w:num w:numId="5" w16cid:durableId="1278634416">
    <w:abstractNumId w:val="7"/>
  </w:num>
  <w:num w:numId="6" w16cid:durableId="1732263118">
    <w:abstractNumId w:val="3"/>
  </w:num>
  <w:num w:numId="7" w16cid:durableId="1142580471">
    <w:abstractNumId w:val="2"/>
  </w:num>
  <w:num w:numId="8" w16cid:durableId="1552111055">
    <w:abstractNumId w:val="1"/>
  </w:num>
  <w:num w:numId="9" w16cid:durableId="174510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875"/>
    <w:rsid w:val="0029639D"/>
    <w:rsid w:val="00326F90"/>
    <w:rsid w:val="008D7C49"/>
    <w:rsid w:val="00AA1D8D"/>
    <w:rsid w:val="00B47730"/>
    <w:rsid w:val="00CB0664"/>
    <w:rsid w:val="00DE1024"/>
    <w:rsid w:val="00E30B31"/>
    <w:rsid w:val="00E437E9"/>
    <w:rsid w:val="00E667DC"/>
    <w:rsid w:val="00E75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5E755"/>
  <w14:defaultImageDpi w14:val="300"/>
  <w15:docId w15:val="{1E99C453-F91F-4850-A552-A791A95B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basedOn w:val="Normal"/>
    <w:pPr>
      <w:spacing w:before="200" w:after="80"/>
    </w:pPr>
    <w:rPr>
      <w:b/>
      <w:color w:val="1F4E79"/>
      <w:sz w:val="28"/>
    </w:rPr>
  </w:style>
  <w:style w:type="paragraph" w:customStyle="1" w:styleId="SubsectionHeading">
    <w:name w:val="Subsection Heading"/>
    <w:basedOn w:val="Normal"/>
    <w:pPr>
      <w:spacing w:before="200" w:after="80"/>
    </w:pPr>
    <w:rPr>
      <w:b/>
      <w:color w:val="373737"/>
      <w:sz w:val="24"/>
    </w:rPr>
  </w:style>
  <w:style w:type="paragraph" w:customStyle="1" w:styleId="FigureCaption">
    <w:name w:val="Figure Caption"/>
    <w:basedOn w:val="Normal"/>
    <w:pPr>
      <w:spacing w:before="60" w:after="160"/>
    </w:pPr>
    <w:rPr>
      <w:i/>
      <w:color w:val="46464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3334</Words>
  <Characters>19008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Biraj Khakhura RAI</cp:lastModifiedBy>
  <cp:revision>5</cp:revision>
  <dcterms:created xsi:type="dcterms:W3CDTF">2026-04-10T17:48:00Z</dcterms:created>
  <dcterms:modified xsi:type="dcterms:W3CDTF">2026-04-10T17:49:00Z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eed67cda-910b-45d0-b198-b77528541e09</vt:lpwstr>
  </property>
</Properties>
</file>