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Large Language Models and Applications</w:t>
      </w:r>
    </w:p>
    <w:p>
      <w:pPr>
        <w:jc w:val="center"/>
      </w:pPr>
      <w:r>
        <w:rPr>
          <w:b/>
          <w:color w:val="2F5597"/>
          <w:sz w:val="36"/>
        </w:rPr>
        <w:t>Practical: Annotated Transformer</w:t>
      </w:r>
    </w:p>
    <w:p>
      <w:pPr>
        <w:jc w:val="center"/>
      </w:pPr>
      <w:r>
        <w:t>A guided workbook for understanding the architecture, reading the PyTorch implementation, and experimenting with positional information and training masks.</w:t>
      </w:r>
    </w:p>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pPr>
              <w:spacing w:after="40"/>
            </w:pPr>
            <w:r>
              <w:rPr>
                <w:b/>
                <w:sz w:val="18"/>
              </w:rPr>
              <w:t>At a glance</w:t>
            </w:r>
          </w:p>
        </w:tc>
        <w:tc>
          <w:tcPr>
            <w:tcW w:type="dxa" w:w="4968"/>
            <w:vAlign w:val="center"/>
          </w:tcPr>
          <w:p>
            <w:pPr>
              <w:spacing w:after="40"/>
            </w:pPr>
            <w:r>
              <w:rPr>
                <w:b/>
                <w:sz w:val="18"/>
              </w:rPr>
              <w:t>Details</w:t>
            </w:r>
          </w:p>
        </w:tc>
      </w:tr>
      <w:tr>
        <w:tc>
          <w:tcPr>
            <w:tcW w:type="dxa" w:w="4968"/>
            <w:vAlign w:val="center"/>
          </w:tcPr>
          <w:p>
            <w:pPr>
              <w:spacing w:after="40"/>
            </w:pPr>
            <w:r>
              <w:rPr>
                <w:sz w:val="18"/>
              </w:rPr>
              <w:t>Core material</w:t>
            </w:r>
          </w:p>
        </w:tc>
        <w:tc>
          <w:tcPr>
            <w:tcW w:type="dxa" w:w="4968"/>
            <w:vAlign w:val="center"/>
          </w:tcPr>
          <w:p>
            <w:pPr>
              <w:spacing w:after="40"/>
            </w:pPr>
            <w:r>
              <w:rPr>
                <w:sz w:val="18"/>
              </w:rPr>
              <w:t>The uploaded annotated_transformer.ipynb notebook</w:t>
            </w:r>
          </w:p>
        </w:tc>
      </w:tr>
      <w:tr>
        <w:tc>
          <w:tcPr>
            <w:tcW w:type="dxa" w:w="4968"/>
            <w:vAlign w:val="center"/>
          </w:tcPr>
          <w:p>
            <w:pPr>
              <w:spacing w:after="40"/>
            </w:pPr>
            <w:r>
              <w:rPr>
                <w:sz w:val="18"/>
              </w:rPr>
              <w:t>Approach</w:t>
            </w:r>
          </w:p>
        </w:tc>
        <w:tc>
          <w:tcPr>
            <w:tcW w:type="dxa" w:w="4968"/>
            <w:vAlign w:val="center"/>
          </w:tcPr>
          <w:p>
            <w:pPr>
              <w:spacing w:after="40"/>
            </w:pPr>
            <w:r>
              <w:rPr>
                <w:sz w:val="18"/>
              </w:rPr>
              <w:t>Read → trace tensor flow → run cells → inspect → modify → explain</w:t>
            </w:r>
          </w:p>
        </w:tc>
      </w:tr>
      <w:tr>
        <w:tc>
          <w:tcPr>
            <w:tcW w:type="dxa" w:w="4968"/>
            <w:vAlign w:val="center"/>
          </w:tcPr>
          <w:p>
            <w:pPr>
              <w:spacing w:after="40"/>
            </w:pPr>
            <w:r>
              <w:rPr>
                <w:sz w:val="18"/>
              </w:rPr>
              <w:t>Main topics</w:t>
            </w:r>
          </w:p>
        </w:tc>
        <w:tc>
          <w:tcPr>
            <w:tcW w:type="dxa" w:w="4968"/>
            <w:vAlign w:val="center"/>
          </w:tcPr>
          <w:p>
            <w:pPr>
              <w:spacing w:after="40"/>
            </w:pPr>
            <w:r>
              <w:rPr>
                <w:sz w:val="18"/>
              </w:rPr>
              <w:t>Encoder–decoder architecture, attention, masking, feed-forward networks, positional encoding, batching and training</w:t>
            </w:r>
          </w:p>
        </w:tc>
      </w:tr>
      <w:tr>
        <w:tc>
          <w:tcPr>
            <w:tcW w:type="dxa" w:w="4968"/>
            <w:vAlign w:val="center"/>
          </w:tcPr>
          <w:p>
            <w:pPr>
              <w:spacing w:after="40"/>
            </w:pPr>
            <w:r>
              <w:rPr>
                <w:sz w:val="18"/>
              </w:rPr>
              <w:t>Preparation</w:t>
            </w:r>
          </w:p>
        </w:tc>
        <w:tc>
          <w:tcPr>
            <w:tcW w:type="dxa" w:w="4968"/>
            <w:vAlign w:val="center"/>
          </w:tcPr>
          <w:p>
            <w:pPr>
              <w:spacing w:after="40"/>
            </w:pPr>
            <w:r>
              <w:rPr>
                <w:sz w:val="18"/>
              </w:rPr>
              <w:t>Open the notebook in a compatible Jupyter environment and run cells in order where practical</w:t>
            </w:r>
          </w:p>
        </w:tc>
      </w:tr>
    </w:tbl>
    <w:p>
      <w:pPr>
        <w:pStyle w:val="Heading1"/>
      </w:pPr>
      <w:r>
        <w:t>How to use this guide</w:t>
      </w:r>
    </w:p>
    <w:p>
      <w:r>
        <w:t>This practical note sheet follows the structure of a conventional lab handout: learning outcomes first, then setup, guided tasks, hints, questions, and extension activities. The accompanying notebook remains the primary source for executable code and embedded figures. Work through the relevant notebook sections alongside each task.</w:t>
      </w:r>
    </w:p>
    <w:p>
      <w:r>
        <w:t>Important compatibility note: the notebook includes historical PyTorch-era patterns and an old commented installation command. Do not run that installation command blindly in a modern environment. Use the Python/PyTorch environment specified by your course, and treat version-related errors as a setup issue to discuss with the instructor.</w:t>
      </w:r>
    </w:p>
    <w:p>
      <w:r>
        <w:br w:type="page"/>
      </w:r>
    </w:p>
    <w:p>
      <w:pPr>
        <w:pStyle w:val="Heading1"/>
      </w:pPr>
      <w:r>
        <w:t>Learning outcomes</w:t>
      </w:r>
    </w:p>
    <w:p>
      <w:r>
        <w:t>By the end of this practical, you should be able to:</w:t>
      </w:r>
    </w:p>
    <w:p>
      <w:pPr>
        <w:pStyle w:val="ListBullet"/>
        <w:spacing w:after="40"/>
      </w:pPr>
      <w:r>
        <w:t>Explain the main components of an encoder–decoder Transformer and how data flows through them.</w:t>
      </w:r>
    </w:p>
    <w:p>
      <w:pPr>
        <w:pStyle w:val="ListBullet"/>
        <w:spacing w:after="40"/>
      </w:pPr>
      <w:r>
        <w:t>Trace the purpose of PyTorch module methods such as __init__() and forward().</w:t>
      </w:r>
    </w:p>
    <w:p>
      <w:pPr>
        <w:pStyle w:val="ListBullet"/>
        <w:spacing w:after="40"/>
      </w:pPr>
      <w:r>
        <w:t>Distinguish encoder self-attention, decoder masked self-attention, and encoder–decoder attention.</w:t>
      </w:r>
    </w:p>
    <w:p>
      <w:pPr>
        <w:pStyle w:val="ListBullet"/>
        <w:spacing w:after="40"/>
      </w:pPr>
      <w:r>
        <w:t>Explain why multi-head attention uses multiple learned projections and combines the heads.</w:t>
      </w:r>
    </w:p>
    <w:p>
      <w:pPr>
        <w:pStyle w:val="ListBullet"/>
        <w:spacing w:after="40"/>
      </w:pPr>
      <w:r>
        <w:t>Describe the position-wise feed-forward network, including d_model, d_ff, ReLU and dropout.</w:t>
      </w:r>
    </w:p>
    <w:p>
      <w:pPr>
        <w:pStyle w:val="ListBullet"/>
        <w:spacing w:after="40"/>
      </w:pPr>
      <w:r>
        <w:t>Explain why Transformers need positional information and interpret sinusoidal positional encodings.</w:t>
      </w:r>
    </w:p>
    <w:p>
      <w:pPr>
        <w:pStyle w:val="ListBullet"/>
        <w:spacing w:after="40"/>
      </w:pPr>
      <w:r>
        <w:t>Read source and target masks and explain how padding and future-token masking affect training.</w:t>
      </w:r>
    </w:p>
    <w:p>
      <w:pPr>
        <w:pStyle w:val="ListBullet"/>
        <w:spacing w:after="40"/>
      </w:pPr>
      <w:r>
        <w:t>Modify a small part of the notebook, test the result, and explain what changed.</w:t>
      </w:r>
    </w:p>
    <w:p>
      <w:pPr>
        <w:pStyle w:val="Heading1"/>
      </w:pPr>
      <w:r>
        <w:t>Contents</w:t>
      </w:r>
    </w:p>
    <w:p>
      <w:pPr>
        <w:pStyle w:val="ListBullet"/>
        <w:spacing w:after="40"/>
      </w:pPr>
      <w:r>
        <w:t>1. Environment and working method</w:t>
      </w:r>
    </w:p>
    <w:p>
      <w:pPr>
        <w:pStyle w:val="ListBullet"/>
        <w:spacing w:after="40"/>
      </w:pPr>
      <w:r>
        <w:t>2. Model architecture and tensor flow</w:t>
      </w:r>
    </w:p>
    <w:p>
      <w:pPr>
        <w:pStyle w:val="ListBullet"/>
        <w:spacing w:after="40"/>
      </w:pPr>
      <w:r>
        <w:t>3. Encoder and decoder</w:t>
      </w:r>
    </w:p>
    <w:p>
      <w:pPr>
        <w:pStyle w:val="ListBullet"/>
        <w:spacing w:after="40"/>
      </w:pPr>
      <w:r>
        <w:t>4. Attention and masking</w:t>
      </w:r>
    </w:p>
    <w:p>
      <w:pPr>
        <w:pStyle w:val="ListBullet"/>
        <w:spacing w:after="40"/>
      </w:pPr>
      <w:r>
        <w:t>5. Multi-head attention</w:t>
      </w:r>
    </w:p>
    <w:p>
      <w:pPr>
        <w:pStyle w:val="ListBullet"/>
        <w:spacing w:after="40"/>
      </w:pPr>
      <w:r>
        <w:t>6. Position-wise feed-forward networks and ReLU</w:t>
      </w:r>
    </w:p>
    <w:p>
      <w:pPr>
        <w:pStyle w:val="ListBullet"/>
        <w:spacing w:after="40"/>
      </w:pPr>
      <w:r>
        <w:t>7. Positional encoding</w:t>
      </w:r>
    </w:p>
    <w:p>
      <w:pPr>
        <w:pStyle w:val="ListBullet"/>
        <w:spacing w:after="40"/>
      </w:pPr>
      <w:r>
        <w:t>8. Full model, batches and training</w:t>
      </w:r>
    </w:p>
    <w:p>
      <w:pPr>
        <w:pStyle w:val="ListBullet"/>
        <w:spacing w:after="40"/>
      </w:pPr>
      <w:r>
        <w:t>9. Practical tasks and challenge questions</w:t>
      </w:r>
    </w:p>
    <w:p>
      <w:pPr>
        <w:pStyle w:val="ListBullet"/>
        <w:spacing w:after="40"/>
      </w:pPr>
      <w:r>
        <w:t>10. Submission checklist and references</w:t>
      </w:r>
    </w:p>
    <w:p>
      <w:pPr>
        <w:pStyle w:val="Heading1"/>
      </w:pPr>
      <w:r>
        <w:t>1. Environment and working method</w:t>
      </w:r>
    </w:p>
    <w:p>
      <w:r>
        <w:t>The notebook imports NumPy, PyTorch, Matplotlib and Seaborn, and uses the standard PyTorch nn.Module pattern. Some notebook cells may depend on older API conventions; focus first on understanding the architecture, then resolve environment-specific issues with your instructor.</w:t>
      </w:r>
    </w:p>
    <w:p>
      <w:pPr>
        <w:spacing w:before="60" w:after="140"/>
        <w:ind w:left="259" w:right="173"/>
        <w:shd w:fill="F2F4F7"/>
      </w:pPr>
      <w:r>
        <w:rPr>
          <w:rFonts w:ascii="Consolas" w:hAnsi="Consolas"/>
          <w:sz w:val="16"/>
        </w:rPr>
        <w:t>import numpy as np</w:t>
        <w:br/>
        <w:t>import torch</w:t>
        <w:br/>
        <w:t>import torch.nn as nn</w:t>
        <w:br/>
        <w:t>import torch.nn.functional as F</w:t>
        <w:br/>
        <w:t>import math, copy, time</w:t>
        <w:br/>
        <w:t>import matplotlib.pyplot as plt</w:t>
      </w:r>
    </w:p>
    <w:p>
      <w:pPr>
        <w:pStyle w:val="Heading2"/>
      </w:pPr>
      <w:r>
        <w:t>Task 1 — Establish a working session</w:t>
      </w:r>
    </w:p>
    <w:p>
      <w:pPr>
        <w:pStyle w:val="ListNumber"/>
        <w:spacing w:after="40"/>
      </w:pPr>
      <w:r>
        <w:t>Open annotated_transformer.ipynb in Jupyter or the environment provided for the course.</w:t>
      </w:r>
    </w:p>
    <w:p>
      <w:pPr>
        <w:pStyle w:val="ListNumber"/>
        <w:spacing w:after="40"/>
      </w:pPr>
      <w:r>
        <w:t>Read the notebook from the beginning and run the import/setup cells.</w:t>
      </w:r>
    </w:p>
    <w:p>
      <w:pPr>
        <w:pStyle w:val="ListNumber"/>
        <w:spacing w:after="40"/>
      </w:pPr>
      <w:r>
        <w:t>Record the Python and PyTorch versions in use.</w:t>
      </w:r>
    </w:p>
    <w:p>
      <w:pPr>
        <w:pStyle w:val="ListNumber"/>
        <w:spacing w:after="40"/>
      </w:pPr>
      <w:r>
        <w:t>If a cell fails, capture the full error message and identify whether it is an installation/API issue or a conceptual/code issue.</w:t>
      </w:r>
    </w:p>
    <w:p>
      <w:pPr>
        <w:pStyle w:val="ListNumber"/>
        <w:spacing w:after="40"/>
      </w:pPr>
      <w:r>
        <w:t>Save a copy before making changes.</w:t>
      </w:r>
    </w:p>
    <w:p>
      <w:pPr>
        <w:pStyle w:val="Heading3"/>
      </w:pPr>
      <w:r>
        <w:t>Notebook habit</w:t>
      </w:r>
    </w:p>
    <w:p>
      <w:r>
        <w:t>Run cells in order where state is shared. If you restart the kernel, rerun prerequisite cells. After changing a class or function, rerun its definition and the cells that use it.</w:t>
      </w:r>
    </w:p>
    <w:p>
      <w:pPr>
        <w:pStyle w:val="Heading1"/>
      </w:pPr>
      <w:r>
        <w:t>2. Model architecture and tensor flow</w:t>
      </w:r>
    </w:p>
    <w:p>
      <w:r>
        <w:t>The Transformer uses an encoder–decoder structure. The encoder turns an input sequence into contextual continuous representations. The decoder uses those representations together with the output tokens generated so far to produce the next output token.</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pPr>
              <w:spacing w:after="40"/>
            </w:pPr>
            <w:r>
              <w:rPr>
                <w:b/>
                <w:sz w:val="18"/>
              </w:rPr>
              <w:t>Component</w:t>
            </w:r>
          </w:p>
        </w:tc>
        <w:tc>
          <w:tcPr>
            <w:tcW w:type="dxa" w:w="4968"/>
            <w:vAlign w:val="center"/>
          </w:tcPr>
          <w:p>
            <w:pPr>
              <w:spacing w:after="40"/>
            </w:pPr>
            <w:r>
              <w:rPr>
                <w:b/>
                <w:sz w:val="18"/>
              </w:rPr>
              <w:t>Role in the model</w:t>
            </w:r>
          </w:p>
        </w:tc>
      </w:tr>
      <w:tr>
        <w:tc>
          <w:tcPr>
            <w:tcW w:type="dxa" w:w="4968"/>
            <w:vAlign w:val="center"/>
          </w:tcPr>
          <w:p>
            <w:pPr>
              <w:spacing w:after="40"/>
            </w:pPr>
            <w:r>
              <w:rPr>
                <w:sz w:val="18"/>
              </w:rPr>
              <w:t>Input embedding</w:t>
            </w:r>
          </w:p>
        </w:tc>
        <w:tc>
          <w:tcPr>
            <w:tcW w:type="dxa" w:w="4968"/>
            <w:vAlign w:val="center"/>
          </w:tcPr>
          <w:p>
            <w:pPr>
              <w:spacing w:after="40"/>
            </w:pPr>
            <w:r>
              <w:rPr>
                <w:sz w:val="18"/>
              </w:rPr>
              <w:t>Maps token IDs to vectors.</w:t>
            </w:r>
          </w:p>
        </w:tc>
      </w:tr>
      <w:tr>
        <w:tc>
          <w:tcPr>
            <w:tcW w:type="dxa" w:w="4968"/>
            <w:vAlign w:val="center"/>
          </w:tcPr>
          <w:p>
            <w:pPr>
              <w:spacing w:after="40"/>
            </w:pPr>
            <w:r>
              <w:rPr>
                <w:sz w:val="18"/>
              </w:rPr>
              <w:t>Positional encoding</w:t>
            </w:r>
          </w:p>
        </w:tc>
        <w:tc>
          <w:tcPr>
            <w:tcW w:type="dxa" w:w="4968"/>
            <w:vAlign w:val="center"/>
          </w:tcPr>
          <w:p>
            <w:pPr>
              <w:spacing w:after="40"/>
            </w:pPr>
            <w:r>
              <w:rPr>
                <w:sz w:val="18"/>
              </w:rPr>
              <w:t>Adds information about token position to embeddings.</w:t>
            </w:r>
          </w:p>
        </w:tc>
      </w:tr>
      <w:tr>
        <w:tc>
          <w:tcPr>
            <w:tcW w:type="dxa" w:w="4968"/>
            <w:vAlign w:val="center"/>
          </w:tcPr>
          <w:p>
            <w:pPr>
              <w:spacing w:after="40"/>
            </w:pPr>
            <w:r>
              <w:rPr>
                <w:sz w:val="18"/>
              </w:rPr>
              <w:t>Encoder stack</w:t>
            </w:r>
          </w:p>
        </w:tc>
        <w:tc>
          <w:tcPr>
            <w:tcW w:type="dxa" w:w="4968"/>
            <w:vAlign w:val="center"/>
          </w:tcPr>
          <w:p>
            <w:pPr>
              <w:spacing w:after="40"/>
            </w:pPr>
            <w:r>
              <w:rPr>
                <w:sz w:val="18"/>
              </w:rPr>
              <w:t>Builds contextual representations of the input sequence.</w:t>
            </w:r>
          </w:p>
        </w:tc>
      </w:tr>
      <w:tr>
        <w:tc>
          <w:tcPr>
            <w:tcW w:type="dxa" w:w="4968"/>
            <w:vAlign w:val="center"/>
          </w:tcPr>
          <w:p>
            <w:pPr>
              <w:spacing w:after="40"/>
            </w:pPr>
            <w:r>
              <w:rPr>
                <w:sz w:val="18"/>
              </w:rPr>
              <w:t>Decoder stack</w:t>
            </w:r>
          </w:p>
        </w:tc>
        <w:tc>
          <w:tcPr>
            <w:tcW w:type="dxa" w:w="4968"/>
            <w:vAlign w:val="center"/>
          </w:tcPr>
          <w:p>
            <w:pPr>
              <w:spacing w:after="40"/>
            </w:pPr>
            <w:r>
              <w:rPr>
                <w:sz w:val="18"/>
              </w:rPr>
              <w:t>Uses earlier output tokens and encoder representations to prepare output representations.</w:t>
            </w:r>
          </w:p>
        </w:tc>
      </w:tr>
      <w:tr>
        <w:tc>
          <w:tcPr>
            <w:tcW w:type="dxa" w:w="4968"/>
            <w:vAlign w:val="center"/>
          </w:tcPr>
          <w:p>
            <w:pPr>
              <w:spacing w:after="40"/>
            </w:pPr>
            <w:r>
              <w:rPr>
                <w:sz w:val="18"/>
              </w:rPr>
              <w:t>Generator</w:t>
            </w:r>
          </w:p>
        </w:tc>
        <w:tc>
          <w:tcPr>
            <w:tcW w:type="dxa" w:w="4968"/>
            <w:vAlign w:val="center"/>
          </w:tcPr>
          <w:p>
            <w:pPr>
              <w:spacing w:after="40"/>
            </w:pPr>
            <w:r>
              <w:rPr>
                <w:sz w:val="18"/>
              </w:rPr>
              <w:t>Projects decoder representations to vocabulary scores, typically followed by softmax to obtain a distribution.</w:t>
            </w:r>
          </w:p>
        </w:tc>
      </w:tr>
    </w:tbl>
    <w:p>
      <w:pPr>
        <w:pStyle w:val="Heading2"/>
      </w:pPr>
      <w:r>
        <w:t>Task 2 — Trace the model</w:t>
      </w:r>
    </w:p>
    <w:p>
      <w:pPr>
        <w:pStyle w:val="ListNumber"/>
        <w:spacing w:after="40"/>
      </w:pPr>
      <w:r>
        <w:t>Find the EncoderDecoder class in the notebook.</w:t>
      </w:r>
    </w:p>
    <w:p>
      <w:pPr>
        <w:pStyle w:val="ListNumber"/>
        <w:spacing w:after="40"/>
      </w:pPr>
      <w:r>
        <w:t>Identify the encoder, decoder, source embedding, target embedding and generator members.</w:t>
      </w:r>
    </w:p>
    <w:p>
      <w:pPr>
        <w:pStyle w:val="ListNumber"/>
        <w:spacing w:after="40"/>
      </w:pPr>
      <w:r>
        <w:t>Trace the path taken by the source input from embedding and positional encoding through the encoder.</w:t>
      </w:r>
    </w:p>
    <w:p>
      <w:pPr>
        <w:pStyle w:val="ListNumber"/>
        <w:spacing w:after="40"/>
      </w:pPr>
      <w:r>
        <w:t>Trace the target path through the decoder and generator.</w:t>
      </w:r>
    </w:p>
    <w:p>
      <w:pPr>
        <w:pStyle w:val="ListNumber"/>
        <w:spacing w:after="40"/>
      </w:pPr>
      <w:r>
        <w:t>Explain what information the decoder receives from the encoder.</w:t>
      </w:r>
    </w:p>
    <w:p>
      <w:pPr>
        <w:pStyle w:val="Heading3"/>
      </w:pPr>
      <w:r>
        <w:t>Questions to answer</w:t>
      </w:r>
    </w:p>
    <w:p>
      <w:pPr>
        <w:pStyle w:val="ListBullet"/>
        <w:spacing w:after="40"/>
      </w:pPr>
      <w:r>
        <w:t>What does the encoder return, and why is it a sequence rather than one single vector?</w:t>
      </w:r>
    </w:p>
    <w:p>
      <w:pPr>
        <w:pStyle w:val="ListBullet"/>
        <w:spacing w:after="40"/>
      </w:pPr>
      <w:r>
        <w:t>What is the generator responsible for?</w:t>
      </w:r>
    </w:p>
    <w:p>
      <w:pPr>
        <w:pStyle w:val="ListBullet"/>
        <w:spacing w:after="40"/>
      </w:pPr>
      <w:r>
        <w:t>Why must the decoder use both previous output tokens and the encoded input in a sequence-to-sequence task?</w:t>
      </w:r>
    </w:p>
    <w:p>
      <w:pPr>
        <w:pStyle w:val="Heading1"/>
      </w:pPr>
      <w:r>
        <w:t>3. Encoder and decoder</w:t>
      </w:r>
    </w:p>
    <w:p>
      <w:r>
        <w:t>The encoder builds representations using self-attention and position-wise feed-forward processing. In encoder self-attention, queries, keys and values are derived from the same sequence representation. Each token can use information from other unmasked input tokens.</w:t>
      </w:r>
    </w:p>
    <w:p>
      <w:r>
        <w:t>The decoder has two attention roles: masked self-attention over the output prefix, and encoder–decoder attention that lets the decoder attend to the encoder's output. The causal mask prevents the decoder from using future target tokens during training.</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pPr>
              <w:spacing w:after="40"/>
            </w:pPr>
            <w:r>
              <w:rPr>
                <w:b/>
                <w:sz w:val="18"/>
              </w:rPr>
              <w:t>Mechanism</w:t>
            </w:r>
          </w:p>
        </w:tc>
        <w:tc>
          <w:tcPr>
            <w:tcW w:type="dxa" w:w="2484"/>
            <w:vAlign w:val="center"/>
          </w:tcPr>
          <w:p>
            <w:pPr>
              <w:spacing w:after="40"/>
            </w:pPr>
            <w:r>
              <w:rPr>
                <w:b/>
                <w:sz w:val="18"/>
              </w:rPr>
              <w:t>Queries</w:t>
            </w:r>
          </w:p>
        </w:tc>
        <w:tc>
          <w:tcPr>
            <w:tcW w:type="dxa" w:w="2484"/>
            <w:vAlign w:val="center"/>
          </w:tcPr>
          <w:p>
            <w:pPr>
              <w:spacing w:after="40"/>
            </w:pPr>
            <w:r>
              <w:rPr>
                <w:b/>
                <w:sz w:val="18"/>
              </w:rPr>
              <w:t>Keys and values</w:t>
            </w:r>
          </w:p>
        </w:tc>
        <w:tc>
          <w:tcPr>
            <w:tcW w:type="dxa" w:w="2484"/>
            <w:vAlign w:val="center"/>
          </w:tcPr>
          <w:p>
            <w:pPr>
              <w:spacing w:after="40"/>
            </w:pPr>
            <w:r>
              <w:rPr>
                <w:b/>
                <w:sz w:val="18"/>
              </w:rPr>
              <w:t>Purpose</w:t>
            </w:r>
          </w:p>
        </w:tc>
      </w:tr>
      <w:tr>
        <w:tc>
          <w:tcPr>
            <w:tcW w:type="dxa" w:w="2484"/>
            <w:vAlign w:val="center"/>
          </w:tcPr>
          <w:p>
            <w:pPr>
              <w:spacing w:after="40"/>
            </w:pPr>
            <w:r>
              <w:rPr>
                <w:sz w:val="18"/>
              </w:rPr>
              <w:t>Encoder self-attention</w:t>
            </w:r>
          </w:p>
        </w:tc>
        <w:tc>
          <w:tcPr>
            <w:tcW w:type="dxa" w:w="2484"/>
            <w:vAlign w:val="center"/>
          </w:tcPr>
          <w:p>
            <w:pPr>
              <w:spacing w:after="40"/>
            </w:pPr>
            <w:r>
              <w:rPr>
                <w:sz w:val="18"/>
              </w:rPr>
              <w:t>Encoder sequence</w:t>
            </w:r>
          </w:p>
        </w:tc>
        <w:tc>
          <w:tcPr>
            <w:tcW w:type="dxa" w:w="2484"/>
            <w:vAlign w:val="center"/>
          </w:tcPr>
          <w:p>
            <w:pPr>
              <w:spacing w:after="40"/>
            </w:pPr>
            <w:r>
              <w:rPr>
                <w:sz w:val="18"/>
              </w:rPr>
              <w:t>Encoder sequence</w:t>
            </w:r>
          </w:p>
        </w:tc>
        <w:tc>
          <w:tcPr>
            <w:tcW w:type="dxa" w:w="2484"/>
            <w:vAlign w:val="center"/>
          </w:tcPr>
          <w:p>
            <w:pPr>
              <w:spacing w:after="40"/>
            </w:pPr>
            <w:r>
              <w:rPr>
                <w:sz w:val="18"/>
              </w:rPr>
              <w:t>Contextualise input tokens.</w:t>
            </w:r>
          </w:p>
        </w:tc>
      </w:tr>
      <w:tr>
        <w:tc>
          <w:tcPr>
            <w:tcW w:type="dxa" w:w="2484"/>
            <w:vAlign w:val="center"/>
          </w:tcPr>
          <w:p>
            <w:pPr>
              <w:spacing w:after="40"/>
            </w:pPr>
            <w:r>
              <w:rPr>
                <w:sz w:val="18"/>
              </w:rPr>
              <w:t>Decoder masked self-attention</w:t>
            </w:r>
          </w:p>
        </w:tc>
        <w:tc>
          <w:tcPr>
            <w:tcW w:type="dxa" w:w="2484"/>
            <w:vAlign w:val="center"/>
          </w:tcPr>
          <w:p>
            <w:pPr>
              <w:spacing w:after="40"/>
            </w:pPr>
            <w:r>
              <w:rPr>
                <w:sz w:val="18"/>
              </w:rPr>
              <w:t>Decoder sequence</w:t>
            </w:r>
          </w:p>
        </w:tc>
        <w:tc>
          <w:tcPr>
            <w:tcW w:type="dxa" w:w="2484"/>
            <w:vAlign w:val="center"/>
          </w:tcPr>
          <w:p>
            <w:pPr>
              <w:spacing w:after="40"/>
            </w:pPr>
            <w:r>
              <w:rPr>
                <w:sz w:val="18"/>
              </w:rPr>
              <w:t>Decoder sequence</w:t>
            </w:r>
          </w:p>
        </w:tc>
        <w:tc>
          <w:tcPr>
            <w:tcW w:type="dxa" w:w="2484"/>
            <w:vAlign w:val="center"/>
          </w:tcPr>
          <w:p>
            <w:pPr>
              <w:spacing w:after="40"/>
            </w:pPr>
            <w:r>
              <w:rPr>
                <w:sz w:val="18"/>
              </w:rPr>
              <w:t>Use earlier output tokens while blocking future positions.</w:t>
            </w:r>
          </w:p>
        </w:tc>
      </w:tr>
      <w:tr>
        <w:tc>
          <w:tcPr>
            <w:tcW w:type="dxa" w:w="2484"/>
            <w:vAlign w:val="center"/>
          </w:tcPr>
          <w:p>
            <w:pPr>
              <w:spacing w:after="40"/>
            </w:pPr>
            <w:r>
              <w:rPr>
                <w:sz w:val="18"/>
              </w:rPr>
              <w:t>Encoder–decoder attention</w:t>
            </w:r>
          </w:p>
        </w:tc>
        <w:tc>
          <w:tcPr>
            <w:tcW w:type="dxa" w:w="2484"/>
            <w:vAlign w:val="center"/>
          </w:tcPr>
          <w:p>
            <w:pPr>
              <w:spacing w:after="40"/>
            </w:pPr>
            <w:r>
              <w:rPr>
                <w:sz w:val="18"/>
              </w:rPr>
              <w:t>Decoder sequence</w:t>
            </w:r>
          </w:p>
        </w:tc>
        <w:tc>
          <w:tcPr>
            <w:tcW w:type="dxa" w:w="2484"/>
            <w:vAlign w:val="center"/>
          </w:tcPr>
          <w:p>
            <w:pPr>
              <w:spacing w:after="40"/>
            </w:pPr>
            <w:r>
              <w:rPr>
                <w:sz w:val="18"/>
              </w:rPr>
              <w:t>Encoder output</w:t>
            </w:r>
          </w:p>
        </w:tc>
        <w:tc>
          <w:tcPr>
            <w:tcW w:type="dxa" w:w="2484"/>
            <w:vAlign w:val="center"/>
          </w:tcPr>
          <w:p>
            <w:pPr>
              <w:spacing w:after="40"/>
            </w:pPr>
            <w:r>
              <w:rPr>
                <w:sz w:val="18"/>
              </w:rPr>
              <w:t>Condition output generation on the input.</w:t>
            </w:r>
          </w:p>
        </w:tc>
      </w:tr>
    </w:tbl>
    <w:p>
      <w:pPr>
        <w:pStyle w:val="Heading2"/>
      </w:pPr>
      <w:r>
        <w:t>Task 3 — Compare the two stacks</w:t>
      </w:r>
    </w:p>
    <w:p>
      <w:pPr>
        <w:pStyle w:val="ListNumber"/>
        <w:spacing w:after="40"/>
      </w:pPr>
      <w:r>
        <w:t>Locate the notebook sections defining the encoder and decoder.</w:t>
      </w:r>
    </w:p>
    <w:p>
      <w:pPr>
        <w:pStyle w:val="ListNumber"/>
        <w:spacing w:after="40"/>
      </w:pPr>
      <w:r>
        <w:t>Sketch the main sub-layers in each stack.</w:t>
      </w:r>
    </w:p>
    <w:p>
      <w:pPr>
        <w:pStyle w:val="ListNumber"/>
        <w:spacing w:after="40"/>
      </w:pPr>
      <w:r>
        <w:t>Mark where residual connections, normalisation, dropout or feed-forward layers appear in the implementation.</w:t>
      </w:r>
    </w:p>
    <w:p>
      <w:pPr>
        <w:pStyle w:val="ListNumber"/>
        <w:spacing w:after="40"/>
      </w:pPr>
      <w:r>
        <w:t>Explain why the decoder has an additional attention connection to the encoder output.</w:t>
      </w:r>
    </w:p>
    <w:p>
      <w:pPr>
        <w:pStyle w:val="Heading1"/>
      </w:pPr>
      <w:r>
        <w:t>4. Attention and masking</w:t>
      </w:r>
    </w:p>
    <w:p>
      <w:r>
        <w:t>Attention compares a query with keys to calculate weights, then uses those weights to combine values. The mask restricts which positions can contribute. The notebook includes a subsequent_mask helper for blocking positions to the right of the current target position.</w:t>
      </w:r>
    </w:p>
    <w:p>
      <w:pPr>
        <w:pStyle w:val="Heading2"/>
      </w:pPr>
      <w:r>
        <w:t>Task 4 — Inspect the causal mask</w:t>
      </w:r>
    </w:p>
    <w:p>
      <w:pPr>
        <w:pStyle w:val="ListNumber"/>
        <w:spacing w:after="40"/>
      </w:pPr>
      <w:r>
        <w:t>Find the subsequent_mask function and inspect its output for a short sequence length (for example, 4).</w:t>
      </w:r>
    </w:p>
    <w:p>
      <w:pPr>
        <w:pStyle w:val="ListNumber"/>
        <w:spacing w:after="40"/>
      </w:pPr>
      <w:r>
        <w:t>Write down which target positions can attend to which earlier positions.</w:t>
      </w:r>
    </w:p>
    <w:p>
      <w:pPr>
        <w:pStyle w:val="ListNumber"/>
        <w:spacing w:after="40"/>
      </w:pPr>
      <w:r>
        <w:t>Explain why the diagonal is available but positions in the future are blocked.</w:t>
      </w:r>
    </w:p>
    <w:p>
      <w:pPr>
        <w:pStyle w:val="ListNumber"/>
        <w:spacing w:after="40"/>
      </w:pPr>
      <w:r>
        <w:t>Find the cell demonstrating the impact of masking on the softmax distribution, and describe what changes when a position is masked.</w:t>
      </w:r>
    </w:p>
    <w:p>
      <w:pPr>
        <w:spacing w:before="60" w:after="140"/>
        <w:ind w:left="259" w:right="173"/>
        <w:shd w:fill="F2F4F7"/>
      </w:pPr>
      <w:r>
        <w:rPr>
          <w:rFonts w:ascii="Consolas" w:hAnsi="Consolas"/>
          <w:sz w:val="16"/>
        </w:rPr>
        <w:t># Conceptual pattern: a causal mask allows current and earlier positions,</w:t>
        <w:br/>
        <w:t># but blocks future positions. Inspect the notebook's implementation</w:t>
        <w:br/>
        <w:t># for the exact tensor type and convention used.</w:t>
      </w:r>
    </w:p>
    <w:p>
      <w:pPr>
        <w:pStyle w:val="Heading3"/>
      </w:pPr>
      <w:r>
        <w:t>Check your understanding</w:t>
      </w:r>
    </w:p>
    <w:p>
      <w:r>
        <w:t>If the decoder could attend to the correct next token during training, what information leak would occur? How could that produce an unrealistically easy training signal?</w:t>
      </w:r>
    </w:p>
    <w:p>
      <w:pPr>
        <w:pStyle w:val="Heading1"/>
      </w:pPr>
      <w:r>
        <w:t>5. Multi-head attention</w:t>
      </w:r>
    </w:p>
    <w:p>
      <w:r>
        <w:t>Multi-head attention applies attention in multiple learned representation subspaces. Each head uses learned projections for queries, keys and values. The head outputs are concatenated and passed through a final projection. In the original Transformer configuration discussed in the notebook, d_model = 512 and the number of heads is commonly 8, giving each head a smaller feature dimension.</w:t>
      </w:r>
    </w:p>
    <w:p>
      <w:pPr>
        <w:pStyle w:val="Heading2"/>
      </w:pPr>
      <w:r>
        <w:t>Task 5 — Follow the multi-head computation</w:t>
      </w:r>
    </w:p>
    <w:p>
      <w:pPr>
        <w:pStyle w:val="ListNumber"/>
        <w:spacing w:after="40"/>
      </w:pPr>
      <w:r>
        <w:t>Find the multi-head attention implementation.</w:t>
      </w:r>
    </w:p>
    <w:p>
      <w:pPr>
        <w:pStyle w:val="ListNumber"/>
        <w:spacing w:after="40"/>
      </w:pPr>
      <w:r>
        <w:t>Identify the projections used to create queries, keys and values.</w:t>
      </w:r>
    </w:p>
    <w:p>
      <w:pPr>
        <w:pStyle w:val="ListNumber"/>
        <w:spacing w:after="40"/>
      </w:pPr>
      <w:r>
        <w:t>Locate where tensors are reshaped or split into heads.</w:t>
      </w:r>
    </w:p>
    <w:p>
      <w:pPr>
        <w:pStyle w:val="ListNumber"/>
        <w:spacing w:after="40"/>
      </w:pPr>
      <w:r>
        <w:t>Find where head outputs are concatenated and passed through the final projection.</w:t>
      </w:r>
    </w:p>
    <w:p>
      <w:pPr>
        <w:pStyle w:val="ListNumber"/>
        <w:spacing w:after="40"/>
      </w:pPr>
      <w:r>
        <w:t>Explain why the model does not simply use one attention operation with the full representation dimension.</w:t>
      </w:r>
    </w:p>
    <w:p>
      <w:pPr>
        <w:pStyle w:val="Heading3"/>
      </w:pPr>
      <w:r>
        <w:t>Questions</w:t>
      </w:r>
    </w:p>
    <w:p>
      <w:pPr>
        <w:pStyle w:val="ListBullet"/>
        <w:spacing w:after="40"/>
      </w:pPr>
      <w:r>
        <w:t>What is learned separately for each attention head?</w:t>
      </w:r>
    </w:p>
    <w:p>
      <w:pPr>
        <w:pStyle w:val="ListBullet"/>
        <w:spacing w:after="40"/>
      </w:pPr>
      <w:r>
        <w:t>What does concatenation restore before the final projection?</w:t>
      </w:r>
    </w:p>
    <w:p>
      <w:pPr>
        <w:pStyle w:val="ListBullet"/>
        <w:spacing w:after="40"/>
      </w:pPr>
      <w:r>
        <w:t>What trade-off is created by using more heads while keeping d_model fixed?</w:t>
      </w:r>
    </w:p>
    <w:p>
      <w:pPr>
        <w:pStyle w:val="Heading1"/>
      </w:pPr>
      <w:r>
        <w:t>6. Position-wise feed-forward networks and ReLU</w:t>
      </w:r>
    </w:p>
    <w:p>
      <w:r>
        <w:t>Each encoder and decoder layer also contains a position-wise feed-forward network (FFN). The same FFN parameters are applied independently at every token position within that layer. The original Transformer configuration uses d_model = 512 and d_ff = 2048 as illustrative values.</w:t>
      </w:r>
    </w:p>
    <w:p>
      <w:pPr>
        <w:spacing w:before="60" w:after="140"/>
        <w:ind w:left="259" w:right="173"/>
        <w:shd w:fill="F2F4F7"/>
      </w:pPr>
      <w:r>
        <w:rPr>
          <w:rFonts w:ascii="Consolas" w:hAnsi="Consolas"/>
          <w:sz w:val="16"/>
        </w:rPr>
        <w:t>FFN(x) = max(0, x W1 + b1) W2 + b2</w:t>
      </w:r>
    </w:p>
    <w:p>
      <w:r>
        <w:t>The first linear layer expands the representation from d_model to d_ff, ReLU introduces non-linearity, and the second linear layer maps the representation back to d_model. Dropout may be applied between operations.</w:t>
      </w:r>
    </w:p>
    <w:p>
      <w:pPr>
        <w:pStyle w:val="Heading2"/>
      </w:pPr>
      <w:r>
        <w:t>Task 6 — Read PositionwiseFeedForward</w:t>
      </w:r>
    </w:p>
    <w:p>
      <w:pPr>
        <w:pStyle w:val="ListNumber"/>
        <w:spacing w:after="40"/>
      </w:pPr>
      <w:r>
        <w:t>Find the PositionwiseFeedForward class.</w:t>
      </w:r>
    </w:p>
    <w:p>
      <w:pPr>
        <w:pStyle w:val="ListNumber"/>
        <w:spacing w:after="40"/>
      </w:pPr>
      <w:r>
        <w:t>Identify the dimensions of w_1 and w_2 from their constructors.</w:t>
      </w:r>
    </w:p>
    <w:p>
      <w:pPr>
        <w:pStyle w:val="ListNumber"/>
        <w:spacing w:after="40"/>
      </w:pPr>
      <w:r>
        <w:t>Explain the shape of the representation before and after each linear layer.</w:t>
      </w:r>
    </w:p>
    <w:p>
      <w:pPr>
        <w:pStyle w:val="ListNumber"/>
        <w:spacing w:after="40"/>
      </w:pPr>
      <w:r>
        <w:t>Explain why the same weights are shared across token positions but are not necessarily shared across Transformer layers.</w:t>
      </w:r>
    </w:p>
    <w:p>
      <w:pPr>
        <w:pStyle w:val="ListNumber"/>
        <w:spacing w:after="40"/>
      </w:pPr>
      <w:r>
        <w:t>Inspect the role of dropout in the forward method.</w:t>
      </w:r>
    </w:p>
    <w:p>
      <w:pPr>
        <w:pStyle w:val="Heading2"/>
      </w:pPr>
      <w:r>
        <w:t>Task 7 — Explain ReLU</w:t>
      </w:r>
    </w:p>
    <w:p>
      <w:r>
        <w:t>ReLU is defined as ReLU(x) = max(0, x). For a positive input it returns the input; for a negative input it returns zero. In your own words, explain why adding a non-linear activation allows a network to represent functions that a stack of linear transformations alone cannot represent.</w:t>
      </w:r>
    </w:p>
    <w:p>
      <w:pPr>
        <w:pStyle w:val="Heading3"/>
      </w:pPr>
      <w:r>
        <w:t>Challenge question</w:t>
      </w:r>
    </w:p>
    <w:p>
      <w:r>
        <w:t>What might be gained and lost if d_ff were set equal to d_model rather than being larger? Discuss computational cost and representational capacity.</w:t>
      </w:r>
    </w:p>
    <w:p>
      <w:pPr>
        <w:pStyle w:val="Heading1"/>
      </w:pPr>
      <w:r>
        <w:t>7. Positional encoding</w:t>
      </w:r>
    </w:p>
    <w:p>
      <w:r>
        <w:t>Self-attention alone does not inherently encode the order of a sequence. The notebook adds positional encodings to token embeddings. The sinusoidal scheme uses sine and cosine functions at different frequencies, producing a vector with the same dimension as the token embedding.</w:t>
      </w:r>
    </w:p>
    <w:p>
      <w:pPr>
        <w:spacing w:before="60" w:after="140"/>
        <w:ind w:left="259" w:right="173"/>
        <w:shd w:fill="F2F4F7"/>
      </w:pPr>
      <w:r>
        <w:rPr>
          <w:rFonts w:ascii="Consolas" w:hAnsi="Consolas"/>
          <w:sz w:val="16"/>
        </w:rPr>
        <w:t>PE(pos, 2i)   = sin(pos / 10000^(2i / d_model))</w:t>
        <w:br/>
        <w:t>PE(pos, 2i+1) = cos(pos / 10000^(2i / d_model))</w:t>
      </w:r>
    </w:p>
    <w:p>
      <w:pPr>
        <w:pStyle w:val="Heading2"/>
      </w:pPr>
      <w:r>
        <w:t>Task 8 — Inspect the positional encoding implementation</w:t>
      </w:r>
    </w:p>
    <w:p>
      <w:pPr>
        <w:pStyle w:val="ListNumber"/>
        <w:spacing w:after="40"/>
      </w:pPr>
      <w:r>
        <w:t>Find the PositionalEncoding class.</w:t>
      </w:r>
    </w:p>
    <w:p>
      <w:pPr>
        <w:pStyle w:val="ListNumber"/>
        <w:spacing w:after="40"/>
      </w:pPr>
      <w:r>
        <w:t>Identify how the position indices and frequency terms are constructed.</w:t>
      </w:r>
    </w:p>
    <w:p>
      <w:pPr>
        <w:pStyle w:val="ListNumber"/>
        <w:spacing w:after="40"/>
      </w:pPr>
      <w:r>
        <w:t>Explain why the encoding tensor is stored as a buffer rather than learned as a normal parameter.</w:t>
      </w:r>
    </w:p>
    <w:p>
      <w:pPr>
        <w:pStyle w:val="ListNumber"/>
        <w:spacing w:after="40"/>
      </w:pPr>
      <w:r>
        <w:t>Run or inspect the plotting cells and describe how the patterns vary by dimension.</w:t>
      </w:r>
    </w:p>
    <w:p>
      <w:pPr>
        <w:pStyle w:val="ListNumber"/>
        <w:spacing w:after="40"/>
      </w:pPr>
      <w:r>
        <w:t>Explain why positional encodings and token embeddings must have compatible dimensions before they are added.</w:t>
      </w:r>
    </w:p>
    <w:p>
      <w:pPr>
        <w:pStyle w:val="Heading2"/>
      </w:pPr>
      <w:r>
        <w:t>Challenge exercise — Implement an alternative encoding</w:t>
      </w:r>
    </w:p>
    <w:p>
      <w:r>
        <w:t>Complete the notebook's PositionalEncodingLinear class using a simple fixed linear pattern, or a linear pattern combined with a periodic component. Keep the class interface compatible with the original implementation: handle d_model, dropout and max_len, construct a positional tensor, add the appropriate slice to x in forward(), and apply dropout.</w:t>
      </w:r>
    </w:p>
    <w:p>
      <w:pPr>
        <w:pStyle w:val="Heading3"/>
      </w:pPr>
      <w:r>
        <w:t>Test and reflect</w:t>
      </w:r>
    </w:p>
    <w:p>
      <w:pPr>
        <w:pStyle w:val="ListBullet"/>
        <w:spacing w:after="40"/>
      </w:pPr>
      <w:r>
        <w:t>Check that the encoding shape is compatible with a batch of token embeddings.</w:t>
      </w:r>
    </w:p>
    <w:p>
      <w:pPr>
        <w:pStyle w:val="ListBullet"/>
        <w:spacing w:after="40"/>
      </w:pPr>
      <w:r>
        <w:t>Plot or print a small section of the encoding.</w:t>
      </w:r>
    </w:p>
    <w:p>
      <w:pPr>
        <w:pStyle w:val="ListBullet"/>
        <w:spacing w:after="40"/>
      </w:pPr>
      <w:r>
        <w:t>Compare the scale and pattern with the sinusoidal encoding.</w:t>
      </w:r>
    </w:p>
    <w:p>
      <w:pPr>
        <w:pStyle w:val="ListBullet"/>
        <w:spacing w:after="40"/>
      </w:pPr>
      <w:r>
        <w:t>Discuss whether the alternative encoding is likely to express periodic structure or extrapolate to longer sequences as naturally as the sinusoidal scheme.</w:t>
      </w:r>
    </w:p>
    <w:p>
      <w:pPr>
        <w:pStyle w:val="Heading1"/>
      </w:pPr>
      <w:r>
        <w:t>8. Full model, batches and training</w:t>
      </w:r>
    </w:p>
    <w:p>
      <w:r>
        <w:t>The notebook then assembles the complete model from its components and introduces batch handling and masking for training. A Batch utility stores source and target tensors and prepares masks so padding positions and future target positions do not contribute incorrectly.</w:t>
      </w:r>
    </w:p>
    <w:p>
      <w:pPr>
        <w:pStyle w:val="Heading2"/>
      </w:pPr>
      <w:r>
        <w:t>Task 9 — Inspect the Batch class</w:t>
      </w:r>
    </w:p>
    <w:p>
      <w:pPr>
        <w:pStyle w:val="ListNumber"/>
        <w:spacing w:after="40"/>
      </w:pPr>
      <w:r>
        <w:t>Find the Batch class and identify how src and src_mask are created.</w:t>
      </w:r>
    </w:p>
    <w:p>
      <w:pPr>
        <w:pStyle w:val="ListNumber"/>
        <w:spacing w:after="40"/>
      </w:pPr>
      <w:r>
        <w:t>Explain why target sequences are shifted into decoder input (trg) and expected output (trg_y).</w:t>
      </w:r>
    </w:p>
    <w:p>
      <w:pPr>
        <w:pStyle w:val="ListNumber"/>
        <w:spacing w:after="40"/>
      </w:pPr>
      <w:r>
        <w:t>Identify how padding tokens are excluded from the target mask.</w:t>
      </w:r>
    </w:p>
    <w:p>
      <w:pPr>
        <w:pStyle w:val="ListNumber"/>
        <w:spacing w:after="40"/>
      </w:pPr>
      <w:r>
        <w:t>Explain how the subsequent mask is combined with the target padding mask.</w:t>
      </w:r>
    </w:p>
    <w:p>
      <w:pPr>
        <w:pStyle w:val="ListNumber"/>
        <w:spacing w:after="40"/>
      </w:pPr>
      <w:r>
        <w:t>Explain why the number of non-padding target tokens is counted.</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pPr>
              <w:spacing w:after="40"/>
            </w:pPr>
            <w:r>
              <w:rPr>
                <w:b/>
                <w:sz w:val="18"/>
              </w:rPr>
              <w:t>Field / operation</w:t>
            </w:r>
          </w:p>
        </w:tc>
        <w:tc>
          <w:tcPr>
            <w:tcW w:type="dxa" w:w="4968"/>
            <w:vAlign w:val="center"/>
          </w:tcPr>
          <w:p>
            <w:pPr>
              <w:spacing w:after="40"/>
            </w:pPr>
            <w:r>
              <w:rPr>
                <w:b/>
                <w:sz w:val="18"/>
              </w:rPr>
              <w:t>Interpretation</w:t>
            </w:r>
          </w:p>
        </w:tc>
      </w:tr>
      <w:tr>
        <w:tc>
          <w:tcPr>
            <w:tcW w:type="dxa" w:w="4968"/>
            <w:vAlign w:val="center"/>
          </w:tcPr>
          <w:p>
            <w:pPr>
              <w:spacing w:after="40"/>
            </w:pPr>
            <w:r>
              <w:rPr>
                <w:sz w:val="18"/>
              </w:rPr>
              <w:t>src</w:t>
            </w:r>
          </w:p>
        </w:tc>
        <w:tc>
          <w:tcPr>
            <w:tcW w:type="dxa" w:w="4968"/>
            <w:vAlign w:val="center"/>
          </w:tcPr>
          <w:p>
            <w:pPr>
              <w:spacing w:after="40"/>
            </w:pPr>
            <w:r>
              <w:rPr>
                <w:sz w:val="18"/>
              </w:rPr>
              <w:t>Source/input token tensor.</w:t>
            </w:r>
          </w:p>
        </w:tc>
      </w:tr>
      <w:tr>
        <w:tc>
          <w:tcPr>
            <w:tcW w:type="dxa" w:w="4968"/>
            <w:vAlign w:val="center"/>
          </w:tcPr>
          <w:p>
            <w:pPr>
              <w:spacing w:after="40"/>
            </w:pPr>
            <w:r>
              <w:rPr>
                <w:sz w:val="18"/>
              </w:rPr>
              <w:t>src_mask</w:t>
            </w:r>
          </w:p>
        </w:tc>
        <w:tc>
          <w:tcPr>
            <w:tcW w:type="dxa" w:w="4968"/>
            <w:vAlign w:val="center"/>
          </w:tcPr>
          <w:p>
            <w:pPr>
              <w:spacing w:after="40"/>
            </w:pPr>
            <w:r>
              <w:rPr>
                <w:sz w:val="18"/>
              </w:rPr>
              <w:t>Mask identifying non-padding source positions, shaped for broadcasting in attention.</w:t>
            </w:r>
          </w:p>
        </w:tc>
      </w:tr>
      <w:tr>
        <w:tc>
          <w:tcPr>
            <w:tcW w:type="dxa" w:w="4968"/>
            <w:vAlign w:val="center"/>
          </w:tcPr>
          <w:p>
            <w:pPr>
              <w:spacing w:after="40"/>
            </w:pPr>
            <w:r>
              <w:rPr>
                <w:sz w:val="18"/>
              </w:rPr>
              <w:t>trg = trg[:, :-1]</w:t>
            </w:r>
          </w:p>
        </w:tc>
        <w:tc>
          <w:tcPr>
            <w:tcW w:type="dxa" w:w="4968"/>
            <w:vAlign w:val="center"/>
          </w:tcPr>
          <w:p>
            <w:pPr>
              <w:spacing w:after="40"/>
            </w:pPr>
            <w:r>
              <w:rPr>
                <w:sz w:val="18"/>
              </w:rPr>
              <w:t>Decoder input: target sequence without its final token.</w:t>
            </w:r>
          </w:p>
        </w:tc>
      </w:tr>
      <w:tr>
        <w:tc>
          <w:tcPr>
            <w:tcW w:type="dxa" w:w="4968"/>
            <w:vAlign w:val="center"/>
          </w:tcPr>
          <w:p>
            <w:pPr>
              <w:spacing w:after="40"/>
            </w:pPr>
            <w:r>
              <w:rPr>
                <w:sz w:val="18"/>
              </w:rPr>
              <w:t>trg_y = trg[:, 1:]</w:t>
            </w:r>
          </w:p>
        </w:tc>
        <w:tc>
          <w:tcPr>
            <w:tcW w:type="dxa" w:w="4968"/>
            <w:vAlign w:val="center"/>
          </w:tcPr>
          <w:p>
            <w:pPr>
              <w:spacing w:after="40"/>
            </w:pPr>
            <w:r>
              <w:rPr>
                <w:sz w:val="18"/>
              </w:rPr>
              <w:t>Expected next-token targets, shifted by one position.</w:t>
            </w:r>
          </w:p>
        </w:tc>
      </w:tr>
      <w:tr>
        <w:tc>
          <w:tcPr>
            <w:tcW w:type="dxa" w:w="4968"/>
            <w:vAlign w:val="center"/>
          </w:tcPr>
          <w:p>
            <w:pPr>
              <w:spacing w:after="40"/>
            </w:pPr>
            <w:r>
              <w:rPr>
                <w:sz w:val="18"/>
              </w:rPr>
              <w:t>trg_mask</w:t>
            </w:r>
          </w:p>
        </w:tc>
        <w:tc>
          <w:tcPr>
            <w:tcW w:type="dxa" w:w="4968"/>
            <w:vAlign w:val="center"/>
          </w:tcPr>
          <w:p>
            <w:pPr>
              <w:spacing w:after="40"/>
            </w:pPr>
            <w:r>
              <w:rPr>
                <w:sz w:val="18"/>
              </w:rPr>
              <w:t>Combines target padding handling with causal masking.</w:t>
            </w:r>
          </w:p>
        </w:tc>
      </w:tr>
      <w:tr>
        <w:tc>
          <w:tcPr>
            <w:tcW w:type="dxa" w:w="4968"/>
            <w:vAlign w:val="center"/>
          </w:tcPr>
          <w:p>
            <w:pPr>
              <w:spacing w:after="40"/>
            </w:pPr>
            <w:r>
              <w:rPr>
                <w:sz w:val="18"/>
              </w:rPr>
              <w:t>ntokens</w:t>
            </w:r>
          </w:p>
        </w:tc>
        <w:tc>
          <w:tcPr>
            <w:tcW w:type="dxa" w:w="4968"/>
            <w:vAlign w:val="center"/>
          </w:tcPr>
          <w:p>
            <w:pPr>
              <w:spacing w:after="40"/>
            </w:pPr>
            <w:r>
              <w:rPr>
                <w:sz w:val="18"/>
              </w:rPr>
              <w:t>Number of non-padding target tokens, used when normalising loss.</w:t>
            </w:r>
          </w:p>
        </w:tc>
      </w:tr>
    </w:tbl>
    <w:p>
      <w:pPr>
        <w:pStyle w:val="Heading3"/>
      </w:pPr>
      <w:r>
        <w:t>Questions</w:t>
      </w:r>
    </w:p>
    <w:p>
      <w:pPr>
        <w:pStyle w:val="ListBullet"/>
        <w:spacing w:after="40"/>
      </w:pPr>
      <w:r>
        <w:t>Why is the decoder trained to predict a shifted version of its input sequence?</w:t>
      </w:r>
    </w:p>
    <w:p>
      <w:pPr>
        <w:pStyle w:val="ListBullet"/>
        <w:spacing w:after="40"/>
      </w:pPr>
      <w:r>
        <w:t>What could happen if padding tokens were treated as ordinary tokens in attention or loss calculations?</w:t>
      </w:r>
    </w:p>
    <w:p>
      <w:pPr>
        <w:pStyle w:val="ListBullet"/>
        <w:spacing w:after="40"/>
      </w:pPr>
      <w:r>
        <w:t>How are the padding mask and causal mask different?</w:t>
      </w:r>
    </w:p>
    <w:p>
      <w:pPr>
        <w:pStyle w:val="Heading1"/>
      </w:pPr>
      <w:r>
        <w:t>9. Practical tasks and challenge questions</w:t>
      </w:r>
    </w:p>
    <w:p>
      <w:r>
        <w:t>Complete these tasks in order. Keep a short record of the code cell you changed, what you expected, what happened, and what you learned.</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b/>
                <w:sz w:val="18"/>
              </w:rPr>
              <w:t>Task</w:t>
            </w:r>
          </w:p>
        </w:tc>
        <w:tc>
          <w:tcPr>
            <w:tcW w:type="dxa" w:w="3312"/>
            <w:vAlign w:val="center"/>
          </w:tcPr>
          <w:p>
            <w:pPr>
              <w:spacing w:after="40"/>
            </w:pPr>
            <w:r>
              <w:rPr>
                <w:b/>
                <w:sz w:val="18"/>
              </w:rPr>
              <w:t>Activity</w:t>
            </w:r>
          </w:p>
        </w:tc>
        <w:tc>
          <w:tcPr>
            <w:tcW w:type="dxa" w:w="3312"/>
            <w:vAlign w:val="center"/>
          </w:tcPr>
          <w:p>
            <w:pPr>
              <w:spacing w:after="40"/>
            </w:pPr>
            <w:r>
              <w:rPr>
                <w:b/>
                <w:sz w:val="18"/>
              </w:rPr>
              <w:t>Evidence to keep</w:t>
            </w:r>
          </w:p>
        </w:tc>
      </w:tr>
      <w:tr>
        <w:tc>
          <w:tcPr>
            <w:tcW w:type="dxa" w:w="3312"/>
            <w:vAlign w:val="center"/>
          </w:tcPr>
          <w:p>
            <w:pPr>
              <w:spacing w:after="40"/>
            </w:pPr>
            <w:r>
              <w:rPr>
                <w:sz w:val="18"/>
              </w:rPr>
              <w:t>A</w:t>
            </w:r>
          </w:p>
        </w:tc>
        <w:tc>
          <w:tcPr>
            <w:tcW w:type="dxa" w:w="3312"/>
            <w:vAlign w:val="center"/>
          </w:tcPr>
          <w:p>
            <w:pPr>
              <w:spacing w:after="40"/>
            </w:pPr>
            <w:r>
              <w:rPr>
                <w:sz w:val="18"/>
              </w:rPr>
              <w:t>Run the notebook setup and record environment versions.</w:t>
            </w:r>
          </w:p>
        </w:tc>
        <w:tc>
          <w:tcPr>
            <w:tcW w:type="dxa" w:w="3312"/>
            <w:vAlign w:val="center"/>
          </w:tcPr>
          <w:p>
            <w:pPr>
              <w:spacing w:after="40"/>
            </w:pPr>
            <w:r>
              <w:rPr>
                <w:sz w:val="18"/>
              </w:rPr>
              <w:t>Versions and any setup errors.</w:t>
            </w:r>
          </w:p>
        </w:tc>
      </w:tr>
      <w:tr>
        <w:tc>
          <w:tcPr>
            <w:tcW w:type="dxa" w:w="3312"/>
            <w:vAlign w:val="center"/>
          </w:tcPr>
          <w:p>
            <w:pPr>
              <w:spacing w:after="40"/>
            </w:pPr>
            <w:r>
              <w:rPr>
                <w:sz w:val="18"/>
              </w:rPr>
              <w:t>B</w:t>
            </w:r>
          </w:p>
        </w:tc>
        <w:tc>
          <w:tcPr>
            <w:tcW w:type="dxa" w:w="3312"/>
            <w:vAlign w:val="center"/>
          </w:tcPr>
          <w:p>
            <w:pPr>
              <w:spacing w:after="40"/>
            </w:pPr>
            <w:r>
              <w:rPr>
                <w:sz w:val="18"/>
              </w:rPr>
              <w:t>Trace the EncoderDecoder forward path.</w:t>
            </w:r>
          </w:p>
        </w:tc>
        <w:tc>
          <w:tcPr>
            <w:tcW w:type="dxa" w:w="3312"/>
            <w:vAlign w:val="center"/>
          </w:tcPr>
          <w:p>
            <w:pPr>
              <w:spacing w:after="40"/>
            </w:pPr>
            <w:r>
              <w:rPr>
                <w:sz w:val="18"/>
              </w:rPr>
              <w:t>A labelled architecture sketch or short explanation.</w:t>
            </w:r>
          </w:p>
        </w:tc>
      </w:tr>
      <w:tr>
        <w:tc>
          <w:tcPr>
            <w:tcW w:type="dxa" w:w="3312"/>
            <w:vAlign w:val="center"/>
          </w:tcPr>
          <w:p>
            <w:pPr>
              <w:spacing w:after="40"/>
            </w:pPr>
            <w:r>
              <w:rPr>
                <w:sz w:val="18"/>
              </w:rPr>
              <w:t>C</w:t>
            </w:r>
          </w:p>
        </w:tc>
        <w:tc>
          <w:tcPr>
            <w:tcW w:type="dxa" w:w="3312"/>
            <w:vAlign w:val="center"/>
          </w:tcPr>
          <w:p>
            <w:pPr>
              <w:spacing w:after="40"/>
            </w:pPr>
            <w:r>
              <w:rPr>
                <w:sz w:val="18"/>
              </w:rPr>
              <w:t>Compare encoder and decoder attention.</w:t>
            </w:r>
          </w:p>
        </w:tc>
        <w:tc>
          <w:tcPr>
            <w:tcW w:type="dxa" w:w="3312"/>
            <w:vAlign w:val="center"/>
          </w:tcPr>
          <w:p>
            <w:pPr>
              <w:spacing w:after="40"/>
            </w:pPr>
            <w:r>
              <w:rPr>
                <w:sz w:val="18"/>
              </w:rPr>
              <w:t>A table or annotated diagram.</w:t>
            </w:r>
          </w:p>
        </w:tc>
      </w:tr>
      <w:tr>
        <w:tc>
          <w:tcPr>
            <w:tcW w:type="dxa" w:w="3312"/>
            <w:vAlign w:val="center"/>
          </w:tcPr>
          <w:p>
            <w:pPr>
              <w:spacing w:after="40"/>
            </w:pPr>
            <w:r>
              <w:rPr>
                <w:sz w:val="18"/>
              </w:rPr>
              <w:t>D</w:t>
            </w:r>
          </w:p>
        </w:tc>
        <w:tc>
          <w:tcPr>
            <w:tcW w:type="dxa" w:w="3312"/>
            <w:vAlign w:val="center"/>
          </w:tcPr>
          <w:p>
            <w:pPr>
              <w:spacing w:after="40"/>
            </w:pPr>
            <w:r>
              <w:rPr>
                <w:sz w:val="18"/>
              </w:rPr>
              <w:t>Inspect a causal mask and masked softmax output.</w:t>
            </w:r>
          </w:p>
        </w:tc>
        <w:tc>
          <w:tcPr>
            <w:tcW w:type="dxa" w:w="3312"/>
            <w:vAlign w:val="center"/>
          </w:tcPr>
          <w:p>
            <w:pPr>
              <w:spacing w:after="40"/>
            </w:pPr>
            <w:r>
              <w:rPr>
                <w:sz w:val="18"/>
              </w:rPr>
              <w:t>Mask example and explanation.</w:t>
            </w:r>
          </w:p>
        </w:tc>
      </w:tr>
      <w:tr>
        <w:tc>
          <w:tcPr>
            <w:tcW w:type="dxa" w:w="3312"/>
            <w:vAlign w:val="center"/>
          </w:tcPr>
          <w:p>
            <w:pPr>
              <w:spacing w:after="40"/>
            </w:pPr>
            <w:r>
              <w:rPr>
                <w:sz w:val="18"/>
              </w:rPr>
              <w:t>E</w:t>
            </w:r>
          </w:p>
        </w:tc>
        <w:tc>
          <w:tcPr>
            <w:tcW w:type="dxa" w:w="3312"/>
            <w:vAlign w:val="center"/>
          </w:tcPr>
          <w:p>
            <w:pPr>
              <w:spacing w:after="40"/>
            </w:pPr>
            <w:r>
              <w:rPr>
                <w:sz w:val="18"/>
              </w:rPr>
              <w:t>Trace multi-head attention projections and concatenation.</w:t>
            </w:r>
          </w:p>
        </w:tc>
        <w:tc>
          <w:tcPr>
            <w:tcW w:type="dxa" w:w="3312"/>
            <w:vAlign w:val="center"/>
          </w:tcPr>
          <w:p>
            <w:pPr>
              <w:spacing w:after="40"/>
            </w:pPr>
            <w:r>
              <w:rPr>
                <w:sz w:val="18"/>
              </w:rPr>
              <w:t>Tensor-flow notes.</w:t>
            </w:r>
          </w:p>
        </w:tc>
      </w:tr>
      <w:tr>
        <w:tc>
          <w:tcPr>
            <w:tcW w:type="dxa" w:w="3312"/>
            <w:vAlign w:val="center"/>
          </w:tcPr>
          <w:p>
            <w:pPr>
              <w:spacing w:after="40"/>
            </w:pPr>
            <w:r>
              <w:rPr>
                <w:sz w:val="18"/>
              </w:rPr>
              <w:t>F</w:t>
            </w:r>
          </w:p>
        </w:tc>
        <w:tc>
          <w:tcPr>
            <w:tcW w:type="dxa" w:w="3312"/>
            <w:vAlign w:val="center"/>
          </w:tcPr>
          <w:p>
            <w:pPr>
              <w:spacing w:after="40"/>
            </w:pPr>
            <w:r>
              <w:rPr>
                <w:sz w:val="18"/>
              </w:rPr>
              <w:t>Explain d_model, d_ff, ReLU and dropout.</w:t>
            </w:r>
          </w:p>
        </w:tc>
        <w:tc>
          <w:tcPr>
            <w:tcW w:type="dxa" w:w="3312"/>
            <w:vAlign w:val="center"/>
          </w:tcPr>
          <w:p>
            <w:pPr>
              <w:spacing w:after="40"/>
            </w:pPr>
            <w:r>
              <w:rPr>
                <w:sz w:val="18"/>
              </w:rPr>
              <w:t>Answers to the FFN questions.</w:t>
            </w:r>
          </w:p>
        </w:tc>
      </w:tr>
      <w:tr>
        <w:tc>
          <w:tcPr>
            <w:tcW w:type="dxa" w:w="3312"/>
            <w:vAlign w:val="center"/>
          </w:tcPr>
          <w:p>
            <w:pPr>
              <w:spacing w:after="40"/>
            </w:pPr>
            <w:r>
              <w:rPr>
                <w:sz w:val="18"/>
              </w:rPr>
              <w:t>G</w:t>
            </w:r>
          </w:p>
        </w:tc>
        <w:tc>
          <w:tcPr>
            <w:tcW w:type="dxa" w:w="3312"/>
            <w:vAlign w:val="center"/>
          </w:tcPr>
          <w:p>
            <w:pPr>
              <w:spacing w:after="40"/>
            </w:pPr>
            <w:r>
              <w:rPr>
                <w:sz w:val="18"/>
              </w:rPr>
              <w:t>Inspect and plot sinusoidal positional encodings.</w:t>
            </w:r>
          </w:p>
        </w:tc>
        <w:tc>
          <w:tcPr>
            <w:tcW w:type="dxa" w:w="3312"/>
            <w:vAlign w:val="center"/>
          </w:tcPr>
          <w:p>
            <w:pPr>
              <w:spacing w:after="40"/>
            </w:pPr>
            <w:r>
              <w:rPr>
                <w:sz w:val="18"/>
              </w:rPr>
              <w:t>Plot plus interpretation.</w:t>
            </w:r>
          </w:p>
        </w:tc>
      </w:tr>
      <w:tr>
        <w:tc>
          <w:tcPr>
            <w:tcW w:type="dxa" w:w="3312"/>
            <w:vAlign w:val="center"/>
          </w:tcPr>
          <w:p>
            <w:pPr>
              <w:spacing w:after="40"/>
            </w:pPr>
            <w:r>
              <w:rPr>
                <w:sz w:val="18"/>
              </w:rPr>
              <w:t>H</w:t>
            </w:r>
          </w:p>
        </w:tc>
        <w:tc>
          <w:tcPr>
            <w:tcW w:type="dxa" w:w="3312"/>
            <w:vAlign w:val="center"/>
          </w:tcPr>
          <w:p>
            <w:pPr>
              <w:spacing w:after="40"/>
            </w:pPr>
            <w:r>
              <w:rPr>
                <w:sz w:val="18"/>
              </w:rPr>
              <w:t>Implement and test PositionalEncodingLinear.</w:t>
            </w:r>
          </w:p>
        </w:tc>
        <w:tc>
          <w:tcPr>
            <w:tcW w:type="dxa" w:w="3312"/>
            <w:vAlign w:val="center"/>
          </w:tcPr>
          <w:p>
            <w:pPr>
              <w:spacing w:after="40"/>
            </w:pPr>
            <w:r>
              <w:rPr>
                <w:sz w:val="18"/>
              </w:rPr>
              <w:t>Completed code, test output and comparison.</w:t>
            </w:r>
          </w:p>
        </w:tc>
      </w:tr>
      <w:tr>
        <w:tc>
          <w:tcPr>
            <w:tcW w:type="dxa" w:w="3312"/>
            <w:vAlign w:val="center"/>
          </w:tcPr>
          <w:p>
            <w:pPr>
              <w:spacing w:after="40"/>
            </w:pPr>
            <w:r>
              <w:rPr>
                <w:sz w:val="18"/>
              </w:rPr>
              <w:t>I</w:t>
            </w:r>
          </w:p>
        </w:tc>
        <w:tc>
          <w:tcPr>
            <w:tcW w:type="dxa" w:w="3312"/>
            <w:vAlign w:val="center"/>
          </w:tcPr>
          <w:p>
            <w:pPr>
              <w:spacing w:after="40"/>
            </w:pPr>
            <w:r>
              <w:rPr>
                <w:sz w:val="18"/>
              </w:rPr>
              <w:t>Inspect Batch and target masking.</w:t>
            </w:r>
          </w:p>
        </w:tc>
        <w:tc>
          <w:tcPr>
            <w:tcW w:type="dxa" w:w="3312"/>
            <w:vAlign w:val="center"/>
          </w:tcPr>
          <w:p>
            <w:pPr>
              <w:spacing w:after="40"/>
            </w:pPr>
            <w:r>
              <w:rPr>
                <w:sz w:val="18"/>
              </w:rPr>
              <w:t>Annotated explanation of shifted targets and masks.</w:t>
            </w:r>
          </w:p>
        </w:tc>
      </w:tr>
    </w:tbl>
    <w:p>
      <w:pPr>
        <w:pStyle w:val="Heading2"/>
      </w:pPr>
      <w:r>
        <w:t>Extension — teach the model to someone else</w:t>
      </w:r>
    </w:p>
    <w:p>
      <w:r>
        <w:t>Write a short explanation (150–250 words) of how a Transformer converts a sequence of input tokens into a probability distribution over the next output token. Use the terms embedding, positional encoding, attention, feed-forward network, mask and generator accurately.</w:t>
      </w:r>
    </w:p>
    <w:p>
      <w:pPr>
        <w:pStyle w:val="Heading2"/>
      </w:pPr>
      <w:r>
        <w:t>Extension — implementation reflection</w:t>
      </w:r>
    </w:p>
    <w:p>
      <w:r>
        <w:t>Choose one class from the notebook and explain its constructor, forward pass, input/output shapes, and role in the larger model. Where possible, verify your claims by printing tensor shapes or examining the output of a small test.</w:t>
      </w:r>
    </w:p>
    <w:p>
      <w:pPr>
        <w:pStyle w:val="Heading1"/>
      </w:pPr>
      <w:r>
        <w:t>10. Submission checklist and references</w:t>
      </w:r>
    </w:p>
    <w:p>
      <w:pPr>
        <w:pStyle w:val="ListBullet"/>
        <w:spacing w:after="40"/>
      </w:pPr>
      <w:r>
        <w:t>Notebook runs through the sections you were able to execute; errors are documented rather than silently ignored.</w:t>
      </w:r>
    </w:p>
    <w:p>
      <w:pPr>
        <w:pStyle w:val="ListBullet"/>
        <w:spacing w:after="40"/>
      </w:pPr>
      <w:r>
        <w:t>Answers explain the role of the encoder, decoder, attention, masking, FFN and positional encoding.</w:t>
      </w:r>
    </w:p>
    <w:p>
      <w:pPr>
        <w:pStyle w:val="ListBullet"/>
        <w:spacing w:after="40"/>
      </w:pPr>
      <w:r>
        <w:t>The alternative positional encoding challenge is attempted, with compatibility checks.</w:t>
      </w:r>
    </w:p>
    <w:p>
      <w:pPr>
        <w:pStyle w:val="ListBullet"/>
        <w:spacing w:after="40"/>
      </w:pPr>
      <w:r>
        <w:t>Tensor dimensions and the purpose of target shifting are explained in your own words.</w:t>
      </w:r>
    </w:p>
    <w:p>
      <w:pPr>
        <w:pStyle w:val="ListBullet"/>
        <w:spacing w:after="40"/>
      </w:pPr>
      <w:r>
        <w:t>Any adapted code is clearly marked, and outputs/plots are labelled.</w:t>
      </w:r>
    </w:p>
    <w:p>
      <w:pPr>
        <w:pStyle w:val="Heading2"/>
      </w:pPr>
      <w:r>
        <w:t>References and further explanations</w:t>
      </w:r>
    </w:p>
    <w:p>
      <w:pPr>
        <w:pStyle w:val="ListBullet"/>
      </w:pPr>
      <w:r>
        <w:rPr>
          <w:b/>
        </w:rPr>
        <w:t xml:space="preserve">The Annotated Transformer (Harvard SEAS): </w:t>
      </w:r>
      <w:r>
        <w:t>https://nlp.seas.harvard.edu/2018/04/03/attention.html</w:t>
      </w:r>
    </w:p>
    <w:p>
      <w:pPr>
        <w:pStyle w:val="ListBullet"/>
      </w:pPr>
      <w:r>
        <w:rPr>
          <w:b/>
        </w:rPr>
        <w:t xml:space="preserve">The Illustrated Transformer — Jay Alammar: </w:t>
      </w:r>
      <w:r>
        <w:t>https://jalammar.github.io/illustrated-transformer/</w:t>
      </w:r>
    </w:p>
    <w:p>
      <w:pPr>
        <w:pStyle w:val="ListBullet"/>
      </w:pPr>
      <w:r>
        <w:rPr>
          <w:b/>
        </w:rPr>
        <w:t xml:space="preserve">3Blue1Brown: Attention in Transformers: </w:t>
      </w:r>
      <w:r>
        <w:t>https://www.youtube.com/watch?v=KJtZARuO3JY</w:t>
      </w:r>
    </w:p>
    <w:p>
      <w:pPr>
        <w:pStyle w:val="ListBullet"/>
      </w:pPr>
      <w:r>
        <w:rPr>
          <w:b/>
        </w:rPr>
        <w:t xml:space="preserve">TensorFlow Transformer tutorial: </w:t>
      </w:r>
      <w:r>
        <w:t>https://www.tensorflow.org/text/tutorials/transformer</w:t>
      </w:r>
    </w:p>
    <w:p>
      <w:pPr>
        <w:pStyle w:val="ListBullet"/>
      </w:pPr>
      <w:r>
        <w:rPr>
          <w:b/>
        </w:rPr>
        <w:t xml:space="preserve">Course PyTorch resources listed in the notebook: </w:t>
      </w:r>
      <w:r>
        <w:t>https://github.com/neelsoumya/teaching_intro_pytorch</w:t>
      </w:r>
    </w:p>
    <w:p>
      <w:pPr>
        <w:pStyle w:val="Heading2"/>
      </w:pPr>
      <w:r>
        <w:t>Acknowledgement</w:t>
      </w:r>
    </w:p>
    <w:p>
      <w:r>
        <w:t>The practical content is based on the uploaded annotated_transformer.ipynb notebook, which states that it is inspired by and adapted from Harvard's The Annotated Transformer. The notebook also notes that parts of its text and images are reproduced or AI-generated for educational purposes. Retain the original attributions when redistributing or adapting the material.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Practical note sheet • Transformer architecture and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LARGE LANGUAGE MODELS AND APPLICATIONS  |  PRACTICAL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