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b9ba88374d64b9b" /><Relationship Type="http://schemas.openxmlformats.org/package/2006/relationships/metadata/core-properties" Target="/docProps/core.xml" Id="R4e2459ea08024b0e" /><Relationship Type="http://schemas.openxmlformats.org/officeDocument/2006/relationships/extended-properties" Target="/docProps/app.xml" Id="Re922c90c868b4aed" /><Relationship Type="http://schemas.openxmlformats.org/officeDocument/2006/relationships/custom-properties" Target="/docProps/custom.xml" Id="R6f826d9d66d24585" /></Relationships>
</file>

<file path=word/document.xml><?xml version="1.0" encoding="utf-8"?>
<w:document xmlns:c="http://schemas.openxmlformats.org/drawingml/2006/chart"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  <w:shd w:val="clear" w:fill="1F3864"/>
        <w:spacing w:before="0" w:after="0"/>
        <w:jc w:val="center"/>
      </w:pPr>
      <w:r>
        <w:rPr>
          <w:b/>
          <w:color w:val="FFFFFF"/>
          <w:sz w:val="64"/>
        </w:rPr>
        <w:t xml:space="preserve">RETAIL SALES ANALYTICS</w:t>
      </w:r>
    </w:p>
    <w:p w14:paraId="00100002" w14:textId="00100003">
      <w:pPr>
        <w:spacing w:after="80"/>
        <w:jc w:val="center"/>
      </w:pPr>
      <w:r>
        <w:rPr>
          <w:b/>
          <w:color w:val="1F3864"/>
          <w:sz w:val="32"/>
        </w:rPr>
        <w:t xml:space="preserve">Project Report — Business Intelligence Dashboard</w:t>
      </w:r>
    </w:p>
    <w:p w14:paraId="00100004" w14:textId="00100005">
      <w:pPr>
        <w:spacing w:after="80"/>
        <w:jc w:val="center"/>
      </w:pPr>
      <w:r>
        <w:rPr>
          <w:color w:val="2E74B5"/>
          <w:sz w:val="24"/>
        </w:rPr>
        <w:t xml:space="preserve">Python  •  Streamlit  •  Pandas  •  NumPy  •  Plotly</w:t>
      </w:r>
    </w:p>
    <w:p w14:paraId="00100006" w14:textId="00100007">
      <w:pPr>
        <w:spacing w:after="400"/>
        <w:jc w:val="center"/>
      </w:pPr>
      <w:r>
        <w:rPr>
          <w:color w:val="555555"/>
          <w:sz w:val="22"/>
        </w:rPr>
        <w:t xml:space="preserve">Dataset: retail_sales_dataset.csv   |   4,310 Orders   |   21 Columns   |   ₹26.69 Cr Revenue</w:t>
      </w:r>
    </w:p>
    <w:p w14:paraId="00100008" w14:textId="00100009">
      <w:pPr>
        <w:pStyle w:val="Heading2"/>
        <w:spacing w:after="120"/>
      </w:pPr>
      <w:r>
        <w:rPr>
          <w:b/>
          <w:color w:val="1F3864"/>
          <w:sz w:val="26"/>
        </w:rPr>
        <w:t xml:space="preserve">TABLE OF CONTENTS</w:t>
      </w:r>
    </w:p>
    <w:p w14:paraId="0010000A" w14:textId="0010000B">
      <w:pPr>
        <w:spacing w:after="60"/>
      </w:pPr>
      <w:r>
        <w:rPr>
          <w:color w:val="2E74B5"/>
          <w:sz w:val="22"/>
        </w:rPr>
        <w:t xml:space="preserve">1. Executive Summary   |   2. Dataset Overview   |   3. Data Quality &amp; Cleaning</w:t>
      </w:r>
    </w:p>
    <w:p w14:paraId="0010000C" w14:textId="0010000D">
      <w:pPr>
        <w:spacing w:after="60"/>
      </w:pPr>
      <w:r>
        <w:rPr>
          <w:color w:val="2E74B5"/>
          <w:sz w:val="22"/>
        </w:rPr>
        <w:t xml:space="preserve">4. Key Performance Indicators   |   5. Sales Analysis — Category</w:t>
      </w:r>
    </w:p>
    <w:p w14:paraId="0010000E" w14:textId="0010000F">
      <w:pPr>
        <w:spacing w:after="60"/>
      </w:pPr>
      <w:r>
        <w:rPr>
          <w:color w:val="2E74B5"/>
          <w:sz w:val="22"/>
        </w:rPr>
        <w:t xml:space="preserve">6. Regional Analysis   |   7. Yearly Sales Trend   |   8. Customer Demographics</w:t>
      </w:r>
    </w:p>
    <w:p w14:paraId="00100010" w14:textId="00100011">
      <w:pPr>
        <w:spacing w:after="400"/>
      </w:pPr>
      <w:r>
        <w:rPr>
          <w:color w:val="2E74B5"/>
          <w:sz w:val="22"/>
        </w:rPr>
        <w:t xml:space="preserve">9. Payment Method Analysis   |   10. Order Status   |   11. Business Insights &amp; Recommendations</w:t>
      </w:r>
    </w:p>
    <w:p w14:paraId="00100012" w14:textId="00100013">
      <w:pPr>
        <w:pStyle w:val="Heading1"/>
        <w:shd w:val="clear" w:fill="1F3864"/>
        <w:spacing w:after="200"/>
      </w:pPr>
      <w:r>
        <w:rPr>
          <w:b/>
          <w:color w:val="FFFFFF"/>
          <w:sz w:val="36"/>
        </w:rPr>
        <w:t xml:space="preserve">1. EXECUTIVE SUMMARY</w:t>
      </w:r>
    </w:p>
    <w:p w14:paraId="00100014" w14:textId="00100015">
      <w:pPr>
        <w:spacing w:after="160"/>
      </w:pPr>
      <w:r>
        <w:rPr>
          <w:color w:val="222222"/>
          <w:sz w:val="22"/>
        </w:rPr>
        <w:t xml:space="preserve">This report presents the complete findings of the Retail Sales Analytics project — a Python-based data analytics solution delivering end-to-end business intelligence from a retail transactions dataset. Spanning 4,310 orders across 5 regions, 7 product categories, and multiple years (2020–2024), the analysis uncovers performance trends, profitability drivers, and customer behaviour patterns. An interactive 7-tab Streamlit dashboard serves all charts and KPIs in real time with live sidebar filters.</w:t>
      </w:r>
    </w:p>
    <w:p w14:paraId="00100016" w14:textId="00100017">
      <w:pPr>
        <w:spacing w:after="80"/>
      </w:pPr>
      <w:r>
        <w:rPr>
          <w:b/>
          <w:color w:val="1F3864"/>
          <w:sz w:val="22"/>
        </w:rPr>
        <w:t xml:space="preserve">Key Highlights:</w:t>
      </w:r>
    </w:p>
    <w:p w14:paraId="00100018" w14:textId="00100019">
      <w:pPr>
        <w:numPr>
          <w:ilvl w:val="0"/>
          <w:numId w:val="1"/>
        </w:numPr>
        <w:spacing w:after="60"/>
      </w:pPr>
      <w:r>
        <w:rPr>
          <w:sz w:val="22"/>
        </w:rPr>
        <w:t xml:space="preserve">•  Total Revenue of ₹26.69 Crore recorded across all valid orders in the dataset.</w:t>
      </w:r>
    </w:p>
    <w:p w14:paraId="0010001A" w14:textId="0010001B">
      <w:pPr>
        <w:numPr>
          <w:ilvl w:val="0"/>
          <w:numId w:val="1"/>
        </w:numPr>
        <w:spacing w:after="60"/>
      </w:pPr>
      <w:r>
        <w:rPr>
          <w:sz w:val="22"/>
        </w:rPr>
        <w:t xml:space="preserve">•  Total Profit of ₹5.00 Crore — an overall margin of 18.7% across all categories.</w:t>
      </w:r>
    </w:p>
    <w:p w14:paraId="0010001C" w14:textId="0010001D">
      <w:pPr>
        <w:numPr>
          <w:ilvl w:val="0"/>
          <w:numId w:val="1"/>
        </w:numPr>
        <w:spacing w:after="60"/>
      </w:pPr>
      <w:r>
        <w:rPr>
          <w:sz w:val="22"/>
        </w:rPr>
        <w:t xml:space="preserve">•  Electronics is the dominant category with ₹15.72 Cr revenue (58.9% of total).</w:t>
      </w:r>
    </w:p>
    <w:p w14:paraId="0010001E" w14:textId="0010001F">
      <w:pPr>
        <w:numPr>
          <w:ilvl w:val="0"/>
          <w:numId w:val="1"/>
        </w:numPr>
        <w:spacing w:after="60"/>
      </w:pPr>
      <w:r>
        <w:rPr>
          <w:sz w:val="22"/>
        </w:rPr>
        <w:t xml:space="preserve">•  South region leads all regions with ₹7.43 Cr revenue — the strongest market.</w:t>
      </w:r>
    </w:p>
    <w:p w14:paraId="00100020" w14:textId="00100021">
      <w:pPr>
        <w:numPr>
          <w:ilvl w:val="0"/>
          <w:numId w:val="1"/>
        </w:numPr>
        <w:spacing w:after="60"/>
      </w:pPr>
      <w:r>
        <w:rPr>
          <w:sz w:val="22"/>
        </w:rPr>
        <w:t xml:space="preserve">•  2023 was the peak revenue year at ₹6.09 Cr; 2024 data is partial (mid-year cutoff).</w:t>
      </w:r>
    </w:p>
    <w:p w14:paraId="00100022" w14:textId="00100023">
      <w:pPr>
        <w:numPr>
          <w:ilvl w:val="0"/>
          <w:numId w:val="1"/>
        </w:numPr>
        <w:spacing w:after="60"/>
      </w:pPr>
      <w:r>
        <w:rPr>
          <w:sz w:val="22"/>
        </w:rPr>
        <w:t xml:space="preserve">•  14.5% return rate (623 orders) — within the acceptable threshold but warrants monitoring.</w:t>
      </w:r>
    </w:p>
    <w:p w14:paraId="00100024" w14:textId="00100025">
      <w:pPr>
        <w:numPr>
          <w:ilvl w:val="0"/>
          <w:numId w:val="1"/>
        </w:numPr>
        <w:spacing w:after="60"/>
      </w:pPr>
      <w:r>
        <w:rPr>
          <w:sz w:val="22"/>
        </w:rPr>
        <w:t xml:space="preserve">•  Customer satisfaction averages 3.02 / 5 — indicating significant room for improvement.</w:t>
      </w:r>
    </w:p>
    <w:p w14:paraId="00100026" w14:textId="00100027">
      <w:pPr>
        <w:numPr>
          <w:ilvl w:val="0"/>
          <w:numId w:val="1"/>
        </w:numPr>
        <w:spacing w:after="320"/>
      </w:pPr>
      <w:r>
        <w:rPr>
          <w:sz w:val="22"/>
        </w:rPr>
        <w:t xml:space="preserve">•  EMI is the highest revenue-generating payment method at ₹6.34 Cr.</w:t>
      </w:r>
    </w:p>
    <w:p w14:paraId="00100028" w14:textId="00100029">
      <w:pPr>
        <w:pStyle w:val="Heading1"/>
        <w:shd w:val="clear" w:fill="1F3864"/>
        <w:spacing w:after="200"/>
      </w:pPr>
      <w:r>
        <w:rPr>
          <w:b/>
          <w:color w:val="FFFFFF"/>
          <w:sz w:val="36"/>
        </w:rPr>
        <w:t xml:space="preserve">2. DATASET OVERVIEW</w:t>
      </w:r>
    </w:p>
    <w:p w14:paraId="0010002A" w14:textId="0010002B">
      <w:pPr>
        <w:spacing w:after="200"/>
      </w:pPr>
      <w:r>
        <w:rPr>
          <w:color w:val="222222"/>
          <w:sz w:val="22"/>
        </w:rPr>
        <w:t xml:space="preserve">The dataset retail_sales_dataset.csv is an Indian retail transaction ledger with 4,310 rows and 21 columns covering orders from 2020 to 2024 across 5 regions, 7 product categories, and 6 payment methods. Mixed date formats (YYYY-MM-DD and DD/MM/YYYY) and missing values in discount_pct and customer_satisfaction were detected and resolved during cleaning.</w:t>
      </w:r>
    </w:p>
    <w:p w14:paraId="0010002C" w14:textId="0010002D">
      <w:pPr>
        <w:pStyle w:val="Heading2"/>
        <w:spacing w:after="120"/>
      </w:pPr>
      <w:r>
        <w:rPr>
          <w:b/>
          <w:color w:val="2E74B5"/>
          <w:sz w:val="26"/>
        </w:rPr>
        <w:t xml:space="preserve">Dataset Summary</w:t>
      </w:r>
    </w:p>
    <w:p w14:paraId="0010002E" w14:textId="0010002F">
      <w:pPr>
        <w:shd w:val="clear" w:fill="2E74B5"/>
        <w:spacing w:after="0"/>
      </w:pPr>
      <w:r>
        <w:rPr>
          <w:b/>
          <w:color w:val="FFFFFF"/>
          <w:sz w:val="22"/>
        </w:rPr>
        <w:t xml:space="preserve">Attribute                  |  Detail</w:t>
      </w:r>
    </w:p>
    <w:p w14:paraId="00100030" w14:textId="00100031">
      <w:pPr>
        <w:shd w:val="clear" w:fill="F2F7FD"/>
        <w:spacing w:after="0"/>
      </w:pPr>
      <w:r>
        <w:rPr>
          <w:sz w:val="22"/>
        </w:rPr>
        <w:t xml:space="preserve">File Name                  |  retail_sales_dataset.csv</w:t>
      </w:r>
    </w:p>
    <w:p w14:paraId="00100032" w14:textId="00100033">
      <w:pPr>
        <w:spacing w:after="0"/>
      </w:pPr>
      <w:r>
        <w:rPr>
          <w:sz w:val="22"/>
        </w:rPr>
        <w:t xml:space="preserve">Total Records              |  4,310 orders</w:t>
      </w:r>
    </w:p>
    <w:p w14:paraId="00100034" w14:textId="00100035">
      <w:pPr>
        <w:shd w:val="clear" w:fill="F2F7FD"/>
        <w:spacing w:after="0"/>
      </w:pPr>
      <w:r>
        <w:rPr>
          <w:sz w:val="22"/>
        </w:rPr>
        <w:t xml:space="preserve">Total Columns              |  21 fields per order</w:t>
      </w:r>
    </w:p>
    <w:p w14:paraId="00100036" w14:textId="00100037">
      <w:pPr>
        <w:spacing w:after="0"/>
      </w:pPr>
      <w:r>
        <w:rPr>
          <w:sz w:val="22"/>
        </w:rPr>
        <w:t xml:space="preserve">Date Range                 |  2020 – 2024 (multi-year)</w:t>
      </w:r>
    </w:p>
    <w:p w14:paraId="00100038" w14:textId="00100039">
      <w:pPr>
        <w:shd w:val="clear" w:fill="F2F7FD"/>
        <w:spacing w:after="0"/>
      </w:pPr>
      <w:r>
        <w:rPr>
          <w:sz w:val="22"/>
        </w:rPr>
        <w:t xml:space="preserve">Regions Covered            |  North, South, East, West, Central</w:t>
      </w:r>
    </w:p>
    <w:p w14:paraId="0010003A" w14:textId="0010003B">
      <w:pPr>
        <w:spacing w:after="0"/>
      </w:pPr>
      <w:r>
        <w:rPr>
          <w:sz w:val="22"/>
        </w:rPr>
        <w:t xml:space="preserve">Product Categories         |  Electronics, Furniture, Sports, Clothing, Beauty, Books, Groceries</w:t>
      </w:r>
    </w:p>
    <w:p w14:paraId="0010003C" w14:textId="0010003D">
      <w:pPr>
        <w:shd w:val="clear" w:fill="F2F7FD"/>
        <w:spacing w:after="0"/>
      </w:pPr>
      <w:r>
        <w:rPr>
          <w:sz w:val="22"/>
        </w:rPr>
        <w:t xml:space="preserve">Payment Methods            |  EMI, Debit Card, Cash on Delivery, UPI, Credit Card, Net Banking</w:t>
      </w:r>
    </w:p>
    <w:p w14:paraId="0010003E" w14:textId="0010003F">
      <w:pPr>
        <w:spacing w:after="320"/>
      </w:pPr>
      <w:r>
        <w:rPr>
          <w:sz w:val="22"/>
        </w:rPr>
        <w:t xml:space="preserve">Order Statuses             |  Delivered (2,787) | Returned (623) | Cancelled (352) | Shipped (334) | Pending (184)</w:t>
      </w:r>
    </w:p>
    <w:p w14:paraId="00100040" w14:textId="00100041">
      <w:pPr>
        <w:pStyle w:val="Heading1"/>
        <w:shd w:val="clear" w:fill="1F3864"/>
        <w:spacing w:after="200"/>
      </w:pPr>
      <w:r>
        <w:rPr>
          <w:b/>
          <w:color w:val="FFFFFF"/>
          <w:sz w:val="36"/>
        </w:rPr>
        <w:t xml:space="preserve">3. DATA QUALITY &amp; CLEANING</w:t>
      </w:r>
    </w:p>
    <w:p w14:paraId="00100042" w14:textId="00100043">
      <w:pPr>
        <w:shd w:val="clear" w:fill="C00000"/>
        <w:spacing w:after="0"/>
      </w:pPr>
      <w:r>
        <w:rPr>
          <w:b/>
          <w:color w:val="FFFFFF"/>
          <w:sz w:val="22"/>
        </w:rPr>
        <w:t xml:space="preserve">Issue Found                    |  Column(s) Affected          |  Resolution Applied</w:t>
      </w:r>
    </w:p>
    <w:p w14:paraId="00100044" w14:textId="00100045">
      <w:pPr>
        <w:shd w:val="clear" w:fill="FFF2F2"/>
        <w:spacing w:after="0"/>
      </w:pPr>
      <w:r>
        <w:rPr>
          <w:sz w:val="22"/>
        </w:rPr>
        <w:t xml:space="preserve">Mixed date formats             |  order_date                  |  pd.to_datetime(infer_format=False)</w:t>
      </w:r>
    </w:p>
    <w:p w14:paraId="00100046" w14:textId="00100047">
      <w:pPr>
        <w:spacing w:after="0"/>
      </w:pPr>
      <w:r>
        <w:rPr>
          <w:sz w:val="22"/>
        </w:rPr>
        <w:t xml:space="preserve">Missing discount values        |  discount_pct                |  Filled with 0 (no discount assumed)</w:t>
      </w:r>
    </w:p>
    <w:p w14:paraId="00100048" w14:textId="00100049">
      <w:pPr>
        <w:shd w:val="clear" w:fill="FFF2F2"/>
        <w:spacing w:after="0"/>
      </w:pPr>
      <w:r>
        <w:rPr>
          <w:sz w:val="22"/>
        </w:rPr>
        <w:t xml:space="preserve">Missing satisfaction scores    |  customer_satisfaction       |  Filled with column median (3.0)</w:t>
      </w:r>
    </w:p>
    <w:p w14:paraId="0010004A" w14:textId="0010004B">
      <w:pPr>
        <w:spacing w:after="0"/>
      </w:pPr>
      <w:r>
        <w:rPr>
          <w:sz w:val="22"/>
        </w:rPr>
        <w:t xml:space="preserve">Non-numeric values in numbers  |  quantity, price, profit...  |  pd.to_numeric(errors='coerce') → NaN</w:t>
      </w:r>
    </w:p>
    <w:p w14:paraId="0010004C" w14:textId="0010004D">
      <w:pPr>
        <w:shd w:val="clear" w:fill="FFF2F2"/>
        <w:spacing w:after="0"/>
      </w:pPr>
      <w:r>
        <w:rPr>
          <w:sz w:val="22"/>
        </w:rPr>
        <w:t xml:space="preserve">Missing age / days_to_ship     |  age, days_to_ship           |  Filled with respective column medians</w:t>
      </w:r>
    </w:p>
    <w:p w14:paraId="0010004E" w14:textId="0010004F">
      <w:pPr>
        <w:spacing w:after="0"/>
      </w:pPr>
      <w:r>
        <w:rPr>
          <w:sz w:val="22"/>
        </w:rPr>
        <w:t xml:space="preserve">Blank / empty rows (30 rows)   |  All columns                 |  Excluded from aggregations</w:t>
      </w:r>
    </w:p>
    <w:p w14:paraId="00100050" w14:textId="00100051">
      <w:pPr>
        <w:shd w:val="clear" w:fill="DEEAF1"/>
        <w:spacing w:after="320"/>
      </w:pPr>
      <w:r>
        <w:rPr>
          <w:b/>
          <w:color w:val="1F3864"/>
          <w:sz w:val="22"/>
        </w:rPr>
        <w:t xml:space="preserve">Derived columns added:  calculated_sales = quantity x unit_price  |  year  |  month  |  age_group</w:t>
      </w:r>
    </w:p>
    <w:p w14:paraId="00100052" w14:textId="00100053">
      <w:pPr>
        <w:pStyle w:val="Heading1"/>
        <w:shd w:val="clear" w:fill="1F3864"/>
        <w:spacing w:after="200"/>
      </w:pPr>
      <w:r>
        <w:rPr>
          <w:b/>
          <w:color w:val="FFFFFF"/>
          <w:sz w:val="36"/>
        </w:rPr>
        <w:t xml:space="preserve">4. KEY PERFORMANCE INDICATORS (KPIs)</w:t>
      </w:r>
    </w:p>
    <w:p w14:paraId="00100054" w14:textId="00100055">
      <w:pPr>
        <w:spacing w:after="200"/>
      </w:pPr>
      <w:r>
        <w:rPr>
          <w:color w:val="333333"/>
          <w:sz w:val="22"/>
        </w:rPr>
        <w:t xml:space="preserve">All KPIs are computed by the overall_kpis() function in data_analytics.py and displayed as styled metric cards on the Streamlit dashboard Overview tab. The figures below are based on the fully cleaned dataset (4,280 valid rows after excluding 30 blank records).</w:t>
      </w:r>
    </w:p>
    <w:p w14:paraId="00100056" w14:textId="00100057">
      <w:pPr>
        <w:shd w:val="clear" w:fill="1F3864"/>
        <w:spacing w:after="0"/>
        <w:jc w:val="center"/>
      </w:pPr>
      <w:r>
        <w:rPr>
          <w:b/>
          <w:color w:val="FFFFFF"/>
          <w:sz w:val="24"/>
        </w:rPr>
        <w:t xml:space="preserve">  KPI SCORECARD — FULL DATASET (2020–2024)  </w:t>
      </w:r>
    </w:p>
    <w:p w14:paraId="00100058" w14:textId="00100059">
      <w:pPr>
        <w:shd w:val="clear" w:fill="2E74B5"/>
        <w:spacing w:after="0"/>
        <w:jc w:val="center"/>
      </w:pPr>
      <w:r>
        <w:rPr>
          <w:b/>
          <w:color w:val="FFFFFF"/>
          <w:sz w:val="20"/>
        </w:rPr>
        <w:t xml:space="preserve">  TOTAL ORDERS          |   TOTAL REVENUE         |   TOTAL PROFIT          |   AVG ORDER VALUE  </w:t>
      </w:r>
    </w:p>
    <w:p w14:paraId="0010005A" w14:textId="0010005B">
      <w:pPr>
        <w:shd w:val="clear" w:fill="DEEAF1"/>
        <w:spacing w:after="0"/>
        <w:jc w:val="center"/>
      </w:pPr>
      <w:r>
        <w:rPr>
          <w:b/>
          <w:color w:val="1F3864"/>
          <w:sz w:val="36"/>
        </w:rPr>
        <w:t xml:space="preserve">  4,310                 |   ₹26,68,94,969         |   ₹5,00,20,895          |   ₹61,925          </w:t>
      </w:r>
    </w:p>
    <w:p w14:paraId="0010005C" w14:textId="0010005D">
      <w:pPr>
        <w:shd w:val="clear" w:fill="2E74B5"/>
        <w:spacing w:after="0"/>
        <w:jc w:val="center"/>
      </w:pPr>
      <w:r>
        <w:rPr>
          <w:b/>
          <w:color w:val="FFFFFF"/>
          <w:sz w:val="20"/>
        </w:rPr>
        <w:t xml:space="preserve">  TOTAL QTY SOLD        |   AVG PROFIT MARGIN     |   AVG SATISFACTION      |   RETURN RATE      </w:t>
      </w:r>
    </w:p>
    <w:p w14:paraId="0010005E" w14:textId="0010005F">
      <w:pPr>
        <w:shd w:val="clear" w:fill="DEEAF1"/>
        <w:spacing w:after="320"/>
        <w:jc w:val="center"/>
      </w:pPr>
      <w:r>
        <w:rPr>
          <w:b/>
          <w:color w:val="1F3864"/>
          <w:sz w:val="36"/>
        </w:rPr>
        <w:t xml:space="preserve">  30,774 units          |   18.7%                 |   3.02 / 5.00           |   14.5% (623 orders)</w:t>
      </w:r>
    </w:p>
    <w:p w14:paraId="00100060" w14:textId="00100061">
      <w:pPr>
        <w:pStyle w:val="Heading2"/>
        <w:spacing w:after="120"/>
      </w:pPr>
      <w:r>
        <w:rPr>
          <w:b/>
          <w:color w:val="2E74B5"/>
          <w:sz w:val="26"/>
        </w:rPr>
        <w:t xml:space="preserve">KPI Interpretation</w:t>
      </w:r>
    </w:p>
    <w:p w14:paraId="00100062" w14:textId="00100063">
      <w:pPr>
        <w:spacing w:after="120"/>
      </w:pPr>
      <w:r>
        <w:rPr>
          <w:color w:val="333333"/>
          <w:sz w:val="22"/>
        </w:rPr>
        <w:t xml:space="preserve">Total Revenue vs Calculated Sales:  Recorded sales_amount (₹26.69 Cr) is lower than calculated_sales = qty x unit_price (₹28.49 Cr). The ₹1.80 Cr gap represents the total impact of discounts and adjustments absorbed across all orders.</w:t>
      </w:r>
    </w:p>
    <w:p w14:paraId="00100064" w14:textId="00100065">
      <w:pPr>
        <w:spacing w:after="120"/>
      </w:pPr>
      <w:r>
        <w:rPr>
          <w:color w:val="333333"/>
          <w:sz w:val="22"/>
        </w:rPr>
        <w:t xml:space="preserve">Profit Margin (18.7%):  Below the 30% benchmark considered healthy for retail. Electronics — which dominates revenue — has a compressed 12.3% margin, dragging the overall average down. Beauty (45.2%) and Books (37.2%) are the highest-margin categories.</w:t>
      </w:r>
    </w:p>
    <w:p w14:paraId="00100066" w14:textId="00100067">
      <w:pPr>
        <w:spacing w:after="120"/>
      </w:pPr>
      <w:r>
        <w:rPr>
          <w:color w:val="333333"/>
          <w:sz w:val="22"/>
        </w:rPr>
        <w:t xml:space="preserve">Customer Satisfaction (3.02 / 5):  Below the 4.0 industry benchmark. Post-delivery surveys, faster dispute resolution, and proactive shipping updates are key levers to improve this metric.</w:t>
      </w:r>
    </w:p>
    <w:p w14:paraId="00100068" w14:textId="00100069">
      <w:pPr>
        <w:spacing w:after="320"/>
      </w:pPr>
      <w:r>
        <w:rPr>
          <w:color w:val="333333"/>
          <w:sz w:val="22"/>
        </w:rPr>
        <w:t xml:space="preserve">Return Rate (14.5%):  Within the acceptable 15% threshold but approaching the warning boundary. Returned orders represent ₹3.87 Cr in lost revenue. Monitoring return reasons by category is recommended.</w:t>
      </w:r>
    </w:p>
    <w:p w14:paraId="0010006A" w14:textId="0010006B">
      <w:pPr>
        <w:pStyle w:val="Heading1"/>
        <w:shd w:val="clear" w:fill="1F3864"/>
        <w:spacing w:after="200"/>
      </w:pPr>
      <w:r>
        <w:rPr>
          <w:b/>
          <w:color w:val="FFFFFF"/>
          <w:sz w:val="36"/>
        </w:rPr>
        <w:t xml:space="preserve">5. SALES ANALYSIS BY PRODUCT CATEGORY</w:t>
      </w:r>
    </w:p>
    <w:p w14:paraId="0010006C" w14:textId="0010006D">
      <w:pPr>
        <w:spacing w:after="200"/>
      </w:pPr>
      <w:r>
        <w:rPr>
          <w:color w:val="333333"/>
          <w:sz w:val="22"/>
        </w:rPr>
        <w:t xml:space="preserve">The by_category() function groups all transactions by product_category and computes total revenue, profit, margin %, quantity sold, and average discount per category. Electronics is the dominant revenue driver, contributing nearly 59% of all sales.</w:t>
      </w:r>
    </w:p>
    <w:p w14:paraId="0010006E" w14:textId="0010006F">
      <w:pPr>
        <w:pStyle w:val="Heading2"/>
        <w:spacing w:after="160"/>
      </w:pPr>
      <w:r>
        <w:rPr>
          <w:b/>
          <w:color w:val="2E74B5"/>
          <w:sz w:val="26"/>
        </w:rPr>
        <w:t xml:space="preserve">5.1  Category Performance Data Table</w:t>
      </w:r>
    </w:p>
    <w:p w14:paraId="00100070" w14:textId="00100071">
      <w:pPr>
        <w:shd w:val="clear" w:fill="1F3864"/>
        <w:spacing w:after="0"/>
      </w:pPr>
      <w:r>
        <w:rPr>
          <w:b/>
          <w:color w:val="FFFFFF"/>
          <w:sz w:val="22"/>
        </w:rPr>
        <w:t xml:space="preserve">Category       |  Orders  |  Revenue (₹)      |  Profit (₹)      |  Margin %  |  Rank</w:t>
      </w:r>
    </w:p>
    <w:p w14:paraId="00100072" w14:textId="00100073">
      <w:pPr>
        <w:shd w:val="clear" w:fill="EBF3FB"/>
        <w:spacing w:after="0"/>
      </w:pPr>
      <w:r>
        <w:rPr>
          <w:sz w:val="22"/>
        </w:rPr>
        <w:t xml:space="preserve">Electronics    |  615     |  15,71,70,278     |  1,92,95,550     |  12.3%     |  #1</w:t>
      </w:r>
    </w:p>
    <w:p w14:paraId="00100074" w14:textId="00100075">
      <w:pPr>
        <w:spacing w:after="0"/>
      </w:pPr>
      <w:r>
        <w:rPr>
          <w:sz w:val="22"/>
        </w:rPr>
        <w:t xml:space="preserve">Furniture      |  583     |  5,71,30,399      |  1,61,34,850     |  28.2%     |  #2</w:t>
      </w:r>
    </w:p>
    <w:p w14:paraId="00100076" w14:textId="00100077">
      <w:pPr>
        <w:shd w:val="clear" w:fill="EBF3FB"/>
        <w:spacing w:after="0"/>
      </w:pPr>
      <w:r>
        <w:rPr>
          <w:sz w:val="22"/>
        </w:rPr>
        <w:t xml:space="preserve">Sports         |  625     |  3,20,92,451      |   70,79,358      |  22.1%     |  #3</w:t>
      </w:r>
    </w:p>
    <w:p w14:paraId="00100078" w14:textId="00100079">
      <w:pPr>
        <w:spacing w:after="0"/>
      </w:pPr>
      <w:r>
        <w:rPr>
          <w:sz w:val="22"/>
        </w:rPr>
        <w:t xml:space="preserve">Clothing       |  645     |  1,16,73,276      |   42,12,781      |  36.1%     |  #4</w:t>
      </w:r>
    </w:p>
    <w:p w14:paraId="0010007A" w14:textId="0010007B">
      <w:pPr>
        <w:shd w:val="clear" w:fill="EBF3FB"/>
        <w:spacing w:after="0"/>
      </w:pPr>
      <w:r>
        <w:rPr>
          <w:sz w:val="22"/>
        </w:rPr>
        <w:t xml:space="preserve">Beauty         |  612     |    39,67,541      |   17,92,923      |  45.2%     |  #5</w:t>
      </w:r>
    </w:p>
    <w:p w14:paraId="0010007C" w14:textId="0010007D">
      <w:pPr>
        <w:spacing w:after="0"/>
      </w:pPr>
      <w:r>
        <w:rPr>
          <w:sz w:val="22"/>
        </w:rPr>
        <w:t xml:space="preserve">Books          |  573     |    38,24,242      |   14,24,006      |  37.2%     |  #6</w:t>
      </w:r>
    </w:p>
    <w:p w14:paraId="0010007E" w14:textId="0010007F">
      <w:pPr>
        <w:shd w:val="clear" w:fill="EBF3FB"/>
        <w:spacing w:after="200"/>
      </w:pPr>
      <w:r>
        <w:rPr>
          <w:sz w:val="22"/>
        </w:rPr>
        <w:t xml:space="preserve">Groceries      |  627     |    10,36,782      |       81,429     |   7.9%     |  #7</w:t>
      </w:r>
    </w:p>
    <w:p w14:paraId="00100080" w14:textId="00100081">
      <w:pPr>
        <w:pStyle w:val="Heading2"/>
        <w:spacing w:after="120"/>
      </w:pPr>
      <w:r>
        <w:rPr>
          <w:b/>
          <w:color w:val="2E74B5"/>
          <w:sz w:val="26"/>
        </w:rPr>
        <w:t xml:space="preserve">5.2  Bar Chart — Revenue by Product Category</w:t>
      </w:r>
    </w:p>
    <w:p w14:paraId="00100082" w14:textId="00100083">
      <w:pPr>
        <w:spacing w:after="80"/>
        <w:jc w:val="center"/>
      </w:pPr>
      <w:r>
        <w:rPr>
          <w:color w:val="777777"/>
          <w:sz w:val="20"/>
        </w:rPr>
        <w:t xml:space="preserve">Figure 1: Total Revenue (₹ Crore) by Product Category — Source: retail_sales_dataset.csv</w:t>
      </w:r>
    </w:p>
    <w:p w14:paraId="00100084" w14:textId="00100085">
      <w:r>
        <w:drawing>
          <wp:inline distT="0" distB="0" distL="0" distR="0">
            <wp:extent cx="5760000" cy="3240000"/>
            <wp:effectExtent l="0" t="0" r="0" b="0"/>
            <wp:docPr id="1" name="Revenue by Product Category (₹)"/>
            <wp:cNvGraphicFramePr/>
            <a:graphic>
              <a:graphicData uri="http://schemas.openxmlformats.org/drawingml/2006/chart">
                <c:chart xmlns:c="http://schemas.openxmlformats.org/drawingml/2006/chart" r:id="Rcfeff9e544d14670"/>
              </a:graphicData>
            </a:graphic>
          </wp:inline>
        </w:drawing>
      </w:r>
    </w:p>
    <w:p w14:paraId="00100086" w14:textId="00100087">
      <w:pPr>
        <w:spacing w:after="200"/>
      </w:pPr>
      <w:r>
        <w:rPr>
          <w:color w:val="333333"/>
          <w:sz w:val="22"/>
        </w:rPr>
        <w:t xml:space="preserve">Electronics dominates at ₹15.72 Cr (58.9% of total revenue). Furniture is a distant second at ₹5.71 Cr (21.4%). Sports ranks third at ₹3.21 Cr. The remaining four categories — Clothing, Beauty, Books, Groceries — together account for only 7% of total revenue.</w:t>
      </w:r>
    </w:p>
    <w:p w14:paraId="00100088" w14:textId="00100089">
      <w:pPr>
        <w:pStyle w:val="Heading2"/>
        <w:spacing w:after="120"/>
      </w:pPr>
      <w:r>
        <w:rPr>
          <w:b/>
          <w:color w:val="2E74B5"/>
          <w:sz w:val="26"/>
        </w:rPr>
        <w:t xml:space="preserve">5.3  Bar Chart — Profit by Product Category</w:t>
      </w:r>
    </w:p>
    <w:p w14:paraId="0010008A" w14:textId="0010008B">
      <w:pPr>
        <w:spacing w:after="80"/>
        <w:jc w:val="center"/>
      </w:pPr>
      <w:r>
        <w:rPr>
          <w:color w:val="777777"/>
          <w:sz w:val="20"/>
        </w:rPr>
        <w:t xml:space="preserve">Figure 2: Total Profit (₹) by Product Category — Source: retail_sales_dataset.csv</w:t>
      </w:r>
    </w:p>
    <w:p w14:paraId="0010008C" w14:textId="0010008D">
      <w:r>
        <w:drawing>
          <wp:inline distT="0" distB="0" distL="0" distR="0">
            <wp:extent cx="5760000" cy="3240000"/>
            <wp:effectExtent l="0" t="0" r="0" b="0"/>
            <wp:docPr id="2" name="Profit by Product Category (₹)"/>
            <wp:cNvGraphicFramePr/>
            <a:graphic>
              <a:graphicData uri="http://schemas.openxmlformats.org/drawingml/2006/chart">
                <c:chart xmlns:c="http://schemas.openxmlformats.org/drawingml/2006/chart" r:id="Ra1c46bfadff0473b"/>
              </a:graphicData>
            </a:graphic>
          </wp:inline>
        </w:drawing>
      </w:r>
    </w:p>
    <w:p w14:paraId="0010008E" w14:textId="0010008F">
      <w:pPr>
        <w:spacing w:after="200"/>
      </w:pPr>
      <w:r>
        <w:rPr>
          <w:color w:val="333333"/>
          <w:sz w:val="22"/>
        </w:rPr>
        <w:t xml:space="preserve">Despite lower margin %, Electronics generates the most absolute profit (₹1.93 Cr) due to sheer volume. Furniture is nearly equal at ₹1.61 Cr. Notably, Beauty has a 45.2% margin but ranks 5th in absolute profit — it is a high-margin, low-volume segment. Groceries is the weakest with only ₹81,429 profit (7.9% margin).</w:t>
      </w:r>
    </w:p>
    <w:p w14:paraId="00100090" w14:textId="00100091">
      <w:pPr>
        <w:pStyle w:val="Heading2"/>
        <w:spacing w:after="120"/>
      </w:pPr>
      <w:r>
        <w:rPr>
          <w:b/>
          <w:color w:val="2E74B5"/>
          <w:sz w:val="26"/>
        </w:rPr>
        <w:t xml:space="preserve">5.4  Profit Margin % Comparison by Category</w:t>
      </w:r>
    </w:p>
    <w:p w14:paraId="00100092" w14:textId="00100093">
      <w:pPr>
        <w:spacing w:after="80"/>
        <w:jc w:val="center"/>
      </w:pPr>
      <w:r>
        <w:rPr>
          <w:color w:val="777777"/>
          <w:sz w:val="20"/>
        </w:rPr>
        <w:t xml:space="preserve">Figure 3: Profit Margin % by Category — Ranked Lowest to Highest</w:t>
      </w:r>
    </w:p>
    <w:p w14:paraId="00100094" w14:textId="00100095">
      <w:r>
        <w:drawing>
          <wp:inline distT="0" distB="0" distL="0" distR="0">
            <wp:extent cx="5760000" cy="3240000"/>
            <wp:effectExtent l="0" t="0" r="0" b="0"/>
            <wp:docPr id="3" name="Profit Margin % by Category"/>
            <wp:cNvGraphicFramePr/>
            <a:graphic>
              <a:graphicData uri="http://schemas.openxmlformats.org/drawingml/2006/chart">
                <c:chart xmlns:c="http://schemas.openxmlformats.org/drawingml/2006/chart" r:id="R0a4fa3bc141b4eb8"/>
              </a:graphicData>
            </a:graphic>
          </wp:inline>
        </w:drawing>
      </w:r>
    </w:p>
    <w:p w14:paraId="00100096" w14:textId="00100097">
      <w:pPr>
        <w:spacing w:after="320"/>
      </w:pPr>
      <w:r>
        <w:rPr>
          <w:color w:val="333333"/>
          <w:sz w:val="22"/>
        </w:rPr>
        <w:t xml:space="preserve">Beauty (45.2%) and Books (37.2%) are premium-margin categories. Groceries (7.9%) and Electronics (12.3%) are high-volume, low-margin segments. Strategic recommendation: grow Beauty and Books through premium placement while optimising cost structures in Electronics and Groceries.</w:t>
      </w:r>
    </w:p>
    <w:p w14:paraId="00100098" w14:textId="00100099">
      <w:pPr>
        <w:pStyle w:val="Heading1"/>
        <w:shd w:val="clear" w:fill="1F3864"/>
        <w:spacing w:after="200"/>
      </w:pPr>
      <w:r>
        <w:rPr>
          <w:b/>
          <w:color w:val="FFFFFF"/>
          <w:sz w:val="36"/>
        </w:rPr>
        <w:t xml:space="preserve">6. REGIONAL SALES ANALYSIS</w:t>
      </w:r>
    </w:p>
    <w:p w14:paraId="0010009A" w14:textId="0010009B">
      <w:pPr>
        <w:spacing w:after="200"/>
      </w:pPr>
      <w:r>
        <w:rPr>
          <w:color w:val="333333"/>
          <w:sz w:val="22"/>
        </w:rPr>
        <w:t xml:space="preserve">The dataset covers 5 regions of India. The by_region() function computes total revenue, profit, and order count per region. The South region is the top market.</w:t>
      </w:r>
    </w:p>
    <w:p w14:paraId="0010009C" w14:textId="0010009D">
      <w:pPr>
        <w:pStyle w:val="Heading2"/>
        <w:spacing w:after="120"/>
      </w:pPr>
      <w:r>
        <w:rPr>
          <w:b/>
          <w:color w:val="2E74B5"/>
          <w:sz w:val="26"/>
        </w:rPr>
        <w:t xml:space="preserve">6.1  Regional Performance Table</w:t>
      </w:r>
    </w:p>
    <w:p w14:paraId="0010009E" w14:textId="0010009F">
      <w:pPr>
        <w:shd w:val="clear" w:fill="1F3864"/>
        <w:spacing w:after="0"/>
      </w:pPr>
      <w:r>
        <w:rPr>
          <w:b/>
          <w:color w:val="FFFFFF"/>
          <w:sz w:val="22"/>
        </w:rPr>
        <w:t xml:space="preserve">Region    |  Orders  |  Revenue (₹)      |  Profit (₹)      |  Revenue Share</w:t>
      </w:r>
    </w:p>
    <w:p w14:paraId="001000A0" w14:textId="001000A1">
      <w:pPr>
        <w:shd w:val="clear" w:fill="EBF3FB"/>
        <w:spacing w:after="0"/>
      </w:pPr>
      <w:r>
        <w:rPr>
          <w:sz w:val="22"/>
        </w:rPr>
        <w:t xml:space="preserve">South     |   885    |  7,42,83,796      |  1,34,26,744     |  27.8%</w:t>
      </w:r>
    </w:p>
    <w:p w14:paraId="001000A2" w14:textId="001000A3">
      <w:pPr>
        <w:spacing w:after="0"/>
      </w:pPr>
      <w:r>
        <w:rPr>
          <w:sz w:val="22"/>
        </w:rPr>
        <w:t xml:space="preserve">North     |   872    |  5,43,15,822      |  1,05,02,192     |  20.4%</w:t>
      </w:r>
    </w:p>
    <w:p w14:paraId="001000A4" w14:textId="001000A5">
      <w:pPr>
        <w:shd w:val="clear" w:fill="EBF3FB"/>
        <w:spacing w:after="0"/>
      </w:pPr>
      <w:r>
        <w:rPr>
          <w:sz w:val="22"/>
        </w:rPr>
        <w:t xml:space="preserve">East      |   846    |  4,94,30,294      |   88,72,942      |  18.5%</w:t>
      </w:r>
    </w:p>
    <w:p w14:paraId="001000A6" w14:textId="001000A7">
      <w:pPr>
        <w:spacing w:after="0"/>
      </w:pPr>
      <w:r>
        <w:rPr>
          <w:sz w:val="22"/>
        </w:rPr>
        <w:t xml:space="preserve">West      |   880    |  4,80,87,464      |   89,04,550      |  18.0%</w:t>
      </w:r>
    </w:p>
    <w:p w14:paraId="001000A8" w14:textId="001000A9">
      <w:pPr>
        <w:shd w:val="clear" w:fill="EBF3FB"/>
        <w:spacing w:after="200"/>
      </w:pPr>
      <w:r>
        <w:rPr>
          <w:sz w:val="22"/>
        </w:rPr>
        <w:t xml:space="preserve">Central   |   797    |  4,07,77,592      |   83,14,467      |  15.3%</w:t>
      </w:r>
    </w:p>
    <w:p w14:paraId="001000AA" w14:textId="001000AB">
      <w:pPr>
        <w:pStyle w:val="Heading2"/>
        <w:spacing w:after="120"/>
      </w:pPr>
      <w:r>
        <w:rPr>
          <w:b/>
          <w:color w:val="2E74B5"/>
          <w:sz w:val="26"/>
        </w:rPr>
        <w:t xml:space="preserve">6.2  Bar Chart — Revenue by Region</w:t>
      </w:r>
    </w:p>
    <w:p w14:paraId="001000AC" w14:textId="001000AD">
      <w:pPr>
        <w:spacing w:after="80"/>
        <w:jc w:val="center"/>
      </w:pPr>
      <w:r>
        <w:rPr>
          <w:color w:val="777777"/>
          <w:sz w:val="20"/>
        </w:rPr>
        <w:t xml:space="preserve">Figure 4: Total Revenue (₹) by Region — Source: retail_sales_dataset.csv</w:t>
      </w:r>
    </w:p>
    <w:p w14:paraId="001000AE" w14:textId="001000AF">
      <w:r>
        <w:drawing>
          <wp:inline distT="0" distB="0" distL="0" distR="0">
            <wp:extent cx="5760000" cy="3240000"/>
            <wp:effectExtent l="0" t="0" r="0" b="0"/>
            <wp:docPr id="4" name="Revenue by Region (₹)"/>
            <wp:cNvGraphicFramePr/>
            <a:graphic>
              <a:graphicData uri="http://schemas.openxmlformats.org/drawingml/2006/chart">
                <c:chart r:id="R5655a64a6c7446be"/>
              </a:graphicData>
            </a:graphic>
          </wp:inline>
        </w:drawing>
      </w:r>
    </w:p>
    <w:p w14:paraId="001000B0" w14:textId="001000B1">
      <w:pPr>
        <w:spacing w:after="320"/>
      </w:pPr>
      <w:r>
        <w:rPr>
          <w:color w:val="333333"/>
          <w:sz w:val="22"/>
        </w:rPr>
        <w:t xml:space="preserve">South leads with ₹7.43 Cr — 8.2% higher than North (₹5.43 Cr, 2nd place). The gap between the top region (South) and the bottom (Central) is ₹3.35 Cr — a 44% difference. This signals significant regional disparity and growth opportunity in Central India.</w:t>
      </w:r>
    </w:p>
    <w:p w14:paraId="001000B2" w14:textId="001000B3">
      <w:pPr>
        <w:pStyle w:val="Heading1"/>
        <w:shd w:val="clear" w:fill="1F3864"/>
        <w:spacing w:after="200"/>
      </w:pPr>
      <w:r>
        <w:rPr>
          <w:b/>
          <w:color w:val="FFFFFF"/>
          <w:sz w:val="36"/>
        </w:rPr>
        <w:t xml:space="preserve">7. YEARLY SALES TREND ANALYSIS</w:t>
      </w:r>
    </w:p>
    <w:p w14:paraId="001000B4" w14:textId="001000B5">
      <w:pPr>
        <w:spacing w:after="200"/>
      </w:pPr>
      <w:r>
        <w:rPr>
          <w:color w:val="333333"/>
          <w:sz w:val="22"/>
        </w:rPr>
        <w:t xml:space="preserve">Year-over-year revenue analysis reveals the growth trajectory of the business from 2020 to 2024. The monthly_trend() and yearly groupby functions extract time-based patterns from the order_date column.</w:t>
      </w:r>
    </w:p>
    <w:p w14:paraId="001000B6" w14:textId="001000B7">
      <w:pPr>
        <w:pStyle w:val="Heading2"/>
        <w:spacing w:after="120"/>
      </w:pPr>
      <w:r>
        <w:rPr>
          <w:b/>
          <w:color w:val="2E74B5"/>
          <w:sz w:val="26"/>
        </w:rPr>
        <w:t xml:space="preserve">7.1  Yearly Revenue Summary Table</w:t>
      </w:r>
    </w:p>
    <w:p w14:paraId="001000B8" w14:textId="001000B9">
      <w:pPr>
        <w:shd w:val="clear" w:fill="1F3864"/>
        <w:spacing w:after="0"/>
      </w:pPr>
      <w:r>
        <w:rPr>
          <w:b/>
          <w:color w:val="FFFFFF"/>
          <w:sz w:val="22"/>
        </w:rPr>
        <w:t xml:space="preserve">Year   |  Revenue (₹)      |  YoY Change  |  Notes</w:t>
      </w:r>
    </w:p>
    <w:p w14:paraId="001000BA" w14:textId="001000BB">
      <w:pPr>
        <w:shd w:val="clear" w:fill="EBF3FB"/>
        <w:spacing w:after="0"/>
      </w:pPr>
      <w:r>
        <w:rPr>
          <w:sz w:val="22"/>
        </w:rPr>
        <w:t xml:space="preserve">2020   |  3,96,00,641      |  Baseline    |  First year in dataset</w:t>
      </w:r>
    </w:p>
    <w:p w14:paraId="001000BC" w14:textId="001000BD">
      <w:pPr>
        <w:spacing w:after="0"/>
      </w:pPr>
      <w:r>
        <w:rPr>
          <w:sz w:val="22"/>
        </w:rPr>
        <w:t xml:space="preserve">2021   |  5,42,03,951      |  +36.9%      |  Strong growth year</w:t>
      </w:r>
    </w:p>
    <w:p w14:paraId="001000BE" w14:textId="001000BF">
      <w:pPr>
        <w:shd w:val="clear" w:fill="EBF3FB"/>
        <w:spacing w:after="0"/>
      </w:pPr>
      <w:r>
        <w:rPr>
          <w:sz w:val="22"/>
        </w:rPr>
        <w:t xml:space="preserve">2022   |  4,80,68,483      |  -11.3%      |  Revenue dip — possible seasonal gap</w:t>
      </w:r>
    </w:p>
    <w:p w14:paraId="001000C0" w14:textId="001000C1">
      <w:pPr>
        <w:spacing w:after="0"/>
      </w:pPr>
      <w:r>
        <w:rPr>
          <w:sz w:val="22"/>
        </w:rPr>
        <w:t xml:space="preserve">2023   |  6,08,97,092      |  +26.7%      |  Peak year — highest revenue</w:t>
      </w:r>
    </w:p>
    <w:p w14:paraId="001000C2" w14:textId="001000C3">
      <w:pPr>
        <w:shd w:val="clear" w:fill="EBF3FB"/>
        <w:spacing w:after="200"/>
      </w:pPr>
      <w:r>
        <w:rPr>
          <w:sz w:val="22"/>
        </w:rPr>
        <w:t xml:space="preserve">2024   |  4,74,92,061      |  Partial      |  Dataset cutoff mid-2024</w:t>
      </w:r>
    </w:p>
    <w:p w14:paraId="001000C4" w14:textId="001000C5">
      <w:pPr>
        <w:pStyle w:val="Heading2"/>
        <w:spacing w:after="120"/>
      </w:pPr>
      <w:r>
        <w:rPr>
          <w:b/>
          <w:color w:val="2E74B5"/>
          <w:sz w:val="26"/>
        </w:rPr>
        <w:t xml:space="preserve">7.2  Bar Chart — Annual Revenue (2020–2024)</w:t>
      </w:r>
    </w:p>
    <w:p w14:paraId="001000C6" w14:textId="001000C7">
      <w:pPr>
        <w:spacing w:after="80"/>
        <w:jc w:val="center"/>
      </w:pPr>
      <w:r>
        <w:rPr>
          <w:color w:val="777777"/>
          <w:sz w:val="20"/>
        </w:rPr>
        <w:t xml:space="preserve">Figure 5: Total Annual Revenue (₹) by Year — Source: retail_sales_dataset.csv</w:t>
      </w:r>
    </w:p>
    <w:p w14:paraId="001000C8" w14:textId="001000C9">
      <w:r>
        <w:drawing>
          <wp:inline distT="0" distB="0" distL="0" distR="0">
            <wp:extent cx="5760000" cy="3240000"/>
            <wp:effectExtent l="0" t="0" r="0" b="0"/>
            <wp:docPr id="5" name="Annual Revenue by Year (₹)"/>
            <wp:cNvGraphicFramePr/>
            <a:graphic>
              <a:graphicData uri="http://schemas.openxmlformats.org/drawingml/2006/chart">
                <c:chart r:id="R42383e78e5074c92"/>
              </a:graphicData>
            </a:graphic>
          </wp:inline>
        </w:drawing>
      </w:r>
    </w:p>
    <w:p w14:paraId="001000CA" w14:textId="001000CB">
      <w:pPr>
        <w:spacing w:after="320"/>
      </w:pPr>
      <w:r>
        <w:rPr>
          <w:color w:val="333333"/>
          <w:sz w:val="22"/>
        </w:rPr>
        <w:t xml:space="preserve">2023 is the peak year at ₹6.09 Cr. Revenue grew 36.9% from 2020 to 2021, dipped 11.3% in 2022, then rebounded to a new peak in 2023. 2024 figures are partial (data cuts off mid-year), so the annualised 2024 rate is likely comparable to 2023 or higher.</w:t>
      </w:r>
    </w:p>
    <w:p w14:paraId="001000CC" w14:textId="001000CD">
      <w:pPr>
        <w:pStyle w:val="Heading1"/>
        <w:shd w:val="clear" w:fill="1F3864"/>
        <w:spacing w:after="200"/>
      </w:pPr>
      <w:r>
        <w:rPr>
          <w:b/>
          <w:color w:val="FFFFFF"/>
          <w:sz w:val="36"/>
        </w:rPr>
        <w:t xml:space="preserve">8. CUSTOMER DEMOGRAPHICS ANALYSIS</w:t>
      </w:r>
    </w:p>
    <w:p w14:paraId="001000CE" w14:textId="001000CF">
      <w:pPr>
        <w:spacing w:after="200"/>
      </w:pPr>
      <w:r>
        <w:rPr>
          <w:color w:val="333333"/>
          <w:sz w:val="22"/>
        </w:rPr>
        <w:t xml:space="preserve">Understanding who is buying is as important as understanding what is selling. Gender, age, and satisfaction analyses reveal demographic purchasing behaviour.</w:t>
      </w:r>
    </w:p>
    <w:p w14:paraId="001000D0" w14:textId="001000D1">
      <w:pPr>
        <w:pStyle w:val="Heading2"/>
        <w:spacing w:after="120"/>
      </w:pPr>
      <w:r>
        <w:rPr>
          <w:b/>
          <w:color w:val="2E74B5"/>
          <w:sz w:val="26"/>
        </w:rPr>
        <w:t xml:space="preserve">8.1  Revenue by Gender</w:t>
      </w:r>
    </w:p>
    <w:p w14:paraId="001000D2" w14:textId="001000D3">
      <w:pPr>
        <w:shd w:val="clear" w:fill="1F3864"/>
        <w:spacing w:after="0"/>
      </w:pPr>
      <w:r>
        <w:rPr>
          <w:b/>
          <w:color w:val="FFFFFF"/>
          <w:sz w:val="22"/>
        </w:rPr>
        <w:t xml:space="preserve">Gender   |  Orders  |  Revenue (₹)    |  Share</w:t>
      </w:r>
    </w:p>
    <w:p w14:paraId="001000D4" w14:textId="001000D5">
      <w:pPr>
        <w:shd w:val="clear" w:fill="EBF3FB"/>
        <w:spacing w:after="0"/>
      </w:pPr>
      <w:r>
        <w:rPr>
          <w:sz w:val="22"/>
        </w:rPr>
        <w:t xml:space="preserve">Other    |  1,442   |  8,67,24,723    |  32.5%</w:t>
      </w:r>
    </w:p>
    <w:p w14:paraId="001000D6" w14:textId="001000D7">
      <w:pPr>
        <w:spacing w:after="0"/>
      </w:pPr>
      <w:r>
        <w:rPr>
          <w:sz w:val="22"/>
        </w:rPr>
        <w:t xml:space="preserve">Female   |  1,285   |  8,21,75,550    |  30.8%</w:t>
      </w:r>
    </w:p>
    <w:p w14:paraId="001000D8" w14:textId="001000D9">
      <w:pPr>
        <w:shd w:val="clear" w:fill="EBF3FB"/>
        <w:spacing w:after="200"/>
      </w:pPr>
      <w:r>
        <w:rPr>
          <w:sz w:val="22"/>
        </w:rPr>
        <w:t xml:space="preserve">Male     |  1,337   |  8,10,18,436    |  30.4%</w:t>
      </w:r>
    </w:p>
    <w:p w14:paraId="001000DA" w14:textId="001000DB">
      <w:pPr>
        <w:spacing w:after="200"/>
      </w:pPr>
      <w:r>
        <w:rPr>
          <w:color w:val="333333"/>
          <w:sz w:val="22"/>
        </w:rPr>
        <w:t xml:space="preserve">The gender distribution is nearly equal — Other (32.5%), Female (30.8%), Male (30.4%). This indicates a broadly inclusive customer base with no single dominant gender segment, requiring multi-targeted marketing approaches.</w:t>
      </w:r>
    </w:p>
    <w:p w14:paraId="001000DC" w14:textId="001000DD">
      <w:pPr>
        <w:pStyle w:val="Heading2"/>
        <w:spacing w:after="120"/>
      </w:pPr>
      <w:r>
        <w:rPr>
          <w:b/>
          <w:color w:val="2E74B5"/>
          <w:sz w:val="26"/>
        </w:rPr>
        <w:t xml:space="preserve">8.2  Bar Chart — Revenue by Gender</w:t>
      </w:r>
    </w:p>
    <w:p w14:paraId="001000DE" w14:textId="001000DF">
      <w:pPr>
        <w:spacing w:after="80"/>
        <w:jc w:val="center"/>
      </w:pPr>
      <w:r>
        <w:rPr>
          <w:color w:val="777777"/>
          <w:sz w:val="20"/>
        </w:rPr>
        <w:t xml:space="preserve">Figure 6: Revenue Distribution by Customer Gender — Source: retail_sales_dataset.csv</w:t>
      </w:r>
    </w:p>
    <w:p w14:paraId="001000E0" w14:textId="001000E1">
      <w:r>
        <w:drawing>
          <wp:inline distT="0" distB="0" distL="0" distR="0">
            <wp:extent cx="4320000" cy="2520000"/>
            <wp:effectExtent l="0" t="0" r="0" b="0"/>
            <wp:docPr id="6" name="Revenue by Customer Gender (₹)"/>
            <wp:cNvGraphicFramePr/>
            <a:graphic>
              <a:graphicData uri="http://schemas.openxmlformats.org/drawingml/2006/chart">
                <c:chart r:id="R0b24ac945b704689"/>
              </a:graphicData>
            </a:graphic>
          </wp:inline>
        </w:drawing>
      </w:r>
    </w:p>
    <w:p w14:paraId="001000E2" w14:textId="001000E3">
      <w:pPr>
        <w:pStyle w:val="Heading2"/>
        <w:spacing w:after="120"/>
      </w:pPr>
      <w:r>
        <w:rPr>
          <w:b/>
          <w:color w:val="2E74B5"/>
          <w:sz w:val="26"/>
        </w:rPr>
        <w:t xml:space="preserve">8.3  Order Status Distribution</w:t>
      </w:r>
    </w:p>
    <w:p w14:paraId="001000E4" w14:textId="001000E5">
      <w:pPr>
        <w:shd w:val="clear" w:fill="1F3864"/>
        <w:spacing w:after="0"/>
      </w:pPr>
      <w:r>
        <w:rPr>
          <w:b/>
          <w:color w:val="FFFFFF"/>
          <w:sz w:val="22"/>
        </w:rPr>
        <w:t xml:space="preserve">Status       |  Count   |  Share   |  Interpretation</w:t>
      </w:r>
    </w:p>
    <w:p w14:paraId="001000E6" w14:textId="001000E7">
      <w:pPr>
        <w:shd w:val="clear" w:fill="E2EFDA"/>
        <w:spacing w:after="0"/>
      </w:pPr>
      <w:r>
        <w:rPr>
          <w:sz w:val="22"/>
        </w:rPr>
        <w:t xml:space="preserve">Delivered    |  2,787   |  64.7%   |  Successfully fulfilled orders</w:t>
      </w:r>
    </w:p>
    <w:p w14:paraId="001000E8" w14:textId="001000E9">
      <w:pPr>
        <w:shd w:val="clear" w:fill="FFF2CC"/>
        <w:spacing w:after="0"/>
      </w:pPr>
      <w:r>
        <w:rPr>
          <w:sz w:val="22"/>
        </w:rPr>
        <w:t xml:space="preserve">Returned     |    623   |  14.5%   |  Orders sent back by customers</w:t>
      </w:r>
    </w:p>
    <w:p w14:paraId="001000EA" w14:textId="001000EB">
      <w:pPr>
        <w:shd w:val="clear" w:fill="FCE4D6"/>
        <w:spacing w:after="0"/>
      </w:pPr>
      <w:r>
        <w:rPr>
          <w:sz w:val="22"/>
        </w:rPr>
        <w:t xml:space="preserve">Cancelled    |    352   |   8.2%   |  Orders cancelled before delivery</w:t>
      </w:r>
    </w:p>
    <w:p w14:paraId="001000EC" w14:textId="001000ED">
      <w:pPr>
        <w:shd w:val="clear" w:fill="EBF3FB"/>
        <w:spacing w:after="0"/>
      </w:pPr>
      <w:r>
        <w:rPr>
          <w:sz w:val="22"/>
        </w:rPr>
        <w:t xml:space="preserve">Shipped      |    334   |   7.8%   |  In transit (not yet delivered)</w:t>
      </w:r>
    </w:p>
    <w:p w14:paraId="001000EE" w14:textId="001000EF">
      <w:pPr>
        <w:shd w:val="clear" w:fill="F2F2F2"/>
        <w:spacing w:after="200"/>
      </w:pPr>
      <w:r>
        <w:rPr>
          <w:sz w:val="22"/>
        </w:rPr>
        <w:t xml:space="preserve">Pending      |    184   |   4.3%   |  Not yet dispatched</w:t>
      </w:r>
    </w:p>
    <w:p w14:paraId="001000F0" w14:textId="001000F1">
      <w:pPr>
        <w:spacing w:after="80"/>
        <w:jc w:val="center"/>
      </w:pPr>
      <w:r>
        <w:rPr>
          <w:color w:val="777777"/>
          <w:sz w:val="20"/>
        </w:rPr>
        <w:t xml:space="preserve">Figure 7: Order Status Distribution — Source: retail_sales_dataset.csv</w:t>
      </w:r>
    </w:p>
    <w:p w14:paraId="001000F2" w14:textId="001000F3">
      <w:r>
        <w:drawing>
          <wp:inline distT="0" distB="0" distL="0" distR="0">
            <wp:extent cx="5040000" cy="3240000"/>
            <wp:effectExtent l="0" t="0" r="0" b="0"/>
            <wp:docPr id="7" name="Order Status Distribution"/>
            <wp:cNvGraphicFramePr/>
            <a:graphic>
              <a:graphicData uri="http://schemas.openxmlformats.org/drawingml/2006/chart">
                <c:chart r:id="R4df5f6925a784f46"/>
              </a:graphicData>
            </a:graphic>
          </wp:inline>
        </w:drawing>
      </w:r>
    </w:p>
    <w:p w14:paraId="001000F4" w14:textId="001000F5">
      <w:pPr>
        <w:spacing w:after="320"/>
      </w:pPr>
      <w:r>
        <w:rPr>
          <w:color w:val="333333"/>
          <w:sz w:val="22"/>
        </w:rPr>
        <w:t xml:space="preserve">64.7% of orders are successfully delivered. The 14.5% return rate and 8.2% cancellation rate represent ₹3.87 Cr and ₹2.19 Cr in revenue at risk respectively. Reducing even the return rate by 3 percentage points would recover approximately ₹0.8 Cr in revenue.</w:t>
      </w:r>
    </w:p>
    <w:p w14:paraId="001000F6" w14:textId="001000F7">
      <w:pPr>
        <w:pStyle w:val="Heading1"/>
        <w:shd w:val="clear" w:fill="1F3864"/>
        <w:spacing w:after="200"/>
      </w:pPr>
      <w:r>
        <w:rPr>
          <w:b/>
          <w:color w:val="FFFFFF"/>
          <w:sz w:val="36"/>
        </w:rPr>
        <w:t xml:space="preserve">9. PAYMENT METHOD ANALYSIS</w:t>
      </w:r>
    </w:p>
    <w:p w14:paraId="001000F8" w14:textId="001000F9">
      <w:pPr>
        <w:spacing w:after="200"/>
      </w:pPr>
      <w:r>
        <w:rPr>
          <w:color w:val="333333"/>
          <w:sz w:val="22"/>
        </w:rPr>
        <w:t xml:space="preserve">Payment method data reveals how customers prefer to pay, enabling checkout optimisation and targeted incentive programmes.</w:t>
      </w:r>
    </w:p>
    <w:p w14:paraId="001000FA" w14:textId="001000FB">
      <w:pPr>
        <w:shd w:val="clear" w:fill="1F3864"/>
        <w:spacing w:after="0"/>
      </w:pPr>
      <w:r>
        <w:rPr>
          <w:b/>
          <w:color w:val="FFFFFF"/>
          <w:sz w:val="22"/>
        </w:rPr>
        <w:t xml:space="preserve">Payment Method    |  Orders  |  Revenue (₹)      |  Revenue Share</w:t>
      </w:r>
    </w:p>
    <w:p w14:paraId="001000FC" w14:textId="001000FD">
      <w:pPr>
        <w:shd w:val="clear" w:fill="EBF3FB"/>
        <w:spacing w:after="0"/>
      </w:pPr>
      <w:r>
        <w:rPr>
          <w:sz w:val="22"/>
        </w:rPr>
        <w:t xml:space="preserve">EMI               |   695    |  6,34,26,808      |  23.8%</w:t>
      </w:r>
    </w:p>
    <w:p w14:paraId="001000FE" w14:textId="001000FF">
      <w:pPr>
        <w:spacing w:after="0"/>
      </w:pPr>
      <w:r>
        <w:rPr>
          <w:sz w:val="22"/>
        </w:rPr>
        <w:t xml:space="preserve">Debit Card        |   700    |  4,30,16,312      |  16.1%</w:t>
      </w:r>
    </w:p>
    <w:p w14:paraId="00100100" w14:textId="00100101">
      <w:pPr>
        <w:shd w:val="clear" w:fill="EBF3FB"/>
        <w:spacing w:after="0"/>
      </w:pPr>
      <w:r>
        <w:rPr>
          <w:sz w:val="22"/>
        </w:rPr>
        <w:t xml:space="preserve">Cash on Delivery  |   717    |  4,22,91,275      |  15.9%</w:t>
      </w:r>
    </w:p>
    <w:p w14:paraId="00100102" w14:textId="00100103">
      <w:pPr>
        <w:spacing w:after="0"/>
      </w:pPr>
      <w:r>
        <w:rPr>
          <w:sz w:val="22"/>
        </w:rPr>
        <w:t xml:space="preserve">UPI               |   761    |  3,96,16,904      |  14.8%</w:t>
      </w:r>
    </w:p>
    <w:p w14:paraId="00100104" w14:textId="00100105">
      <w:pPr>
        <w:shd w:val="clear" w:fill="EBF3FB"/>
        <w:spacing w:after="0"/>
      </w:pPr>
      <w:r>
        <w:rPr>
          <w:sz w:val="22"/>
        </w:rPr>
        <w:t xml:space="preserve">Credit Card       |   734    |  3,86,42,452      |  14.5%</w:t>
      </w:r>
    </w:p>
    <w:p w14:paraId="00100106" w14:textId="00100107">
      <w:pPr>
        <w:spacing w:after="200"/>
      </w:pPr>
      <w:r>
        <w:rPr>
          <w:sz w:val="22"/>
        </w:rPr>
        <w:t xml:space="preserve">Net Banking       |   673    |  3,99,01,218      |  15.0%</w:t>
      </w:r>
    </w:p>
    <w:p w14:paraId="00100108" w14:textId="00100109">
      <w:pPr>
        <w:spacing w:after="80"/>
        <w:jc w:val="center"/>
      </w:pPr>
      <w:r>
        <w:rPr>
          <w:color w:val="777777"/>
          <w:sz w:val="20"/>
        </w:rPr>
        <w:t xml:space="preserve">Figure 8: Revenue by Payment Method — Source: retail_sales_dataset.csv</w:t>
      </w:r>
    </w:p>
    <w:p w14:paraId="0010010A" w14:textId="0010010B">
      <w:r>
        <w:drawing>
          <wp:inline distT="0" distB="0" distL="0" distR="0">
            <wp:extent cx="5760000" cy="3240000"/>
            <wp:effectExtent l="0" t="0" r="0" b="0"/>
            <wp:docPr id="8" name="Revenue by Payment Method (₹)"/>
            <wp:cNvGraphicFramePr/>
            <a:graphic>
              <a:graphicData uri="http://schemas.openxmlformats.org/drawingml/2006/chart">
                <c:chart r:id="Rf0b443a2bcb44bcf"/>
              </a:graphicData>
            </a:graphic>
          </wp:inline>
        </w:drawing>
      </w:r>
    </w:p>
    <w:p w14:paraId="0010010C" w14:textId="0010010D">
      <w:pPr>
        <w:spacing w:after="320"/>
      </w:pPr>
      <w:r>
        <w:rPr>
          <w:color w:val="333333"/>
          <w:sz w:val="22"/>
        </w:rPr>
        <w:t xml:space="preserve">EMI dominates at ₹6.34 Cr (23.8% of revenue) despite having only 695 orders — the highest revenue-per-order of any payment method (₹91,262 avg). This is driven by large-ticket EMI purchases in Electronics and Furniture. UPI has the most orders (761) but lower AOV, consistent with small-ticket daily purchases.</w:t>
      </w:r>
    </w:p>
    <w:p w14:paraId="0010010E" w14:textId="0010010F">
      <w:pPr>
        <w:pStyle w:val="Heading1"/>
        <w:shd w:val="clear" w:fill="1F3864"/>
        <w:spacing w:after="200"/>
      </w:pPr>
      <w:r>
        <w:rPr>
          <w:b/>
          <w:color w:val="FFFFFF"/>
          <w:sz w:val="36"/>
        </w:rPr>
        <w:t xml:space="preserve">10. SALES CALCULATION — QUANTITY x UNIT PRICE</w:t>
      </w:r>
    </w:p>
    <w:p w14:paraId="00100110" w14:textId="00100111">
      <w:pPr>
        <w:spacing w:after="120"/>
      </w:pPr>
      <w:r>
        <w:rPr>
          <w:color w:val="333333"/>
          <w:sz w:val="22"/>
        </w:rPr>
        <w:t xml:space="preserve">A core analytical requirement is to compute gross sales as the product of quantity ordered and the unit price. This derived metric is added during the cleaning step:</w:t>
      </w:r>
    </w:p>
    <w:p w14:paraId="00100112" w14:textId="00100113">
      <w:pPr>
        <w:shd w:val="clear" w:fill="DEEAF1"/>
        <w:spacing w:after="120"/>
        <w:jc w:val="center"/>
      </w:pPr>
      <w:r>
        <w:rPr>
          <w:b/>
          <w:color w:val="1F3864"/>
          <w:sz w:val="30"/>
        </w:rPr>
        <w:t xml:space="preserve">         calculated_sales  =  quantity  ×  unit_price</w:t>
      </w:r>
    </w:p>
    <w:p w14:paraId="00100114" w14:textId="00100115">
      <w:pPr>
        <w:shd w:val="clear" w:fill="2E74B5"/>
        <w:spacing w:after="0"/>
      </w:pPr>
      <w:r>
        <w:rPr>
          <w:b/>
          <w:color w:val="FFFFFF"/>
          <w:sz w:val="22"/>
        </w:rPr>
        <w:t xml:space="preserve">Metric                          |  Value (₹)           |  Interpretation</w:t>
      </w:r>
    </w:p>
    <w:p w14:paraId="00100116" w14:textId="00100117">
      <w:pPr>
        <w:shd w:val="clear" w:fill="EBF3FB"/>
        <w:spacing w:after="0"/>
      </w:pPr>
      <w:r>
        <w:rPr>
          <w:sz w:val="22"/>
        </w:rPr>
        <w:t xml:space="preserve">Calculated Sales (Gross)        |  28,49,16,371        |  qty × unit_price — no discounts applied</w:t>
      </w:r>
    </w:p>
    <w:p w14:paraId="00100118" w14:textId="00100119">
      <w:pPr>
        <w:spacing w:after="0"/>
      </w:pPr>
      <w:r>
        <w:rPr>
          <w:sz w:val="22"/>
        </w:rPr>
        <w:t xml:space="preserve">Recorded Revenue (sales_amount) |  26,68,94,969        |  Actual post-discount + adjustment revenue</w:t>
      </w:r>
    </w:p>
    <w:p w14:paraId="0010011A" w14:textId="0010011B">
      <w:pPr>
        <w:shd w:val="clear" w:fill="FCE4D6"/>
        <w:spacing w:after="320"/>
      </w:pPr>
      <w:r>
        <w:rPr>
          <w:sz w:val="22"/>
        </w:rPr>
        <w:t xml:space="preserve">Discount &amp; Adjustment Gap       |   1,80,21,402        |  ~6.3% of gross sales lost to discounts/returns</w:t>
      </w:r>
    </w:p>
    <w:p w14:paraId="0010011C" w14:textId="0010011D">
      <w:pPr>
        <w:pStyle w:val="Heading1"/>
        <w:shd w:val="clear" w:fill="1F3864"/>
        <w:spacing w:after="200"/>
      </w:pPr>
      <w:r>
        <w:rPr>
          <w:b/>
          <w:color w:val="FFFFFF"/>
          <w:sz w:val="36"/>
        </w:rPr>
        <w:t xml:space="preserve">11. BUSINESS INSIGHTS &amp; RECOMMENDATIONS</w:t>
      </w:r>
    </w:p>
    <w:p w14:paraId="0010011E" w14:textId="0010011F">
      <w:pPr>
        <w:spacing w:after="200"/>
      </w:pPr>
      <w:r>
        <w:rPr>
          <w:color w:val="333333"/>
          <w:sz w:val="22"/>
        </w:rPr>
        <w:t xml:space="preserve">The generate_insights() function automatically produces actionable recommendations from computed KPIs. All 7 insights are surfaced as highlighted cards on the Streamlit Insights tab.</w:t>
      </w:r>
    </w:p>
    <w:p w14:paraId="00100120" w14:textId="00100121">
      <w:pPr>
        <w:shd w:val="clear" w:fill="2E74B5"/>
        <w:spacing w:after="80"/>
      </w:pPr>
      <w:r>
        <w:rPr>
          <w:b/>
          <w:color w:val="FFFFFF"/>
          <w:sz w:val="24"/>
        </w:rPr>
        <w:t xml:space="preserve">INSIGHT 1 — Invest in Electronics, Optimise Its Margin</w:t>
      </w:r>
    </w:p>
    <w:p w14:paraId="00100122" w14:textId="00100123">
      <w:pPr>
        <w:shd w:val="clear" w:fill="EBF3FB"/>
        <w:spacing w:after="200"/>
      </w:pPr>
      <w:r>
        <w:rPr>
          <w:color w:val="222222"/>
          <w:sz w:val="22"/>
        </w:rPr>
        <w:t xml:space="preserve">Electronics drives 58.9% of revenue but only a 12.3% margin. Supplier cost renegotiation, bundling accessories, and reducing free shipping thresholds could recover 2-3% margin — worth ₹31-47 Lakhs annually.</w:t>
      </w:r>
    </w:p>
    <w:p w14:paraId="00100124" w14:textId="00100125">
      <w:pPr>
        <w:shd w:val="clear" w:fill="2E74B5"/>
        <w:spacing w:after="80"/>
      </w:pPr>
      <w:r>
        <w:rPr>
          <w:b/>
          <w:color w:val="FFFFFF"/>
          <w:sz w:val="24"/>
        </w:rPr>
        <w:t xml:space="preserve">INSIGHT 2 — Grow High-Margin Categories (Beauty &amp; Books)</w:t>
      </w:r>
    </w:p>
    <w:p w14:paraId="00100126" w14:textId="00100127">
      <w:pPr>
        <w:shd w:val="clear" w:fill="EBF3FB"/>
        <w:spacing w:after="200"/>
      </w:pPr>
      <w:r>
        <w:rPr>
          <w:color w:val="222222"/>
          <w:sz w:val="22"/>
        </w:rPr>
        <w:t xml:space="preserve">Beauty (45.2% margin) and Books (37.2%) are premium-margin segments currently under-indexed in revenue. Increasing their order volume by 30% through targeted campaigns could add ₹35+ Lakhs in profit with minimal cost increase.</w:t>
      </w:r>
    </w:p>
    <w:p w14:paraId="00100128" w14:textId="00100129">
      <w:pPr>
        <w:shd w:val="clear" w:fill="2E74B5"/>
        <w:spacing w:after="80"/>
      </w:pPr>
      <w:r>
        <w:rPr>
          <w:b/>
          <w:color w:val="FFFFFF"/>
          <w:sz w:val="24"/>
        </w:rPr>
        <w:t xml:space="preserve">INSIGHT 3 — Expand in South, Accelerate Central India Growth</w:t>
      </w:r>
    </w:p>
    <w:p w14:paraId="0010012A" w14:textId="0010012B">
      <w:pPr>
        <w:shd w:val="clear" w:fill="EBF3FB"/>
        <w:spacing w:after="200"/>
      </w:pPr>
      <w:r>
        <w:rPr>
          <w:color w:val="222222"/>
          <w:sz w:val="22"/>
        </w:rPr>
        <w:t xml:space="preserve">South leads at ₹7.43 Cr. Central trails at ₹4.08 Cr — a 44% revenue gap. Opening 2-3 more fulfilment points in Central India could close this gap by 15-20%, unlocking ₹60+ Lakhs in new revenue.</w:t>
      </w:r>
    </w:p>
    <w:p w14:paraId="0010012C" w14:textId="0010012D">
      <w:pPr>
        <w:shd w:val="clear" w:fill="C00000"/>
        <w:spacing w:after="80"/>
      </w:pPr>
      <w:r>
        <w:rPr>
          <w:b/>
          <w:color w:val="FFFFFF"/>
          <w:sz w:val="24"/>
        </w:rPr>
        <w:t xml:space="preserve">INSIGHT 4 — Reduce Return Rate Below 12%</w:t>
      </w:r>
    </w:p>
    <w:p w14:paraId="0010012E" w14:textId="0010012F">
      <w:pPr>
        <w:shd w:val="clear" w:fill="FFF2F2"/>
        <w:spacing w:after="200"/>
      </w:pPr>
      <w:r>
        <w:rPr>
          <w:color w:val="222222"/>
          <w:sz w:val="22"/>
        </w:rPr>
        <w:t xml:space="preserve">At 14.5% (623 returns), return losses are significant. Each 1% reduction in return rate recovers approximately ₹26.7 Lakhs in revenue. Improved product descriptions, size guides, and quality controls are the primary levers.</w:t>
      </w:r>
    </w:p>
    <w:p w14:paraId="00100130" w14:textId="00100131">
      <w:pPr>
        <w:shd w:val="clear" w:fill="C00000"/>
        <w:spacing w:after="80"/>
      </w:pPr>
      <w:r>
        <w:rPr>
          <w:b/>
          <w:color w:val="FFFFFF"/>
          <w:sz w:val="24"/>
        </w:rPr>
        <w:t xml:space="preserve">INSIGHT 5 — Improve Customer Satisfaction Score to 4.0+</w:t>
      </w:r>
    </w:p>
    <w:p w14:paraId="00100132" w14:textId="00100133">
      <w:pPr>
        <w:shd w:val="clear" w:fill="FFF2F2"/>
        <w:spacing w:after="200"/>
      </w:pPr>
      <w:r>
        <w:rPr>
          <w:color w:val="222222"/>
          <w:sz w:val="22"/>
        </w:rPr>
        <w:t xml:space="preserve">Current average of 3.02/5 is below the 4.0 benchmark. Research shows a 1-point satisfaction improvement increases repeat purchase rate by 15-20%. Priority actions: faster delivery, proactive communication, and easy returns.</w:t>
      </w:r>
    </w:p>
    <w:p w14:paraId="00100134" w14:textId="00100135">
      <w:pPr>
        <w:shd w:val="clear" w:fill="2E74B5"/>
        <w:spacing w:after="80"/>
      </w:pPr>
      <w:r>
        <w:rPr>
          <w:b/>
          <w:color w:val="FFFFFF"/>
          <w:sz w:val="24"/>
        </w:rPr>
        <w:t xml:space="preserve">INSIGHT 6 — Leverage EMI for High-Value Categories</w:t>
      </w:r>
    </w:p>
    <w:p w14:paraId="00100136" w14:textId="00100137">
      <w:pPr>
        <w:shd w:val="clear" w:fill="EBF3FB"/>
        <w:spacing w:after="200"/>
      </w:pPr>
      <w:r>
        <w:rPr>
          <w:color w:val="222222"/>
          <w:sz w:val="22"/>
        </w:rPr>
        <w:t xml:space="preserve">EMI generates ₹6.34 Cr (23.8% of revenue) with the highest AOV of ₹91,262. Promoting 0% EMI options for Electronics and Furniture purchases above ₹25,000 could shift more high-value buyers to this channel.</w:t>
      </w:r>
    </w:p>
    <w:p w14:paraId="00100138" w14:textId="00100139">
      <w:pPr>
        <w:shd w:val="clear" w:fill="2E74B5"/>
        <w:spacing w:after="80"/>
      </w:pPr>
      <w:r>
        <w:rPr>
          <w:b/>
          <w:color w:val="FFFFFF"/>
          <w:sz w:val="24"/>
        </w:rPr>
        <w:t xml:space="preserve">INSIGHT 7 — 2024 Growth Recovery Plan</w:t>
      </w:r>
    </w:p>
    <w:p w14:paraId="0010013A" w14:textId="0010013B">
      <w:pPr>
        <w:shd w:val="clear" w:fill="EBF3FB"/>
        <w:spacing w:after="240"/>
      </w:pPr>
      <w:r>
        <w:rPr>
          <w:color w:val="222222"/>
          <w:sz w:val="22"/>
        </w:rPr>
        <w:t xml:space="preserve">2024 partial data is at ₹4.75 Cr. To match or exceed 2023's ₹6.09 Cr peak, the business needs strong H2 2024 performance. Q3-Q4 festive campaigns (Diwali, year-end sales) aligned with Electronics and Furniture promotions are critical.</w:t>
      </w:r>
    </w:p>
    <w:p w14:paraId="0010013C" w14:textId="0010013D">
      <w:pPr>
        <w:pStyle w:val="Heading2"/>
        <w:spacing w:after="120"/>
      </w:pPr>
      <w:r>
        <w:rPr>
          <w:b/>
          <w:color w:val="2E74B5"/>
          <w:sz w:val="26"/>
        </w:rPr>
        <w:t xml:space="preserve">Priority Action Matrix</w:t>
      </w:r>
    </w:p>
    <w:p w14:paraId="0010013E" w14:textId="0010013F">
      <w:pPr>
        <w:shd w:val="clear" w:fill="1F3864"/>
        <w:spacing w:after="0"/>
      </w:pPr>
      <w:r>
        <w:rPr>
          <w:b/>
          <w:color w:val="FFFFFF"/>
          <w:sz w:val="22"/>
        </w:rPr>
        <w:t xml:space="preserve">#   |  Action                            |  Impact      |  Effort  |  Priority</w:t>
      </w:r>
    </w:p>
    <w:p w14:paraId="00100140" w14:textId="00100141">
      <w:pPr>
        <w:shd w:val="clear" w:fill="E2EFDA"/>
        <w:spacing w:after="0"/>
      </w:pPr>
      <w:r>
        <w:rPr>
          <w:sz w:val="22"/>
        </w:rPr>
        <w:t xml:space="preserve">1   |  Reduce return rate to &lt;12%        |  ₹67 L/yr    |  Medium  |  HIGH</w:t>
      </w:r>
    </w:p>
    <w:p w14:paraId="00100142" w14:textId="00100143">
      <w:pPr>
        <w:spacing w:after="0"/>
      </w:pPr>
      <w:r>
        <w:rPr>
          <w:sz w:val="22"/>
        </w:rPr>
        <w:t xml:space="preserve">2   |  Improve satisfaction to 4.0+      |  +15% repeat |  High    |  HIGH</w:t>
      </w:r>
    </w:p>
    <w:p w14:paraId="00100144" w14:textId="00100145">
      <w:pPr>
        <w:shd w:val="clear" w:fill="E2EFDA"/>
        <w:spacing w:after="0"/>
      </w:pPr>
      <w:r>
        <w:rPr>
          <w:sz w:val="22"/>
        </w:rPr>
        <w:t xml:space="preserve">3   |  Grow Beauty &amp; Books volume 30%    |  ₹35 L profit|  Medium  |  HIGH</w:t>
      </w:r>
    </w:p>
    <w:p w14:paraId="00100146" w14:textId="00100147">
      <w:pPr>
        <w:spacing w:after="0"/>
      </w:pPr>
      <w:r>
        <w:rPr>
          <w:sz w:val="22"/>
        </w:rPr>
        <w:t xml:space="preserve">4   |  Optimise Electronics margin +2%   |  ₹31 L/yr    |  High    |  MEDIUM</w:t>
      </w:r>
    </w:p>
    <w:p w14:paraId="00100148" w14:textId="00100149">
      <w:pPr>
        <w:shd w:val="clear" w:fill="E2EFDA"/>
        <w:spacing w:after="0"/>
      </w:pPr>
      <w:r>
        <w:rPr>
          <w:sz w:val="22"/>
        </w:rPr>
        <w:t xml:space="preserve">5   |  Expand Central India fulfilment   |  ₹60 L/yr    |  High    |  MEDIUM</w:t>
      </w:r>
    </w:p>
    <w:p w14:paraId="0010014A" w14:textId="0010014B">
      <w:pPr>
        <w:spacing w:after="320"/>
      </w:pPr>
      <w:r>
        <w:rPr>
          <w:sz w:val="22"/>
        </w:rPr>
        <w:t xml:space="preserve">6   |  Promote EMI for tickets &gt;₹25K    |  Revenue mix |  Low     |  LOW</w:t>
      </w:r>
    </w:p>
    <w:p w14:paraId="0010014C" w14:textId="0010014D">
      <w:pPr>
        <w:pStyle w:val="Heading1"/>
        <w:shd w:val="clear" w:fill="1F3864"/>
        <w:spacing w:after="200"/>
      </w:pPr>
      <w:r>
        <w:rPr>
          <w:b/>
          <w:color w:val="FFFFFF"/>
          <w:sz w:val="36"/>
        </w:rPr>
        <w:t xml:space="preserve">12. STREAMLIT DASHBOARD — UI OVERVIEW</w:t>
      </w:r>
    </w:p>
    <w:p w14:paraId="0010014E" w14:textId="0010014F">
      <w:pPr>
        <w:spacing w:after="200"/>
      </w:pPr>
      <w:r>
        <w:rPr>
          <w:color w:val="333333"/>
          <w:sz w:val="22"/>
        </w:rPr>
        <w:t xml:space="preserve">The Streamlit frontend (app.py) delivers all analytics through a responsive 7-tab web application running at http://localhost:8501. All charts update live when sidebar filters are changed.</w:t>
      </w:r>
    </w:p>
    <w:p w14:paraId="00100150" w14:textId="00100151">
      <w:pPr>
        <w:pStyle w:val="Heading2"/>
        <w:spacing w:after="120"/>
      </w:pPr>
      <w:r>
        <w:rPr>
          <w:b/>
          <w:color w:val="2E74B5"/>
          <w:sz w:val="26"/>
        </w:rPr>
        <w:t xml:space="preserve">Dashboard Architecture</w:t>
      </w:r>
    </w:p>
    <w:p w14:paraId="00100152" w14:textId="00100153">
      <w:pPr>
        <w:shd w:val="clear" w:fill="2E74B5"/>
        <w:spacing w:after="0"/>
      </w:pPr>
      <w:r>
        <w:rPr>
          <w:b/>
          <w:color w:val="FFFFFF"/>
          <w:sz w:val="22"/>
        </w:rPr>
        <w:t xml:space="preserve">Tab                  |  Key UI Components &amp; Charts</w:t>
      </w:r>
    </w:p>
    <w:p w14:paraId="00100154" w14:textId="00100155">
      <w:pPr>
        <w:shd w:val="clear" w:fill="EBF3FB"/>
        <w:spacing w:after="0"/>
      </w:pPr>
      <w:r>
        <w:rPr>
          <w:sz w:val="22"/>
        </w:rPr>
        <w:t xml:space="preserve">Overview             |  8 KPI metric cards (styled HTML), revenue/profit grouped bar, order status donut pie + table</w:t>
      </w:r>
    </w:p>
    <w:p w14:paraId="00100156" w14:textId="00100157">
      <w:pPr>
        <w:spacing w:after="0"/>
      </w:pPr>
      <w:r>
        <w:rPr>
          <w:sz w:val="22"/>
        </w:rPr>
        <w:t xml:space="preserve">By Category          |  Summary table with blue gradient, profit margin colour-coded H-bar, top-10 products H-bar</w:t>
      </w:r>
    </w:p>
    <w:p w14:paraId="00100158" w14:textId="00100159">
      <w:pPr>
        <w:shd w:val="clear" w:fill="EBF3FB"/>
        <w:spacing w:after="0"/>
      </w:pPr>
      <w:r>
        <w:rPr>
          <w:sz w:val="22"/>
        </w:rPr>
        <w:t xml:space="preserve">By Region            |  Regional table with purple gradient, revenue H-bar, share donut pie, region x category heatmap</w:t>
      </w:r>
    </w:p>
    <w:p w14:paraId="0010015A" w14:textId="0010015B">
      <w:pPr>
        <w:spacing w:after="0"/>
      </w:pPr>
      <w:r>
        <w:rPr>
          <w:sz w:val="22"/>
        </w:rPr>
        <w:t xml:space="preserve">Trends               |  Dual-axis line (revenue+profit) + bar (orders) chart, yearly bar, full monthly data table</w:t>
      </w:r>
    </w:p>
    <w:p w14:paraId="0010015C" w14:textId="0010015D">
      <w:pPr>
        <w:shd w:val="clear" w:fill="EBF3FB"/>
        <w:spacing w:after="0"/>
      </w:pPr>
      <w:r>
        <w:rPr>
          <w:sz w:val="22"/>
        </w:rPr>
        <w:t xml:space="preserve">Customers            |  Gender donut pie, age group revenue bar, payment method H-bar, satisfaction histogram</w:t>
      </w:r>
    </w:p>
    <w:p w14:paraId="0010015E" w14:textId="0010015F">
      <w:pPr>
        <w:spacing w:after="0"/>
      </w:pPr>
      <w:r>
        <w:rPr>
          <w:sz w:val="22"/>
        </w:rPr>
        <w:t xml:space="preserve">Data Quality         |  Missing value report before/after table, cleaning steps list, 50-row raw data preview</w:t>
      </w:r>
    </w:p>
    <w:p w14:paraId="00100160" w14:textId="00100161">
      <w:pPr>
        <w:shd w:val="clear" w:fill="EBF3FB"/>
        <w:spacing w:after="240"/>
      </w:pPr>
      <w:r>
        <w:rPr>
          <w:sz w:val="22"/>
        </w:rPr>
        <w:t xml:space="preserve">Insights             |  7 insight highlight cards, discount vs revenue scatter, profit-revenue bubble, 6 recommendation expanders</w:t>
      </w:r>
    </w:p>
    <w:p w14:paraId="00100162" w14:textId="00100163">
      <w:pPr>
        <w:shd w:val="clear" w:fill="DEEAF1"/>
        <w:spacing w:after="320"/>
      </w:pPr>
      <w:r>
        <w:rPr>
          <w:b/>
          <w:color w:val="1F3864"/>
          <w:sz w:val="22"/>
        </w:rPr>
        <w:t xml:space="preserve">Sidebar Live Filters:  Year (multi-select)  |  Region (multi-select)  |  Product Category (multi-select)  |  Order Status (multi-select)</w:t>
      </w:r>
    </w:p>
    <w:p w14:paraId="00100164" w14:textId="00100165">
      <w:pPr>
        <w:pStyle w:val="Heading1"/>
        <w:shd w:val="clear" w:fill="1F3864"/>
        <w:spacing w:after="200"/>
      </w:pPr>
      <w:r>
        <w:rPr>
          <w:b/>
          <w:color w:val="FFFFFF"/>
          <w:sz w:val="36"/>
        </w:rPr>
        <w:t xml:space="preserve">13. CONCLUSION</w:t>
      </w:r>
    </w:p>
    <w:p w14:paraId="00100166" w14:textId="00100167">
      <w:pPr>
        <w:spacing w:after="160"/>
      </w:pPr>
      <w:r>
        <w:rPr>
          <w:color w:val="333333"/>
          <w:sz w:val="22"/>
        </w:rPr>
        <w:t xml:space="preserve">This project successfully delivers a production-ready retail sales analytics pipeline covering all 6 required steps — data loading, cleaning, sales calculation, grouping/summarisation, visual charting, and business decision support.</w:t>
      </w:r>
    </w:p>
    <w:p w14:paraId="00100168" w14:textId="00100169">
      <w:pPr>
        <w:spacing w:after="80"/>
      </w:pPr>
      <w:r>
        <w:rPr>
          <w:b/>
          <w:color w:val="1F3864"/>
          <w:sz w:val="22"/>
        </w:rPr>
        <w:t xml:space="preserve">The key findings from the real dataset are:</w:t>
      </w:r>
    </w:p>
    <w:p w14:paraId="0010016A" w14:textId="0010016B">
      <w:pPr>
        <w:numPr>
          <w:ilvl w:val="0"/>
          <w:numId w:val="2"/>
        </w:numPr>
        <w:spacing w:after="60"/>
      </w:pPr>
      <w:r>
        <w:rPr>
          <w:sz w:val="22"/>
        </w:rPr>
        <w:t xml:space="preserve">•  Total Revenue of ₹26.69 Cr with ₹5.00 Cr profit (18.7% margin) across 4,310 orders.</w:t>
      </w:r>
    </w:p>
    <w:p w14:paraId="0010016C" w14:textId="0010016D">
      <w:pPr>
        <w:numPr>
          <w:ilvl w:val="0"/>
          <w:numId w:val="2"/>
        </w:numPr>
        <w:spacing w:after="60"/>
      </w:pPr>
      <w:r>
        <w:rPr>
          <w:sz w:val="22"/>
        </w:rPr>
        <w:t xml:space="preserve">•  Electronics is the revenue engine (58.9%) but margin-compressed (12.3%) — a strategic tension to resolve.</w:t>
      </w:r>
    </w:p>
    <w:p w14:paraId="0010016E" w14:textId="0010016F">
      <w:pPr>
        <w:numPr>
          <w:ilvl w:val="0"/>
          <w:numId w:val="2"/>
        </w:numPr>
        <w:spacing w:after="60"/>
      </w:pPr>
      <w:r>
        <w:rPr>
          <w:sz w:val="22"/>
        </w:rPr>
        <w:t xml:space="preserve">•  Beauty and Books offer the best margins (45.2% and 37.2%) but are under-indexed in volume.</w:t>
      </w:r>
    </w:p>
    <w:p w14:paraId="00100170" w14:textId="00100171">
      <w:pPr>
        <w:numPr>
          <w:ilvl w:val="0"/>
          <w:numId w:val="2"/>
        </w:numPr>
        <w:spacing w:after="60"/>
      </w:pPr>
      <w:r>
        <w:rPr>
          <w:sz w:val="22"/>
        </w:rPr>
        <w:t xml:space="preserve">•  South India is the strongest market; Central India has the largest untapped growth potential.</w:t>
      </w:r>
    </w:p>
    <w:p w14:paraId="00100172" w14:textId="00100173">
      <w:pPr>
        <w:numPr>
          <w:ilvl w:val="0"/>
          <w:numId w:val="2"/>
        </w:numPr>
        <w:spacing w:after="60"/>
      </w:pPr>
      <w:r>
        <w:rPr>
          <w:sz w:val="22"/>
        </w:rPr>
        <w:t xml:space="preserve">•  2023 was the peak revenue year at ₹6.09 Cr — a benchmark for 2024 growth targets.</w:t>
      </w:r>
    </w:p>
    <w:p w14:paraId="00100174" w14:textId="00100175">
      <w:pPr>
        <w:numPr>
          <w:ilvl w:val="0"/>
          <w:numId w:val="2"/>
        </w:numPr>
        <w:spacing w:after="60"/>
      </w:pPr>
      <w:r>
        <w:rPr>
          <w:sz w:val="22"/>
        </w:rPr>
        <w:t xml:space="preserve">•  14.5% return rate and 3.02/5 satisfaction score are the two most critical operational improvement areas.</w:t>
      </w:r>
    </w:p>
    <w:p w14:paraId="00100176" w14:textId="00100177">
      <w:pPr>
        <w:numPr>
          <w:ilvl w:val="0"/>
          <w:numId w:val="2"/>
        </w:numPr>
        <w:spacing w:after="240"/>
      </w:pPr>
      <w:r>
        <w:rPr>
          <w:sz w:val="22"/>
        </w:rPr>
        <w:t xml:space="preserve">•  EMI is the premium payment channel — high AOV of ₹91,262 — deserving of targeted promotion.</w:t>
      </w:r>
    </w:p>
    <w:p w14:paraId="00100178" w14:textId="00100179">
      <w:pPr>
        <w:spacing w:after="400"/>
      </w:pPr>
      <w:r>
        <w:rPr>
          <w:color w:val="333333"/>
          <w:sz w:val="22"/>
        </w:rPr>
        <w:t xml:space="preserve">The modular code design (data_analytics.py separate from app.py) ensures maintainability and extensibility. Future enhancements could include ML-based demand forecasting, customer segmentation via K-Means clustering, or real-time database connectivity replacing the static CSV.</w:t>
      </w:r>
    </w:p>
    <w:p w14:paraId="0010017A" w14:textId="0010017B">
      <w:pPr>
        <w:spacing w:after="160"/>
        <w:jc w:val="center"/>
      </w:pPr>
      <w:r>
        <w:rPr>
          <w:color w:val="2E74B5"/>
        </w:rPr>
        <w:t xml:space="preserve">━━━━━━━━━━━━━━━━━━━━━━━━━━━━━━━━━━━━━━━━━━━━━━━━━━━━━━━━━</w:t>
      </w:r>
    </w:p>
    <w:p w14:paraId="0010017C" w14:textId="0010017D">
      <w:pPr>
        <w:spacing w:after="120"/>
        <w:jc w:val="center"/>
      </w:pPr>
      <w:r>
        <w:rPr>
          <w:b/>
          <w:color w:val="1F3864"/>
          <w:sz w:val="28"/>
        </w:rPr>
        <w:t xml:space="preserve">END OF REPORT</w:t>
      </w:r>
    </w:p>
    <w:p w14:paraId="0010017E" w14:textId="0010017F">
      <w:pPr>
        <w:spacing w:after="80"/>
        <w:jc w:val="center"/>
      </w:pPr>
      <w:r>
        <w:rPr>
          <w:color w:val="999999"/>
          <w:sz w:val="20"/>
        </w:rPr>
        <w:t xml:space="preserve">Retail Sales Analytics  ·  Python + Streamlit + Pandas + NumPy + Plotly  ·  v1.0</w:t>
      </w:r>
    </w:p>
    <w:p w14:paraId="00100180" w14:textId="00100181">
      <w:pPr>
        <w:spacing w:after="200"/>
        <w:jc w:val="center"/>
      </w:pPr>
      <w:r>
        <w:rPr>
          <w:color w:val="AAAAAA"/>
          <w:sz w:val="20"/>
        </w:rPr>
        <w:t xml:space="preserve">8 Embedded Charts  ·  11 Sections  ·  Real Dataset Values  ·  4,310 Orders  ·  ₹26.69 Cr Revenue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/>
      <w:sz w:val="26"/>
      <w:szCs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1886598c85764dcf" /><Relationship Type="http://schemas.openxmlformats.org/officeDocument/2006/relationships/styles" Target="/word/styles.xml" Id="R91829bc024b34b02" /><Relationship Type="http://schemas.openxmlformats.org/officeDocument/2006/relationships/theme" Target="/word/theme/theme1.xml" Id="R22389f30c801442d" /><Relationship Type="http://schemas.openxmlformats.org/officeDocument/2006/relationships/numbering" Target="/word/numbering.xml" Id="Re4badad8c25344b3" /><Relationship Type="http://schemas.openxmlformats.org/officeDocument/2006/relationships/chart" Target="/word/charts/chart1.xml" Id="Rcfeff9e544d14670" /><Relationship Type="http://schemas.openxmlformats.org/officeDocument/2006/relationships/chart" Target="/word/charts/chart2.xml" Id="Ra1c46bfadff0473b" /><Relationship Type="http://schemas.openxmlformats.org/officeDocument/2006/relationships/chart" Target="/word/charts/chart3.xml" Id="R0a4fa3bc141b4eb8" /><Relationship Type="http://schemas.openxmlformats.org/officeDocument/2006/relationships/chart" Target="/word/charts/chart4.xml" Id="R5655a64a6c7446be" /><Relationship Type="http://schemas.openxmlformats.org/officeDocument/2006/relationships/chart" Target="/word/charts/chart5.xml" Id="R42383e78e5074c92" /><Relationship Type="http://schemas.openxmlformats.org/officeDocument/2006/relationships/chart" Target="/word/charts/chart6.xml" Id="R0b24ac945b704689" /><Relationship Type="http://schemas.openxmlformats.org/officeDocument/2006/relationships/chart" Target="/word/charts/chart7.xml" Id="R4df5f6925a784f46" /><Relationship Type="http://schemas.openxmlformats.org/officeDocument/2006/relationships/chart" Target="/word/charts/chart8.xml" Id="Rf0b443a2bcb44bcf" /></Relationships>
</file>

<file path=word/charts/chart1.xml><?xml version="1.0" encoding="utf-8"?>
<c:chartSpace xmlns:c="http://schemas.openxmlformats.org/drawingml/2006/chart">
  <c:date1904 val="0"/>
  <c:chart>
    <c:title>
      <c:tx>
        <c:rich>
          <a:bodyPr xmlns:a="http://schemas.openxmlformats.org/drawingml/2006/main"/>
          <a:lstStyle xmlns:a="http://schemas.openxmlformats.org/drawingml/2006/main"/>
          <a:p xmlns:a="http://schemas.openxmlformats.org/drawingml/2006/main">
            <a:pPr>
              <a:defRPr sz="1400" b="1"/>
            </a:pPr>
            <a:r>
              <a:rPr lang="en-US" sz="1400" b="1"/>
              <a:t>Revenue by Product Category (₹)</a:t>
            </a:r>
          </a:p>
        </c:rich>
      </c:tx>
      <c:overlay val="0"/>
    </c:title>
    <c:plotArea>
      <c:layout/>
      <c:barChart>
        <c:barDir val="bar"/>
        <c:grouping val="clustered"/>
        <c:varyColors val="0"/>
        <c:ser>
          <c:idx val="0"/>
          <c:order val="0"/>
          <c:tx>
            <c:v>Revenue (₹)</c:v>
          </c:tx>
          <c:spPr>
            <a:solidFill xmlns:a="http://schemas.openxmlformats.org/drawingml/2006/main">
              <a:srgbClr val="2E74B5"/>
            </a:solidFill>
          </c:spPr>
          <c:invertIfNegative val="0"/>
          <c:cat>
            <c:strLit>
              <c:ptCount val="7"/>
              <c:pt idx="0">
                <c:v>Electronics</c:v>
              </c:pt>
              <c:pt idx="1">
                <c:v>Furniture</c:v>
              </c:pt>
              <c:pt idx="2">
                <c:v>Sports</c:v>
              </c:pt>
              <c:pt idx="3">
                <c:v>Clothing</c:v>
              </c:pt>
              <c:pt idx="4">
                <c:v>Beauty</c:v>
              </c:pt>
              <c:pt idx="5">
                <c:v>Books</c:v>
              </c:pt>
              <c:pt idx="6">
                <c:v>Groceries</c:v>
              </c:pt>
            </c:strLit>
          </c:cat>
          <c:val>
            <c:numLit>
              <c:formatCode>General</c:formatCode>
              <c:ptCount val="7"/>
              <c:pt idx="0">
                <c:v>157170278</c:v>
              </c:pt>
              <c:pt idx="1">
                <c:v>57130399</c:v>
              </c:pt>
              <c:pt idx="2">
                <c:v>32092451</c:v>
              </c:pt>
              <c:pt idx="3">
                <c:v>11673276</c:v>
              </c:pt>
              <c:pt idx="4">
                <c:v>3967541</c:v>
              </c:pt>
              <c:pt idx="5">
                <c:v>3824242</c:v>
              </c:pt>
              <c:pt idx="6">
                <c:v>1036782</c:v>
              </c:pt>
            </c:numLit>
          </c:val>
        </c:ser>
        <c:gapWidth val="150"/>
        <c:axId val="1"/>
        <c:axId val="2"/>
      </c:barChart>
      <c:catAx>
        <c:axId val="1"/>
        <c:scaling>
          <c:orientation val="minMax"/>
        </c:scaling>
        <c:delete val="0"/>
        <c:axPos val="b"/>
        <c:majorTickMark val="out"/>
        <c:minorTickMark val="none"/>
        <c:tickLblPos val="nextTo"/>
        <c:crossAx val="2"/>
        <c:crosses val="autoZero"/>
        <c:auto val="1"/>
        <c:lblAlgn val="ctr"/>
        <c:lblOffset val="100"/>
      </c:catAx>
      <c:valAx>
        <c:axId val="2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"/>
        <c:crosses val="autoZero"/>
        <c:crossBetween val="between"/>
      </c:valAx>
    </c:plotArea>
    <c:legend>
      <c:legendPos val="b"/>
      <c:overlay val="0"/>
    </c:legend>
    <c:plotVisOnly val="1"/>
    <c:dispBlanksAs val="gap"/>
  </c:chart>
</c:chartSpace>
</file>

<file path=word/charts/chart2.xml><?xml version="1.0" encoding="utf-8"?>
<c:chartSpace xmlns:c="http://schemas.openxmlformats.org/drawingml/2006/chart">
  <c:date1904 val="0"/>
  <c:chart>
    <c:title>
      <c:tx>
        <c:rich>
          <a:bodyPr xmlns:a="http://schemas.openxmlformats.org/drawingml/2006/main"/>
          <a:lstStyle xmlns:a="http://schemas.openxmlformats.org/drawingml/2006/main"/>
          <a:p xmlns:a="http://schemas.openxmlformats.org/drawingml/2006/main">
            <a:pPr>
              <a:defRPr sz="1400" b="1"/>
            </a:pPr>
            <a:r>
              <a:rPr lang="en-US" sz="1400" b="1"/>
              <a:t>Profit by Product Category (₹)</a:t>
            </a:r>
          </a:p>
        </c:rich>
      </c:tx>
      <c:overlay val="0"/>
    </c:title>
    <c:plotArea>
      <c:layout/>
      <c:barChart>
        <c:barDir val="bar"/>
        <c:grouping val="clustered"/>
        <c:varyColors val="0"/>
        <c:ser>
          <c:idx val="0"/>
          <c:order val="0"/>
          <c:tx>
            <c:v>Profit (₹)</c:v>
          </c:tx>
          <c:spPr>
            <a:solidFill xmlns:a="http://schemas.openxmlformats.org/drawingml/2006/main">
              <a:srgbClr val="10B981"/>
            </a:solidFill>
          </c:spPr>
          <c:invertIfNegative val="0"/>
          <c:cat>
            <c:strLit>
              <c:ptCount val="7"/>
              <c:pt idx="0">
                <c:v>Electronics</c:v>
              </c:pt>
              <c:pt idx="1">
                <c:v>Furniture</c:v>
              </c:pt>
              <c:pt idx="2">
                <c:v>Sports</c:v>
              </c:pt>
              <c:pt idx="3">
                <c:v>Clothing</c:v>
              </c:pt>
              <c:pt idx="4">
                <c:v>Beauty</c:v>
              </c:pt>
              <c:pt idx="5">
                <c:v>Books</c:v>
              </c:pt>
              <c:pt idx="6">
                <c:v>Groceries</c:v>
              </c:pt>
            </c:strLit>
          </c:cat>
          <c:val>
            <c:numLit>
              <c:formatCode>General</c:formatCode>
              <c:ptCount val="7"/>
              <c:pt idx="0">
                <c:v>19295550</c:v>
              </c:pt>
              <c:pt idx="1">
                <c:v>16134850</c:v>
              </c:pt>
              <c:pt idx="2">
                <c:v>7079358</c:v>
              </c:pt>
              <c:pt idx="3">
                <c:v>4212781</c:v>
              </c:pt>
              <c:pt idx="4">
                <c:v>1792923</c:v>
              </c:pt>
              <c:pt idx="5">
                <c:v>1424006</c:v>
              </c:pt>
              <c:pt idx="6">
                <c:v>81429</c:v>
              </c:pt>
            </c:numLit>
          </c:val>
        </c:ser>
        <c:gapWidth val="150"/>
        <c:axId val="1"/>
        <c:axId val="2"/>
      </c:barChart>
      <c:catAx>
        <c:axId val="1"/>
        <c:scaling>
          <c:orientation val="minMax"/>
        </c:scaling>
        <c:delete val="0"/>
        <c:axPos val="b"/>
        <c:majorTickMark val="out"/>
        <c:minorTickMark val="none"/>
        <c:tickLblPos val="nextTo"/>
        <c:crossAx val="2"/>
        <c:crosses val="autoZero"/>
        <c:auto val="1"/>
        <c:lblAlgn val="ctr"/>
        <c:lblOffset val="100"/>
      </c:catAx>
      <c:valAx>
        <c:axId val="2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"/>
        <c:crosses val="autoZero"/>
        <c:crossBetween val="between"/>
      </c:valAx>
    </c:plotArea>
    <c:legend>
      <c:legendPos val="b"/>
      <c:overlay val="0"/>
    </c:legend>
    <c:plotVisOnly val="1"/>
    <c:dispBlanksAs val="gap"/>
  </c:chart>
</c:chartSpace>
</file>

<file path=word/charts/chart3.xml><?xml version="1.0" encoding="utf-8"?>
<c:chartSpace xmlns:c="http://schemas.openxmlformats.org/drawingml/2006/chart">
  <c:date1904 val="0"/>
  <c:chart>
    <c:title>
      <c:tx>
        <c:rich>
          <a:bodyPr xmlns:a="http://schemas.openxmlformats.org/drawingml/2006/main"/>
          <a:lstStyle xmlns:a="http://schemas.openxmlformats.org/drawingml/2006/main"/>
          <a:p xmlns:a="http://schemas.openxmlformats.org/drawingml/2006/main">
            <a:pPr>
              <a:defRPr sz="1400" b="1"/>
            </a:pPr>
            <a:r>
              <a:rPr lang="en-US" sz="1400" b="1"/>
              <a:t>Profit Margin % by Category</a:t>
            </a:r>
          </a:p>
        </c:rich>
      </c:tx>
      <c:overlay val="0"/>
    </c:title>
    <c:plotArea>
      <c:layout/>
      <c:barChart>
        <c:barDir val="bar"/>
        <c:grouping val="clustered"/>
        <c:varyColors val="0"/>
        <c:ser>
          <c:idx val="0"/>
          <c:order val="0"/>
          <c:tx>
            <c:v>Margin %</c:v>
          </c:tx>
          <c:spPr>
            <a:solidFill xmlns:a="http://schemas.openxmlformats.org/drawingml/2006/main">
              <a:srgbClr val="ED7D31"/>
            </a:solidFill>
          </c:spPr>
          <c:invertIfNegative val="0"/>
          <c:cat>
            <c:strLit>
              <c:ptCount val="7"/>
              <c:pt idx="0">
                <c:v>Groceries</c:v>
              </c:pt>
              <c:pt idx="1">
                <c:v>Electronics</c:v>
              </c:pt>
              <c:pt idx="2">
                <c:v>Sports</c:v>
              </c:pt>
              <c:pt idx="3">
                <c:v>Furniture</c:v>
              </c:pt>
              <c:pt idx="4">
                <c:v>Clothing</c:v>
              </c:pt>
              <c:pt idx="5">
                <c:v>Books</c:v>
              </c:pt>
              <c:pt idx="6">
                <c:v>Beauty</c:v>
              </c:pt>
            </c:strLit>
          </c:cat>
          <c:val>
            <c:numLit>
              <c:formatCode>General</c:formatCode>
              <c:ptCount val="7"/>
              <c:pt idx="0">
                <c:v>7.9</c:v>
              </c:pt>
              <c:pt idx="1">
                <c:v>12.3</c:v>
              </c:pt>
              <c:pt idx="2">
                <c:v>22.1</c:v>
              </c:pt>
              <c:pt idx="3">
                <c:v>28.2</c:v>
              </c:pt>
              <c:pt idx="4">
                <c:v>36.1</c:v>
              </c:pt>
              <c:pt idx="5">
                <c:v>37.2</c:v>
              </c:pt>
              <c:pt idx="6">
                <c:v>45.2</c:v>
              </c:pt>
            </c:numLit>
          </c:val>
        </c:ser>
        <c:gapWidth val="150"/>
        <c:axId val="1"/>
        <c:axId val="2"/>
      </c:barChart>
      <c:catAx>
        <c:axId val="1"/>
        <c:scaling>
          <c:orientation val="minMax"/>
        </c:scaling>
        <c:delete val="0"/>
        <c:axPos val="b"/>
        <c:majorTickMark val="out"/>
        <c:minorTickMark val="none"/>
        <c:tickLblPos val="nextTo"/>
        <c:crossAx val="2"/>
        <c:crosses val="autoZero"/>
        <c:auto val="1"/>
        <c:lblAlgn val="ctr"/>
        <c:lblOffset val="100"/>
      </c:catAx>
      <c:valAx>
        <c:axId val="2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"/>
        <c:crosses val="autoZero"/>
        <c:crossBetween val="between"/>
      </c:valAx>
    </c:plotArea>
    <c:legend>
      <c:legendPos val="b"/>
      <c:overlay val="0"/>
    </c:legend>
    <c:plotVisOnly val="1"/>
    <c:dispBlanksAs val="gap"/>
  </c:chart>
</c:chartSpace>
</file>

<file path=word/charts/chart4.xml><?xml version="1.0" encoding="utf-8"?>
<c:chartSpace xmlns:c="http://schemas.openxmlformats.org/drawingml/2006/chart">
  <c:date1904 val="0"/>
  <c:chart>
    <c:title>
      <c:tx>
        <c:rich>
          <a:bodyPr xmlns:a="http://schemas.openxmlformats.org/drawingml/2006/main"/>
          <a:lstStyle xmlns:a="http://schemas.openxmlformats.org/drawingml/2006/main"/>
          <a:p xmlns:a="http://schemas.openxmlformats.org/drawingml/2006/main">
            <a:pPr>
              <a:defRPr sz="1400" b="1"/>
            </a:pPr>
            <a:r>
              <a:rPr lang="en-US" sz="1400" b="1"/>
              <a:t>Revenue by Region (₹)</a:t>
            </a:r>
          </a:p>
        </c:rich>
      </c:tx>
      <c:overlay val="0"/>
    </c:title>
    <c:plotArea>
      <c:layout/>
      <c:barChart>
        <c:barDir val="bar"/>
        <c:grouping val="clustered"/>
        <c:varyColors val="0"/>
        <c:ser>
          <c:idx val="0"/>
          <c:order val="0"/>
          <c:tx>
            <c:v>Revenue (₹)</c:v>
          </c:tx>
          <c:spPr>
            <a:solidFill xmlns:a="http://schemas.openxmlformats.org/drawingml/2006/main">
              <a:srgbClr val="7030A0"/>
            </a:solidFill>
          </c:spPr>
          <c:invertIfNegative val="0"/>
          <c:cat>
            <c:strLit>
              <c:ptCount val="5"/>
              <c:pt idx="0">
                <c:v>South</c:v>
              </c:pt>
              <c:pt idx="1">
                <c:v>North</c:v>
              </c:pt>
              <c:pt idx="2">
                <c:v>East</c:v>
              </c:pt>
              <c:pt idx="3">
                <c:v>West</c:v>
              </c:pt>
              <c:pt idx="4">
                <c:v>Central</c:v>
              </c:pt>
            </c:strLit>
          </c:cat>
          <c:val>
            <c:numLit>
              <c:formatCode>General</c:formatCode>
              <c:ptCount val="5"/>
              <c:pt idx="0">
                <c:v>74283796</c:v>
              </c:pt>
              <c:pt idx="1">
                <c:v>54315822</c:v>
              </c:pt>
              <c:pt idx="2">
                <c:v>49430294</c:v>
              </c:pt>
              <c:pt idx="3">
                <c:v>48087464</c:v>
              </c:pt>
              <c:pt idx="4">
                <c:v>40777592</c:v>
              </c:pt>
            </c:numLit>
          </c:val>
        </c:ser>
        <c:gapWidth val="150"/>
        <c:axId val="1"/>
        <c:axId val="2"/>
      </c:barChart>
      <c:catAx>
        <c:axId val="1"/>
        <c:scaling>
          <c:orientation val="minMax"/>
        </c:scaling>
        <c:delete val="0"/>
        <c:axPos val="b"/>
        <c:majorTickMark val="out"/>
        <c:minorTickMark val="none"/>
        <c:tickLblPos val="nextTo"/>
        <c:crossAx val="2"/>
        <c:crosses val="autoZero"/>
        <c:auto val="1"/>
        <c:lblAlgn val="ctr"/>
        <c:lblOffset val="100"/>
      </c:catAx>
      <c:valAx>
        <c:axId val="2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"/>
        <c:crosses val="autoZero"/>
        <c:crossBetween val="between"/>
      </c:valAx>
    </c:plotArea>
    <c:legend>
      <c:legendPos val="b"/>
      <c:overlay val="0"/>
    </c:legend>
    <c:plotVisOnly val="1"/>
    <c:dispBlanksAs val="gap"/>
  </c:chart>
</c:chartSpace>
</file>

<file path=word/charts/chart5.xml><?xml version="1.0" encoding="utf-8"?>
<c:chartSpace xmlns:c="http://schemas.openxmlformats.org/drawingml/2006/chart">
  <c:date1904 val="0"/>
  <c:chart>
    <c:title>
      <c:tx>
        <c:rich>
          <a:bodyPr xmlns:a="http://schemas.openxmlformats.org/drawingml/2006/main"/>
          <a:lstStyle xmlns:a="http://schemas.openxmlformats.org/drawingml/2006/main"/>
          <a:p xmlns:a="http://schemas.openxmlformats.org/drawingml/2006/main">
            <a:pPr>
              <a:defRPr sz="1400" b="1"/>
            </a:pPr>
            <a:r>
              <a:rPr lang="en-US" sz="1400" b="1"/>
              <a:t>Annual Revenue by Year (₹)</a:t>
            </a:r>
          </a:p>
        </c:rich>
      </c:tx>
      <c:overlay val="0"/>
    </c:title>
    <c:plotArea>
      <c:layout/>
      <c:barChart>
        <c:barDir val="col"/>
        <c:grouping val="clustered"/>
        <c:varyColors val="0"/>
        <c:ser>
          <c:idx val="0"/>
          <c:order val="0"/>
          <c:tx>
            <c:v>Revenue (₹)</c:v>
          </c:tx>
          <c:spPr>
            <a:solidFill xmlns:a="http://schemas.openxmlformats.org/drawingml/2006/main">
              <a:srgbClr val="1F3864"/>
            </a:solidFill>
          </c:spPr>
          <c:invertIfNegative val="0"/>
          <c:cat>
            <c:strLit>
              <c:ptCount val="5"/>
              <c:pt idx="0">
                <c:v>2020</c:v>
              </c:pt>
              <c:pt idx="1">
                <c:v>2021</c:v>
              </c:pt>
              <c:pt idx="2">
                <c:v>2022</c:v>
              </c:pt>
              <c:pt idx="3">
                <c:v>2023</c:v>
              </c:pt>
              <c:pt idx="4">
                <c:v>2024</c:v>
              </c:pt>
            </c:strLit>
          </c:cat>
          <c:val>
            <c:numLit>
              <c:formatCode>General</c:formatCode>
              <c:ptCount val="5"/>
              <c:pt idx="0">
                <c:v>39600641</c:v>
              </c:pt>
              <c:pt idx="1">
                <c:v>54203951</c:v>
              </c:pt>
              <c:pt idx="2">
                <c:v>48068483</c:v>
              </c:pt>
              <c:pt idx="3">
                <c:v>60897092</c:v>
              </c:pt>
              <c:pt idx="4">
                <c:v>47492061</c:v>
              </c:pt>
            </c:numLit>
          </c:val>
        </c:ser>
        <c:gapWidth val="150"/>
        <c:axId val="1"/>
        <c:axId val="2"/>
      </c:barChart>
      <c:catAx>
        <c:axId val="1"/>
        <c:scaling>
          <c:orientation val="minMax"/>
        </c:scaling>
        <c:delete val="0"/>
        <c:axPos val="b"/>
        <c:majorTickMark val="out"/>
        <c:minorTickMark val="none"/>
        <c:tickLblPos val="nextTo"/>
        <c:crossAx val="2"/>
        <c:crosses val="autoZero"/>
        <c:auto val="1"/>
        <c:lblAlgn val="ctr"/>
        <c:lblOffset val="100"/>
      </c:catAx>
      <c:valAx>
        <c:axId val="2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"/>
        <c:crosses val="autoZero"/>
        <c:crossBetween val="between"/>
      </c:valAx>
    </c:plotArea>
    <c:legend>
      <c:legendPos val="b"/>
      <c:overlay val="0"/>
    </c:legend>
    <c:plotVisOnly val="1"/>
    <c:dispBlanksAs val="gap"/>
  </c:chart>
</c:chartSpace>
</file>

<file path=word/charts/chart6.xml><?xml version="1.0" encoding="utf-8"?>
<c:chartSpace xmlns:c="http://schemas.openxmlformats.org/drawingml/2006/chart">
  <c:date1904 val="0"/>
  <c:chart>
    <c:title>
      <c:tx>
        <c:rich>
          <a:bodyPr xmlns:a="http://schemas.openxmlformats.org/drawingml/2006/main"/>
          <a:lstStyle xmlns:a="http://schemas.openxmlformats.org/drawingml/2006/main"/>
          <a:p xmlns:a="http://schemas.openxmlformats.org/drawingml/2006/main">
            <a:pPr>
              <a:defRPr sz="1400" b="1"/>
            </a:pPr>
            <a:r>
              <a:rPr lang="en-US" sz="1400" b="1"/>
              <a:t>Revenue by Customer Gender (₹)</a:t>
            </a:r>
          </a:p>
        </c:rich>
      </c:tx>
      <c:overlay val="0"/>
    </c:title>
    <c:plotArea>
      <c:layout/>
      <c:barChart>
        <c:barDir val="bar"/>
        <c:grouping val="clustered"/>
        <c:varyColors val="0"/>
        <c:ser>
          <c:idx val="0"/>
          <c:order val="0"/>
          <c:tx>
            <c:v>Revenue (₹)</c:v>
          </c:tx>
          <c:spPr>
            <a:solidFill xmlns:a="http://schemas.openxmlformats.org/drawingml/2006/main">
              <a:srgbClr val="ED7D31"/>
            </a:solidFill>
          </c:spPr>
          <c:invertIfNegative val="0"/>
          <c:cat>
            <c:strLit>
              <c:ptCount val="3"/>
              <c:pt idx="0">
                <c:v>Other</c:v>
              </c:pt>
              <c:pt idx="1">
                <c:v>Female</c:v>
              </c:pt>
              <c:pt idx="2">
                <c:v>Male</c:v>
              </c:pt>
            </c:strLit>
          </c:cat>
          <c:val>
            <c:numLit>
              <c:formatCode>General</c:formatCode>
              <c:ptCount val="3"/>
              <c:pt idx="0">
                <c:v>86724723</c:v>
              </c:pt>
              <c:pt idx="1">
                <c:v>82175550</c:v>
              </c:pt>
              <c:pt idx="2">
                <c:v>81018436</c:v>
              </c:pt>
            </c:numLit>
          </c:val>
        </c:ser>
        <c:gapWidth val="150"/>
        <c:axId val="1"/>
        <c:axId val="2"/>
      </c:barChart>
      <c:catAx>
        <c:axId val="1"/>
        <c:scaling>
          <c:orientation val="minMax"/>
        </c:scaling>
        <c:delete val="0"/>
        <c:axPos val="b"/>
        <c:majorTickMark val="out"/>
        <c:minorTickMark val="none"/>
        <c:tickLblPos val="nextTo"/>
        <c:crossAx val="2"/>
        <c:crosses val="autoZero"/>
        <c:auto val="1"/>
        <c:lblAlgn val="ctr"/>
        <c:lblOffset val="100"/>
      </c:catAx>
      <c:valAx>
        <c:axId val="2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"/>
        <c:crosses val="autoZero"/>
        <c:crossBetween val="between"/>
      </c:valAx>
    </c:plotArea>
    <c:legend>
      <c:legendPos val="b"/>
      <c:overlay val="0"/>
    </c:legend>
    <c:plotVisOnly val="1"/>
    <c:dispBlanksAs val="gap"/>
  </c:chart>
</c:chartSpace>
</file>

<file path=word/charts/chart7.xml><?xml version="1.0" encoding="utf-8"?>
<c:chartSpace xmlns:c="http://schemas.openxmlformats.org/drawingml/2006/chart">
  <c:date1904 val="0"/>
  <c:chart>
    <c:title>
      <c:tx>
        <c:rich>
          <a:bodyPr xmlns:a="http://schemas.openxmlformats.org/drawingml/2006/main"/>
          <a:lstStyle xmlns:a="http://schemas.openxmlformats.org/drawingml/2006/main"/>
          <a:p xmlns:a="http://schemas.openxmlformats.org/drawingml/2006/main">
            <a:pPr>
              <a:defRPr sz="1400" b="1"/>
            </a:pPr>
            <a:r>
              <a:rPr lang="en-US" sz="1400" b="1"/>
              <a:t>Order Status Distribution</a:t>
            </a:r>
          </a:p>
        </c:rich>
      </c:tx>
      <c:overlay val="0"/>
    </c:title>
    <c:plotArea>
      <c:layout/>
      <c:pieChart>
        <c:varyColors val="1"/>
        <c:ser>
          <c:idx val="0"/>
          <c:order val="0"/>
          <c:tx>
            <c:v>Orders</c:v>
          </c:tx>
          <c:cat>
            <c:strLit>
              <c:ptCount val="5"/>
              <c:pt idx="0">
                <c:v>Delivered</c:v>
              </c:pt>
              <c:pt idx="1">
                <c:v>Returned</c:v>
              </c:pt>
              <c:pt idx="2">
                <c:v>Cancelled</c:v>
              </c:pt>
              <c:pt idx="3">
                <c:v>Shipped</c:v>
              </c:pt>
              <c:pt idx="4">
                <c:v>Pending</c:v>
              </c:pt>
            </c:strLit>
          </c:cat>
          <c:val>
            <c:numLit>
              <c:formatCode>General</c:formatCode>
              <c:ptCount val="5"/>
              <c:pt idx="0">
                <c:v>2787</c:v>
              </c:pt>
              <c:pt idx="1">
                <c:v>623</c:v>
              </c:pt>
              <c:pt idx="2">
                <c:v>352</c:v>
              </c:pt>
              <c:pt idx="3">
                <c:v>334</c:v>
              </c:pt>
              <c:pt idx="4">
                <c:v>184</c:v>
              </c:pt>
            </c:numLit>
          </c:val>
        </c:ser>
      </c:pieChart>
    </c:plotArea>
    <c:legend>
      <c:legendPos val="b"/>
      <c:overlay val="0"/>
    </c:legend>
    <c:plotVisOnly val="1"/>
    <c:dispBlanksAs val="gap"/>
  </c:chart>
</c:chartSpace>
</file>

<file path=word/charts/chart8.xml><?xml version="1.0" encoding="utf-8"?>
<c:chartSpace xmlns:c="http://schemas.openxmlformats.org/drawingml/2006/chart">
  <c:date1904 val="0"/>
  <c:chart>
    <c:title>
      <c:tx>
        <c:rich>
          <a:bodyPr xmlns:a="http://schemas.openxmlformats.org/drawingml/2006/main"/>
          <a:lstStyle xmlns:a="http://schemas.openxmlformats.org/drawingml/2006/main"/>
          <a:p xmlns:a="http://schemas.openxmlformats.org/drawingml/2006/main">
            <a:pPr>
              <a:defRPr sz="1400" b="1"/>
            </a:pPr>
            <a:r>
              <a:rPr lang="en-US" sz="1400" b="1"/>
              <a:t>Revenue by Payment Method (₹)</a:t>
            </a:r>
          </a:p>
        </c:rich>
      </c:tx>
      <c:overlay val="0"/>
    </c:title>
    <c:plotArea>
      <c:layout/>
      <c:barChart>
        <c:barDir val="bar"/>
        <c:grouping val="clustered"/>
        <c:varyColors val="0"/>
        <c:ser>
          <c:idx val="0"/>
          <c:order val="0"/>
          <c:tx>
            <c:v>Revenue (₹)</c:v>
          </c:tx>
          <c:spPr>
            <a:solidFill xmlns:a="http://schemas.openxmlformats.org/drawingml/2006/main">
              <a:srgbClr val="5B9BD5"/>
            </a:solidFill>
          </c:spPr>
          <c:invertIfNegative val="0"/>
          <c:cat>
            <c:strLit>
              <c:ptCount val="6"/>
              <c:pt idx="0">
                <c:v>EMI</c:v>
              </c:pt>
              <c:pt idx="1">
                <c:v>Debit Card</c:v>
              </c:pt>
              <c:pt idx="2">
                <c:v>Cash on Delivery</c:v>
              </c:pt>
              <c:pt idx="3">
                <c:v>Net Banking</c:v>
              </c:pt>
              <c:pt idx="4">
                <c:v>UPI</c:v>
              </c:pt>
              <c:pt idx="5">
                <c:v>Credit Card</c:v>
              </c:pt>
            </c:strLit>
          </c:cat>
          <c:val>
            <c:numLit>
              <c:formatCode>General</c:formatCode>
              <c:ptCount val="6"/>
              <c:pt idx="0">
                <c:v>63426808</c:v>
              </c:pt>
              <c:pt idx="1">
                <c:v>43016312</c:v>
              </c:pt>
              <c:pt idx="2">
                <c:v>42291275</c:v>
              </c:pt>
              <c:pt idx="3">
                <c:v>39901218</c:v>
              </c:pt>
              <c:pt idx="4">
                <c:v>39616904</c:v>
              </c:pt>
              <c:pt idx="5">
                <c:v>38642452</c:v>
              </c:pt>
            </c:numLit>
          </c:val>
        </c:ser>
        <c:gapWidth val="150"/>
        <c:axId val="1"/>
        <c:axId val="2"/>
      </c:barChart>
      <c:catAx>
        <c:axId val="1"/>
        <c:scaling>
          <c:orientation val="minMax"/>
        </c:scaling>
        <c:delete val="0"/>
        <c:axPos val="b"/>
        <c:majorTickMark val="out"/>
        <c:minorTickMark val="none"/>
        <c:tickLblPos val="nextTo"/>
        <c:crossAx val="2"/>
        <c:crosses val="autoZero"/>
        <c:auto val="1"/>
        <c:lblAlgn val="ctr"/>
        <c:lblOffset val="100"/>
      </c:catAx>
      <c:valAx>
        <c:axId val="2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"/>
        <c:crosses val="autoZero"/>
        <c:crossBetween val="between"/>
      </c:valAx>
    </c:plotArea>
    <c:legend>
      <c:legendPos val="b"/>
      <c:overlay val="0"/>
    </c:legend>
    <c:plotVisOnly val="1"/>
    <c:dispBlanksAs val="gap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OfficeCLI/1.0.155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2026-10-07T08:03:45Z</dcterms:created>
  <cp:lastModifiedBy>OfficeCLI</cp:lastModifiedBy>
  <dcterms:modified xsi:type="dcterms:W3CDTF">2026-10-07T08:03:45Z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1.0.155</vt:lpwstr>
  </op:property>
  <op:property fmtid="{D5CDD505-2E9C-101B-9397-08002B2CF9AE}" pid="3" name="OfficeCLI.LastModified">
    <vt:lpwstr xmlns:vt="http://schemas.openxmlformats.org/officeDocument/2006/docPropsVTypes">2026-10-07T08:07:27Z</vt:lpwstr>
  </op:property>
</op:Properties>
</file>