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89DB" w14:textId="4D20B76C" w:rsidR="00C362A7" w:rsidRPr="00F00399" w:rsidRDefault="00C362A7" w:rsidP="00F00399">
      <w:pPr>
        <w:pStyle w:val="Heading1"/>
        <w:spacing w:before="0" w:after="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F00399">
        <w:rPr>
          <w:rFonts w:ascii="Calibri" w:hAnsi="Calibri" w:cs="Calibri"/>
          <w:b/>
          <w:bCs/>
          <w:sz w:val="28"/>
          <w:szCs w:val="28"/>
          <w:lang w:val="en-US"/>
        </w:rPr>
        <w:t xml:space="preserve">Name: Varia Neel Jitesh </w:t>
      </w:r>
      <w:r w:rsidRPr="00F00399">
        <w:rPr>
          <w:rFonts w:ascii="Calibri" w:hAnsi="Calibri" w:cs="Calibri"/>
          <w:b/>
          <w:bCs/>
          <w:sz w:val="28"/>
          <w:szCs w:val="28"/>
          <w:lang w:val="en-US"/>
        </w:rPr>
        <w:br/>
        <w:t xml:space="preserve">Enrollment No.: </w:t>
      </w:r>
      <w:r w:rsidRPr="00F00399">
        <w:rPr>
          <w:rFonts w:ascii="Calibri" w:hAnsi="Calibri" w:cs="Calibri"/>
          <w:b/>
          <w:bCs/>
          <w:sz w:val="28"/>
          <w:szCs w:val="28"/>
          <w:lang w:val="en-US"/>
        </w:rPr>
        <w:t>250447003019</w:t>
      </w:r>
    </w:p>
    <w:p w14:paraId="534F2567" w14:textId="77777777" w:rsidR="00C362A7" w:rsidRPr="00D06C05" w:rsidRDefault="00C362A7" w:rsidP="00C362A7">
      <w:pPr>
        <w:pStyle w:val="Heading1"/>
        <w:rPr>
          <w:rFonts w:asciiTheme="minorHAnsi" w:hAnsiTheme="minorHAnsi" w:cs="Calibri"/>
          <w:b/>
          <w:bCs/>
          <w:color w:val="153D63" w:themeColor="text2" w:themeTint="E6"/>
          <w:sz w:val="28"/>
          <w:szCs w:val="28"/>
          <w:lang w:val="en-US"/>
        </w:rPr>
      </w:pPr>
      <w:r w:rsidRPr="00D06C05">
        <w:rPr>
          <w:rFonts w:asciiTheme="minorHAnsi" w:hAnsiTheme="minorHAnsi" w:cs="Calibri"/>
          <w:b/>
          <w:bCs/>
          <w:color w:val="153D63" w:themeColor="text2" w:themeTint="E6"/>
          <w:sz w:val="28"/>
          <w:szCs w:val="28"/>
          <w:lang w:val="en-US"/>
        </w:rPr>
        <w:t>Assignment: Incident Response as per CERT-In Standards</w:t>
      </w:r>
    </w:p>
    <w:p w14:paraId="327626FD" w14:textId="373A2816" w:rsidR="00C362A7" w:rsidRPr="00D06C05" w:rsidRDefault="00C362A7" w:rsidP="006349A3">
      <w:pPr>
        <w:pStyle w:val="NoSpacing"/>
        <w:rPr>
          <w:lang w:val="en-US"/>
        </w:rPr>
      </w:pPr>
      <w:r w:rsidRPr="00D06C05">
        <w:rPr>
          <w:lang w:val="en-US"/>
        </w:rPr>
        <w:t>Question:</w:t>
      </w:r>
      <w:r w:rsidRPr="00D06C05">
        <w:rPr>
          <w:lang w:val="en-US"/>
        </w:rPr>
        <w:br/>
      </w:r>
      <w:r w:rsidRPr="00D06C05">
        <w:rPr>
          <w:lang w:val="en-US"/>
        </w:rPr>
        <w:t>You are working for a company. All of a sudden, you realize that the network is under attack and some of the live business operations are affected where critical processes are executed.</w:t>
      </w:r>
      <w:r w:rsidRPr="00D06C05">
        <w:rPr>
          <w:lang w:val="en-US"/>
        </w:rPr>
        <w:br/>
      </w:r>
      <w:r w:rsidRPr="00D06C05">
        <w:rPr>
          <w:lang w:val="en-US"/>
        </w:rPr>
        <w:br/>
        <w:t>How do you control such a situation, and what will be the response from IRM, journalism, legal, and business operation points of view? Also, how do you calculate the cost of the incident and communicate with stakeholders?</w:t>
      </w:r>
      <w:r w:rsidRPr="00D06C05">
        <w:rPr>
          <w:lang w:val="en-US"/>
        </w:rPr>
        <w:br/>
      </w:r>
      <w:r w:rsidRPr="00D06C05">
        <w:rPr>
          <w:lang w:val="en-US"/>
        </w:rPr>
        <w:br/>
        <w:t>Condition: Use CERT-In Standard.</w:t>
      </w:r>
    </w:p>
    <w:p w14:paraId="64BA7D46" w14:textId="2BB004B6" w:rsidR="00C362A7" w:rsidRPr="006349A3" w:rsidRDefault="00C362A7" w:rsidP="006349A3">
      <w:pPr>
        <w:pStyle w:val="Heading3"/>
        <w:rPr>
          <w:b/>
          <w:bCs/>
          <w:u w:val="single"/>
          <w:lang w:val="en-US"/>
        </w:rPr>
      </w:pPr>
      <w:r w:rsidRPr="006349A3">
        <w:rPr>
          <w:b/>
          <w:bCs/>
          <w:u w:val="single"/>
          <w:lang w:val="en-US"/>
        </w:rPr>
        <w:t>Answer:</w:t>
      </w:r>
    </w:p>
    <w:p w14:paraId="25A07C8E" w14:textId="5D8ED8C4" w:rsidR="00C362A7" w:rsidRPr="00D06C05" w:rsidRDefault="00D06C05" w:rsidP="00C362A7">
      <w:pPr>
        <w:rPr>
          <w:sz w:val="26"/>
          <w:szCs w:val="26"/>
        </w:rPr>
      </w:pPr>
      <w:r w:rsidRPr="00D06C05">
        <w:rPr>
          <w:sz w:val="26"/>
          <w:szCs w:val="26"/>
        </w:rPr>
        <w:t xml:space="preserve">According to </w:t>
      </w:r>
      <w:r w:rsidRPr="00D06C05">
        <w:rPr>
          <w:b/>
          <w:bCs/>
          <w:sz w:val="26"/>
          <w:szCs w:val="26"/>
        </w:rPr>
        <w:t>CERT-In (Computer Emergency Response Team–India) standards</w:t>
      </w:r>
      <w:r w:rsidRPr="00D06C05">
        <w:rPr>
          <w:sz w:val="26"/>
          <w:szCs w:val="26"/>
        </w:rPr>
        <w:t>, any network attack or incident affecting critical business operations must be handled systematically using the Incident Response Life Cycle, which includes identification, containment, eradication, recovery, and post-incident review.</w:t>
      </w:r>
    </w:p>
    <w:p w14:paraId="2D5E2B6A" w14:textId="77777777" w:rsidR="006349A3" w:rsidRDefault="00D06C05" w:rsidP="006349A3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</w:rPr>
      </w:pPr>
      <w:r w:rsidRPr="00D06C05">
        <w:rPr>
          <w:b/>
          <w:bCs/>
          <w:color w:val="4C94D8" w:themeColor="text2" w:themeTint="80"/>
        </w:rPr>
        <w:t>Control and Containment (as per CERT-In Standard)</w:t>
      </w:r>
    </w:p>
    <w:p w14:paraId="4A46A22E" w14:textId="12E874EE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6349A3">
        <w:rPr>
          <w:rStyle w:val="Strong"/>
          <w:rFonts w:eastAsiaTheme="majorEastAsia"/>
        </w:rPr>
        <w:t>Identification:</w:t>
      </w:r>
      <w:r>
        <w:br/>
        <w:t>Abnormal activity is detected, validated through SIEM/IDS logs, and categorized according to CERT-In requirements.</w:t>
      </w:r>
    </w:p>
    <w:p w14:paraId="410C917D" w14:textId="58AEAD32" w:rsidR="006349A3" w:rsidRPr="006349A3" w:rsidRDefault="006349A3" w:rsidP="006349A3">
      <w:pPr>
        <w:pStyle w:val="ListParagraph"/>
        <w:numPr>
          <w:ilvl w:val="1"/>
          <w:numId w:val="3"/>
        </w:numPr>
        <w:rPr>
          <w:color w:val="000000" w:themeColor="text1"/>
        </w:rPr>
      </w:pPr>
      <w:r w:rsidRPr="006349A3">
        <w:rPr>
          <w:b/>
          <w:bCs/>
          <w:color w:val="000000" w:themeColor="text1"/>
        </w:rPr>
        <w:t>Containment:</w:t>
      </w:r>
      <w:r w:rsidRPr="006349A3">
        <w:rPr>
          <w:b/>
          <w:bCs/>
          <w:color w:val="000000" w:themeColor="text1"/>
        </w:rPr>
        <w:br/>
      </w:r>
      <w:r w:rsidRPr="006349A3">
        <w:rPr>
          <w:color w:val="000000" w:themeColor="text1"/>
        </w:rPr>
        <w:t>Affected systems are immediately isolated, malicious traffic is blocked, compromised accounts are disabled, and all evidence is securely preserved.</w:t>
      </w:r>
    </w:p>
    <w:p w14:paraId="406BE045" w14:textId="33F7831C" w:rsidR="006349A3" w:rsidRPr="006349A3" w:rsidRDefault="006349A3" w:rsidP="006349A3">
      <w:pPr>
        <w:pStyle w:val="ListParagraph"/>
        <w:numPr>
          <w:ilvl w:val="1"/>
          <w:numId w:val="3"/>
        </w:numPr>
        <w:rPr>
          <w:color w:val="000000" w:themeColor="text1"/>
        </w:rPr>
      </w:pPr>
      <w:r w:rsidRPr="006349A3">
        <w:rPr>
          <w:b/>
          <w:bCs/>
          <w:color w:val="000000" w:themeColor="text1"/>
        </w:rPr>
        <w:t>Eradication:</w:t>
      </w:r>
      <w:r w:rsidRPr="006349A3">
        <w:rPr>
          <w:b/>
          <w:bCs/>
          <w:color w:val="000000" w:themeColor="text1"/>
        </w:rPr>
        <w:br/>
      </w:r>
      <w:r w:rsidRPr="006349A3">
        <w:rPr>
          <w:color w:val="000000" w:themeColor="text1"/>
        </w:rPr>
        <w:t>All malicious components</w:t>
      </w:r>
      <w:r>
        <w:rPr>
          <w:color w:val="000000" w:themeColor="text1"/>
        </w:rPr>
        <w:t xml:space="preserve"> </w:t>
      </w:r>
      <w:r w:rsidRPr="006349A3">
        <w:rPr>
          <w:color w:val="000000" w:themeColor="text1"/>
        </w:rPr>
        <w:t>malware, backdoors, or rogue changes</w:t>
      </w:r>
      <w:r>
        <w:rPr>
          <w:color w:val="000000" w:themeColor="text1"/>
        </w:rPr>
        <w:t xml:space="preserve"> </w:t>
      </w:r>
      <w:r w:rsidRPr="006349A3">
        <w:rPr>
          <w:color w:val="000000" w:themeColor="text1"/>
        </w:rPr>
        <w:t>are removed, vulnerabilities are patched, and credentials are strengthened.</w:t>
      </w:r>
    </w:p>
    <w:p w14:paraId="1237EBAD" w14:textId="549CE5C3" w:rsidR="006349A3" w:rsidRPr="006349A3" w:rsidRDefault="006349A3" w:rsidP="006349A3">
      <w:pPr>
        <w:pStyle w:val="ListParagraph"/>
        <w:numPr>
          <w:ilvl w:val="1"/>
          <w:numId w:val="3"/>
        </w:numPr>
        <w:rPr>
          <w:color w:val="000000" w:themeColor="text1"/>
        </w:rPr>
      </w:pPr>
      <w:r w:rsidRPr="006349A3">
        <w:rPr>
          <w:b/>
          <w:bCs/>
          <w:color w:val="000000" w:themeColor="text1"/>
        </w:rPr>
        <w:t>Recovery:</w:t>
      </w:r>
      <w:r w:rsidRPr="006349A3">
        <w:rPr>
          <w:b/>
          <w:bCs/>
          <w:color w:val="000000" w:themeColor="text1"/>
        </w:rPr>
        <w:br/>
      </w:r>
      <w:r w:rsidRPr="006349A3">
        <w:rPr>
          <w:color w:val="000000" w:themeColor="text1"/>
        </w:rPr>
        <w:t>Clean backups are restored, system integrity is verified, continuous monitoring is applied, and systems are carefully brought back online.</w:t>
      </w:r>
    </w:p>
    <w:p w14:paraId="28AD7018" w14:textId="6CC4D404" w:rsidR="006349A3" w:rsidRPr="00F00399" w:rsidRDefault="006349A3" w:rsidP="00F00399">
      <w:pPr>
        <w:pStyle w:val="ListParagraph"/>
        <w:numPr>
          <w:ilvl w:val="1"/>
          <w:numId w:val="3"/>
        </w:numPr>
        <w:rPr>
          <w:color w:val="000000" w:themeColor="text1"/>
        </w:rPr>
      </w:pPr>
      <w:r w:rsidRPr="006349A3">
        <w:rPr>
          <w:b/>
          <w:bCs/>
          <w:color w:val="000000" w:themeColor="text1"/>
        </w:rPr>
        <w:t>Post-Incident Analysis:</w:t>
      </w:r>
      <w:r w:rsidRPr="006349A3">
        <w:rPr>
          <w:b/>
          <w:bCs/>
          <w:color w:val="000000" w:themeColor="text1"/>
        </w:rPr>
        <w:br/>
      </w:r>
      <w:r w:rsidRPr="006349A3">
        <w:rPr>
          <w:color w:val="000000" w:themeColor="text1"/>
        </w:rPr>
        <w:t>A full incident report is produced as mandated by CERT-In, and security procedures are refined to prevent future occurrences.</w:t>
      </w:r>
    </w:p>
    <w:p w14:paraId="69C85D71" w14:textId="77777777" w:rsidR="006349A3" w:rsidRPr="006349A3" w:rsidRDefault="006349A3" w:rsidP="006349A3">
      <w:pPr>
        <w:pStyle w:val="ListParagraph"/>
        <w:ind w:left="1440"/>
        <w:rPr>
          <w:color w:val="000000" w:themeColor="text1"/>
        </w:rPr>
      </w:pPr>
    </w:p>
    <w:p w14:paraId="6BD793CA" w14:textId="77777777" w:rsidR="006349A3" w:rsidRDefault="00D06C05" w:rsidP="006349A3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</w:rPr>
      </w:pPr>
      <w:r w:rsidRPr="00D06C05">
        <w:rPr>
          <w:b/>
          <w:bCs/>
          <w:color w:val="4C94D8" w:themeColor="text2" w:themeTint="80"/>
        </w:rPr>
        <w:t>Response from Different Perspectives</w:t>
      </w:r>
      <w:r w:rsidRPr="00D06C05">
        <w:rPr>
          <w:b/>
          <w:bCs/>
          <w:color w:val="4C94D8" w:themeColor="text2" w:themeTint="80"/>
        </w:rPr>
        <w:t xml:space="preserve"> </w:t>
      </w:r>
    </w:p>
    <w:p w14:paraId="35ADFC2C" w14:textId="60EE45C5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6349A3">
        <w:rPr>
          <w:rStyle w:val="Strong"/>
          <w:rFonts w:eastAsiaTheme="majorEastAsia"/>
        </w:rPr>
        <w:t>IRM Response:</w:t>
      </w:r>
      <w:r>
        <w:br/>
        <w:t>IRM evaluates the impact on confidentiality, integrity, and availability, updates the risk register, recommends mitigation measures, determines if CERT-In reporting is required, and ensures evidence is collected properly.</w:t>
      </w:r>
    </w:p>
    <w:p w14:paraId="539D9F1F" w14:textId="77777777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6349A3">
        <w:rPr>
          <w:rStyle w:val="Strong"/>
          <w:rFonts w:eastAsiaTheme="majorEastAsia"/>
        </w:rPr>
        <w:t xml:space="preserve"> Journalism / Media Response:</w:t>
      </w:r>
      <w:r>
        <w:br/>
        <w:t>If the incident becomes public, the PR team</w:t>
      </w:r>
      <w:r>
        <w:t xml:space="preserve"> </w:t>
      </w:r>
      <w:r>
        <w:t>aligned with legal</w:t>
      </w:r>
      <w:r>
        <w:t xml:space="preserve"> </w:t>
      </w:r>
      <w:r>
        <w:t>issues a controlled, non-technical statement explaining what happened, what services were affected, what actions were taken, and any customer guidance.</w:t>
      </w:r>
    </w:p>
    <w:p w14:paraId="52E76129" w14:textId="77777777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6349A3">
        <w:rPr>
          <w:rStyle w:val="Strong"/>
          <w:rFonts w:eastAsiaTheme="majorEastAsia"/>
        </w:rPr>
        <w:lastRenderedPageBreak/>
        <w:t xml:space="preserve"> Legal / Regulatory Response:</w:t>
      </w:r>
      <w:r>
        <w:br/>
        <w:t>Legal checks if CERT-In or other regulatory reporting thresholds are triggered, ensures timely notification, preserves evidence with chain of custody, coordinates with law enforcement, and prepares for compliance or liability issues.</w:t>
      </w:r>
    </w:p>
    <w:p w14:paraId="14FBE29B" w14:textId="4FFCB99A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6349A3">
        <w:rPr>
          <w:rStyle w:val="Strong"/>
          <w:rFonts w:eastAsiaTheme="majorEastAsia"/>
        </w:rPr>
        <w:t>Business Operations Response:</w:t>
      </w:r>
      <w:r>
        <w:br/>
        <w:t>Operations focus on restoring critical processes, activating DR or backup systems, informing internal teams of delays, and calculating financial impact from downtime, lost transactions, penalties, and reputational harm.</w:t>
      </w:r>
    </w:p>
    <w:p w14:paraId="36AFFBF3" w14:textId="77777777" w:rsidR="006349A3" w:rsidRPr="006349A3" w:rsidRDefault="006349A3" w:rsidP="006349A3">
      <w:pPr>
        <w:pStyle w:val="ListParagraph"/>
        <w:ind w:left="1440"/>
        <w:rPr>
          <w:b/>
          <w:bCs/>
          <w:color w:val="4C94D8" w:themeColor="text2" w:themeTint="80"/>
        </w:rPr>
      </w:pPr>
    </w:p>
    <w:p w14:paraId="178775FD" w14:textId="77777777" w:rsidR="006349A3" w:rsidRDefault="00D06C05" w:rsidP="006349A3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</w:rPr>
      </w:pPr>
      <w:r w:rsidRPr="00D06C05">
        <w:rPr>
          <w:b/>
          <w:bCs/>
          <w:color w:val="4C94D8" w:themeColor="text2" w:themeTint="80"/>
        </w:rPr>
        <w:t>Calculation of the Cost of the Incident</w:t>
      </w:r>
    </w:p>
    <w:p w14:paraId="4C043502" w14:textId="77777777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>
        <w:t>Incident costs are calculated using direct, indirect, intangible, and compliance components.</w:t>
      </w:r>
    </w:p>
    <w:p w14:paraId="27402F5B" w14:textId="77777777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6349A3">
        <w:rPr>
          <w:rStyle w:val="Strong"/>
          <w:rFonts w:eastAsiaTheme="majorEastAsia"/>
        </w:rPr>
        <w:t>Direct Costs:</w:t>
      </w:r>
      <w:r>
        <w:t xml:space="preserve"> Downtime loss, staff overtime, forensic investigation, and infrastructure repair.</w:t>
      </w:r>
    </w:p>
    <w:p w14:paraId="1777C08A" w14:textId="77777777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6349A3">
        <w:rPr>
          <w:rStyle w:val="Strong"/>
          <w:rFonts w:eastAsiaTheme="majorEastAsia"/>
        </w:rPr>
        <w:t>Indirect Costs:</w:t>
      </w:r>
      <w:r>
        <w:t xml:space="preserve"> Productivity loss, customer churn, and regulatory or contractual penalties.</w:t>
      </w:r>
    </w:p>
    <w:p w14:paraId="76A2910E" w14:textId="77777777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6349A3">
        <w:rPr>
          <w:rStyle w:val="Strong"/>
          <w:rFonts w:eastAsiaTheme="majorEastAsia"/>
        </w:rPr>
        <w:t>Intangible Costs:</w:t>
      </w:r>
      <w:r>
        <w:t xml:space="preserve"> Damage to brand reputation and future investments in stronger controls.</w:t>
      </w:r>
    </w:p>
    <w:p w14:paraId="1531CDA5" w14:textId="77777777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6349A3">
        <w:rPr>
          <w:rStyle w:val="Strong"/>
          <w:rFonts w:eastAsiaTheme="majorEastAsia"/>
        </w:rPr>
        <w:t>CERT-In Compliance Costs:</w:t>
      </w:r>
      <w:r>
        <w:t xml:space="preserve"> Legal filings, documentation, and audit requirements.</w:t>
      </w:r>
    </w:p>
    <w:p w14:paraId="4E05B0A7" w14:textId="6BFE488A" w:rsidR="006349A3" w:rsidRPr="006349A3" w:rsidRDefault="006349A3" w:rsidP="006349A3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6349A3">
        <w:rPr>
          <w:rStyle w:val="Strong"/>
          <w:rFonts w:eastAsiaTheme="majorEastAsia"/>
        </w:rPr>
        <w:t>Total Cost Formula:</w:t>
      </w:r>
      <w:r>
        <w:t xml:space="preserve"> </w:t>
      </w:r>
      <w:r w:rsidRPr="006349A3">
        <w:rPr>
          <w:rStyle w:val="Emphasis"/>
          <w:rFonts w:eastAsiaTheme="majorEastAsia"/>
          <w:b/>
          <w:bCs/>
        </w:rPr>
        <w:t>Direct Costs + Indirect Costs + Intangible Costs + Compliance Costs</w:t>
      </w:r>
      <w:r w:rsidRPr="006349A3">
        <w:rPr>
          <w:b/>
          <w:bCs/>
        </w:rPr>
        <w:t>.</w:t>
      </w:r>
    </w:p>
    <w:p w14:paraId="6C0EA8A4" w14:textId="77777777" w:rsidR="006349A3" w:rsidRPr="00D06C05" w:rsidRDefault="006349A3" w:rsidP="006349A3">
      <w:pPr>
        <w:pStyle w:val="ListParagraph"/>
        <w:rPr>
          <w:b/>
          <w:bCs/>
          <w:color w:val="4C94D8" w:themeColor="text2" w:themeTint="80"/>
        </w:rPr>
      </w:pPr>
    </w:p>
    <w:p w14:paraId="7318258E" w14:textId="77777777" w:rsidR="00F00399" w:rsidRDefault="00D06C05" w:rsidP="00F00399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</w:rPr>
      </w:pPr>
      <w:r w:rsidRPr="00D06C05">
        <w:rPr>
          <w:b/>
          <w:bCs/>
          <w:color w:val="4C94D8" w:themeColor="text2" w:themeTint="80"/>
        </w:rPr>
        <w:t>Communication to Stakeholders</w:t>
      </w:r>
    </w:p>
    <w:p w14:paraId="69280712" w14:textId="77777777" w:rsidR="00F00399" w:rsidRPr="00F00399" w:rsidRDefault="00F00399" w:rsidP="00F00399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F00399">
        <w:rPr>
          <w:rStyle w:val="Strong"/>
          <w:rFonts w:eastAsiaTheme="majorEastAsia"/>
        </w:rPr>
        <w:t>Internal Stakeholders:</w:t>
      </w:r>
      <w:r>
        <w:t xml:space="preserve"> Share a structured situation report covering what happened, affected systems, business impact, actions taken, and next steps.</w:t>
      </w:r>
    </w:p>
    <w:p w14:paraId="3909CDCC" w14:textId="59714319" w:rsidR="00F00399" w:rsidRPr="00F00399" w:rsidRDefault="00F00399" w:rsidP="00F00399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F00399">
        <w:rPr>
          <w:rStyle w:val="Strong"/>
          <w:rFonts w:eastAsiaTheme="majorEastAsia"/>
        </w:rPr>
        <w:t>External Stakeholders:</w:t>
      </w:r>
      <w:r>
        <w:t xml:space="preserve"> Use a controlled communication plan, avoid exposing sensitive details, coordinate messaging with legal/IRM/PR teams, and give timely updates until full recovery.</w:t>
      </w:r>
    </w:p>
    <w:p w14:paraId="657838F3" w14:textId="77777777" w:rsidR="006349A3" w:rsidRPr="00D06C05" w:rsidRDefault="006349A3" w:rsidP="006349A3">
      <w:pPr>
        <w:pStyle w:val="ListParagraph"/>
        <w:rPr>
          <w:b/>
          <w:bCs/>
          <w:color w:val="4C94D8" w:themeColor="text2" w:themeTint="80"/>
        </w:rPr>
      </w:pPr>
    </w:p>
    <w:p w14:paraId="43E12566" w14:textId="77777777" w:rsidR="00F00399" w:rsidRDefault="006349A3" w:rsidP="00F00399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</w:rPr>
      </w:pPr>
      <w:r w:rsidRPr="006349A3">
        <w:rPr>
          <w:b/>
          <w:bCs/>
          <w:color w:val="4C94D8" w:themeColor="text2" w:themeTint="80"/>
        </w:rPr>
        <w:t>Post-Incident Improvement</w:t>
      </w:r>
    </w:p>
    <w:p w14:paraId="2A3DD97F" w14:textId="3340FC0F" w:rsidR="00F00399" w:rsidRPr="00F00399" w:rsidRDefault="00F00399" w:rsidP="00F00399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F00399">
        <w:rPr>
          <w:rStyle w:val="Strong"/>
          <w:rFonts w:eastAsiaTheme="majorEastAsia"/>
        </w:rPr>
        <w:t>Under CERT-In standards</w:t>
      </w:r>
      <w:r>
        <w:t>, control the attack by isolating systems, preserving evidence, blocking malicious activity, eradicating the threat, recovering operations, and reporting to CERT-In.</w:t>
      </w:r>
      <w:r>
        <w:br/>
      </w:r>
    </w:p>
    <w:p w14:paraId="633FFE99" w14:textId="63F11860" w:rsidR="00F00399" w:rsidRPr="00F00399" w:rsidRDefault="00F00399" w:rsidP="00F00399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F00399">
        <w:rPr>
          <w:rStyle w:val="Strong"/>
          <w:rFonts w:eastAsiaTheme="majorEastAsia"/>
        </w:rPr>
        <w:t>IRM</w:t>
      </w:r>
      <w:r>
        <w:t xml:space="preserve"> </w:t>
      </w:r>
      <w:r>
        <w:t>analyses</w:t>
      </w:r>
      <w:r>
        <w:t xml:space="preserve"> risk and updates mitigation strategies.</w:t>
      </w:r>
      <w:r>
        <w:br/>
      </w:r>
      <w:r w:rsidRPr="00F00399">
        <w:rPr>
          <w:rStyle w:val="Strong"/>
          <w:rFonts w:eastAsiaTheme="majorEastAsia"/>
        </w:rPr>
        <w:t>Journalism/PR</w:t>
      </w:r>
      <w:r>
        <w:t xml:space="preserve"> handles controlled public communication.</w:t>
      </w:r>
      <w:r>
        <w:br/>
      </w:r>
      <w:r w:rsidRPr="00F00399">
        <w:rPr>
          <w:rStyle w:val="Strong"/>
          <w:rFonts w:eastAsiaTheme="majorEastAsia"/>
        </w:rPr>
        <w:t>Legal</w:t>
      </w:r>
      <w:r>
        <w:t xml:space="preserve"> manages regulatory compliance and evidence preservation.</w:t>
      </w:r>
      <w:r>
        <w:br/>
      </w:r>
      <w:r w:rsidRPr="00F00399">
        <w:rPr>
          <w:rStyle w:val="Strong"/>
          <w:rFonts w:eastAsiaTheme="majorEastAsia"/>
        </w:rPr>
        <w:t>Business operations</w:t>
      </w:r>
      <w:r>
        <w:t xml:space="preserve"> restore mission-critical processes and minimize downtime.</w:t>
      </w:r>
      <w:r>
        <w:br/>
      </w:r>
    </w:p>
    <w:p w14:paraId="2665FBB6" w14:textId="793E39E5" w:rsidR="00F00399" w:rsidRPr="00F00399" w:rsidRDefault="00F00399" w:rsidP="00F00399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</w:rPr>
      </w:pPr>
      <w:r w:rsidRPr="00F00399">
        <w:rPr>
          <w:b/>
          <w:bCs/>
        </w:rPr>
        <w:t xml:space="preserve">Incident cost is calculated using </w:t>
      </w:r>
      <w:r w:rsidRPr="00F00399">
        <w:rPr>
          <w:rStyle w:val="Strong"/>
          <w:rFonts w:eastAsiaTheme="majorEastAsia"/>
          <w:b w:val="0"/>
          <w:bCs w:val="0"/>
        </w:rPr>
        <w:t>direct + indirect + intangible losses</w:t>
      </w:r>
      <w:r w:rsidRPr="00F00399">
        <w:rPr>
          <w:b/>
          <w:bCs/>
        </w:rPr>
        <w:t>, and stakeholders are kept informed using structured, approved communication.</w:t>
      </w:r>
    </w:p>
    <w:p w14:paraId="56EC4700" w14:textId="77777777" w:rsidR="00F00399" w:rsidRPr="006349A3" w:rsidRDefault="00F00399" w:rsidP="00F00399">
      <w:pPr>
        <w:pStyle w:val="ListParagraph"/>
        <w:rPr>
          <w:b/>
          <w:bCs/>
          <w:color w:val="4C94D8" w:themeColor="text2" w:themeTint="80"/>
        </w:rPr>
      </w:pPr>
    </w:p>
    <w:sectPr w:rsidR="00F00399" w:rsidRPr="006349A3" w:rsidSect="00C362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9D9"/>
    <w:multiLevelType w:val="hybridMultilevel"/>
    <w:tmpl w:val="D012C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2125D"/>
    <w:multiLevelType w:val="hybridMultilevel"/>
    <w:tmpl w:val="B65C5F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BA5FF6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D2478"/>
    <w:multiLevelType w:val="hybridMultilevel"/>
    <w:tmpl w:val="7C6E1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76533"/>
    <w:multiLevelType w:val="multilevel"/>
    <w:tmpl w:val="3FBA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267640">
    <w:abstractNumId w:val="0"/>
  </w:num>
  <w:num w:numId="2" w16cid:durableId="216825559">
    <w:abstractNumId w:val="2"/>
  </w:num>
  <w:num w:numId="3" w16cid:durableId="998726078">
    <w:abstractNumId w:val="1"/>
  </w:num>
  <w:num w:numId="4" w16cid:durableId="1821725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2A7"/>
    <w:rsid w:val="00275F2F"/>
    <w:rsid w:val="006349A3"/>
    <w:rsid w:val="00736CC2"/>
    <w:rsid w:val="00C362A7"/>
    <w:rsid w:val="00D06C05"/>
    <w:rsid w:val="00E0551D"/>
    <w:rsid w:val="00F0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FF2A"/>
  <w15:chartTrackingRefBased/>
  <w15:docId w15:val="{3223A075-A84D-4187-A3E9-6F100F98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6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6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2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349A3"/>
    <w:rPr>
      <w:b/>
      <w:bCs/>
    </w:rPr>
  </w:style>
  <w:style w:type="paragraph" w:styleId="NoSpacing">
    <w:name w:val="No Spacing"/>
    <w:uiPriority w:val="1"/>
    <w:qFormat/>
    <w:rsid w:val="006349A3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6349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1</cp:revision>
  <dcterms:created xsi:type="dcterms:W3CDTF">2025-11-19T16:19:00Z</dcterms:created>
  <dcterms:modified xsi:type="dcterms:W3CDTF">2025-11-19T16:52:00Z</dcterms:modified>
</cp:coreProperties>
</file>