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9E" w:rsidRPr="0076749E" w:rsidRDefault="00FC7E66" w:rsidP="0076749E">
      <w:pPr>
        <w:spacing w:after="0" w:line="240" w:lineRule="auto"/>
        <w:jc w:val="right"/>
        <w:rPr>
          <w:b/>
          <w:i/>
        </w:rPr>
      </w:pPr>
      <w:r w:rsidRPr="00FC7E66">
        <w:rPr>
          <w:b/>
          <w:i/>
        </w:rPr>
        <w:t>Normalization July 24, 2014</w:t>
      </w:r>
    </w:p>
    <w:p w:rsidR="00512F70" w:rsidRDefault="009B69F9" w:rsidP="0076749E">
      <w:pPr>
        <w:spacing w:after="0" w:line="240" w:lineRule="auto"/>
      </w:pPr>
      <w:proofErr w:type="spellStart"/>
      <w:proofErr w:type="gramStart"/>
      <w:r>
        <w:t>edgeR</w:t>
      </w:r>
      <w:proofErr w:type="spellEnd"/>
      <w:proofErr w:type="gramEnd"/>
      <w:r>
        <w:t xml:space="preserve"> - </w:t>
      </w:r>
      <w:r w:rsidR="00512F70" w:rsidRPr="00512F70">
        <w:t>Empirical analysis of digital gene expression data in R</w:t>
      </w:r>
    </w:p>
    <w:p w:rsidR="00512F70" w:rsidRDefault="009B69F9" w:rsidP="0076749E">
      <w:pPr>
        <w:spacing w:after="0" w:line="240" w:lineRule="auto"/>
      </w:pPr>
      <w:proofErr w:type="spellStart"/>
      <w:proofErr w:type="gramStart"/>
      <w:r>
        <w:t>limma</w:t>
      </w:r>
      <w:proofErr w:type="spellEnd"/>
      <w:proofErr w:type="gramEnd"/>
      <w:r>
        <w:t xml:space="preserve"> - </w:t>
      </w:r>
      <w:r w:rsidR="00512F70" w:rsidRPr="00512F70">
        <w:t>Linear Models for Microarray Data</w:t>
      </w:r>
    </w:p>
    <w:p w:rsidR="00512F70" w:rsidRDefault="009B69F9" w:rsidP="0076749E">
      <w:pPr>
        <w:spacing w:after="0" w:line="240" w:lineRule="auto"/>
      </w:pPr>
      <w:r>
        <w:t xml:space="preserve">DESeq2 - </w:t>
      </w:r>
      <w:r w:rsidR="00EC2D02" w:rsidRPr="00EC2D02">
        <w:t>Differential gene expression analysis based on the negative binomial distribution</w:t>
      </w:r>
    </w:p>
    <w:p w:rsidR="00FC7E66" w:rsidRDefault="00FC7E66" w:rsidP="0076749E">
      <w:pPr>
        <w:spacing w:after="0" w:line="240" w:lineRule="auto"/>
      </w:pPr>
    </w:p>
    <w:p w:rsidR="00BC5279" w:rsidRDefault="009B69F9" w:rsidP="0076749E">
      <w:pPr>
        <w:spacing w:after="0" w:line="240" w:lineRule="auto"/>
      </w:pPr>
      <w:r>
        <w:t xml:space="preserve">VSN - </w:t>
      </w:r>
      <w:r w:rsidR="00BC5279" w:rsidRPr="00BC5279">
        <w:t>variance stabilization</w:t>
      </w:r>
      <w:r w:rsidR="00BC5279">
        <w:t xml:space="preserve"> normalization</w:t>
      </w:r>
    </w:p>
    <w:p w:rsidR="00BA5218" w:rsidRDefault="009B69F9" w:rsidP="0076749E">
      <w:pPr>
        <w:spacing w:after="0" w:line="240" w:lineRule="auto"/>
      </w:pPr>
      <w:r>
        <w:t xml:space="preserve">RSN - </w:t>
      </w:r>
      <w:r w:rsidR="00BA5218" w:rsidRPr="00BA5218">
        <w:t>Robust spline normalization</w:t>
      </w:r>
    </w:p>
    <w:p w:rsidR="0029368E" w:rsidRDefault="0029368E" w:rsidP="0076749E">
      <w:pPr>
        <w:spacing w:after="0" w:line="240" w:lineRule="auto"/>
      </w:pPr>
    </w:p>
    <w:p w:rsidR="00241C98" w:rsidRDefault="00241C98" w:rsidP="0076749E">
      <w:pPr>
        <w:spacing w:after="0" w:line="240" w:lineRule="auto"/>
      </w:pPr>
      <w:r>
        <w:rPr>
          <w:noProof/>
        </w:rPr>
        <w:drawing>
          <wp:inline distT="0" distB="0" distL="0" distR="0" wp14:anchorId="142B966A" wp14:editId="67361C13">
            <wp:extent cx="2464435" cy="1725295"/>
            <wp:effectExtent l="0" t="0" r="0" b="8255"/>
            <wp:docPr id="2" name="Picture 2" descr="http://www.people.vcu.edu/~mreimers/OGMDA/ratio_intensity_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ople.vcu.edu/~mreimers/OGMDA/ratio_intensity_pl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4435" cy="1725295"/>
                    </a:xfrm>
                    <a:prstGeom prst="rect">
                      <a:avLst/>
                    </a:prstGeom>
                    <a:noFill/>
                    <a:ln>
                      <a:noFill/>
                    </a:ln>
                  </pic:spPr>
                </pic:pic>
              </a:graphicData>
            </a:graphic>
          </wp:inline>
        </w:drawing>
      </w:r>
    </w:p>
    <w:p w:rsidR="00241C98" w:rsidRDefault="00241C98" w:rsidP="0076749E">
      <w:pPr>
        <w:spacing w:after="0" w:line="240" w:lineRule="auto"/>
      </w:pPr>
      <w:r>
        <w:rPr>
          <w:noProof/>
        </w:rPr>
        <w:drawing>
          <wp:inline distT="0" distB="0" distL="0" distR="0" wp14:anchorId="26C3F5ED" wp14:editId="46BE556C">
            <wp:extent cx="2384071" cy="1446179"/>
            <wp:effectExtent l="0" t="0" r="0" b="1905"/>
            <wp:docPr id="3" name="Picture 3" descr="http://www.people.vcu.edu/~mreimers/OGMDA/Ratio_intensity_plot_(corr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ople.vcu.edu/~mreimers/OGMDA/Ratio_intensity_plot_(correcte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3684" cy="1445944"/>
                    </a:xfrm>
                    <a:prstGeom prst="rect">
                      <a:avLst/>
                    </a:prstGeom>
                    <a:noFill/>
                    <a:ln>
                      <a:noFill/>
                    </a:ln>
                  </pic:spPr>
                </pic:pic>
              </a:graphicData>
            </a:graphic>
          </wp:inline>
        </w:drawing>
      </w:r>
    </w:p>
    <w:p w:rsidR="00241C98" w:rsidRDefault="0076749E" w:rsidP="0076749E">
      <w:pPr>
        <w:spacing w:after="0" w:line="240" w:lineRule="auto"/>
      </w:pPr>
      <w:hyperlink r:id="rId8" w:history="1">
        <w:r w:rsidR="00241C98" w:rsidRPr="00726440">
          <w:rPr>
            <w:rStyle w:val="Hyperlink"/>
          </w:rPr>
          <w:t>http://www.people.vcu.edu/~mreimers/OGMDA/normalize.expression.html</w:t>
        </w:r>
      </w:hyperlink>
    </w:p>
    <w:p w:rsidR="00241C98" w:rsidRDefault="00241C98" w:rsidP="0076749E">
      <w:pPr>
        <w:spacing w:after="0" w:line="240" w:lineRule="auto"/>
      </w:pPr>
      <w:r>
        <w:t>[</w:t>
      </w:r>
      <w:proofErr w:type="gramStart"/>
      <w:r w:rsidRPr="00BA5218">
        <w:t>locally</w:t>
      </w:r>
      <w:proofErr w:type="gramEnd"/>
      <w:r w:rsidRPr="00BA5218">
        <w:t xml:space="preserve"> weighted linear regression (</w:t>
      </w:r>
      <w:r>
        <w:t>loess/</w:t>
      </w:r>
      <w:proofErr w:type="spellStart"/>
      <w:r w:rsidRPr="00BA5218">
        <w:t>lowess</w:t>
      </w:r>
      <w:proofErr w:type="spellEnd"/>
      <w:r w:rsidRPr="00BA5218">
        <w:t>) curve</w:t>
      </w:r>
      <w:r>
        <w:t>]</w:t>
      </w:r>
    </w:p>
    <w:p w:rsidR="009B69F9" w:rsidRDefault="009B69F9" w:rsidP="0076749E">
      <w:pPr>
        <w:spacing w:after="0" w:line="240" w:lineRule="auto"/>
      </w:pPr>
      <w:r>
        <w:t>From</w:t>
      </w:r>
      <w:r w:rsidRPr="009B69F9">
        <w:t xml:space="preserve"> </w:t>
      </w:r>
      <w:proofErr w:type="spellStart"/>
      <w:r w:rsidRPr="009B69F9">
        <w:t>Karpievitch</w:t>
      </w:r>
      <w:proofErr w:type="spellEnd"/>
      <w:r w:rsidRPr="009B69F9">
        <w:t xml:space="preserve"> </w:t>
      </w:r>
      <w:r>
        <w:t>“</w:t>
      </w:r>
      <w:r w:rsidRPr="009B69F9">
        <w:t>Normalization and missing value imputation for label-free LC-MS analysis</w:t>
      </w:r>
      <w:r>
        <w:t>”</w:t>
      </w:r>
    </w:p>
    <w:p w:rsidR="0029368E" w:rsidRPr="009B69F9" w:rsidRDefault="0029368E" w:rsidP="0076749E">
      <w:pPr>
        <w:spacing w:after="0" w:line="240" w:lineRule="auto"/>
        <w:ind w:left="720"/>
        <w:rPr>
          <w:i/>
        </w:rPr>
      </w:pPr>
      <w:proofErr w:type="spellStart"/>
      <w:r w:rsidRPr="009B69F9">
        <w:rPr>
          <w:i/>
        </w:rPr>
        <w:t>Lo</w:t>
      </w:r>
      <w:r w:rsidR="00BA5218" w:rsidRPr="009B69F9">
        <w:rPr>
          <w:i/>
        </w:rPr>
        <w:t>w</w:t>
      </w:r>
      <w:r w:rsidRPr="009B69F9">
        <w:rPr>
          <w:i/>
        </w:rPr>
        <w:t>ess</w:t>
      </w:r>
      <w:proofErr w:type="spellEnd"/>
      <w:r w:rsidRPr="009B69F9">
        <w:rPr>
          <w:i/>
        </w:rPr>
        <w:t xml:space="preserve"> (aka robust scatter plot smoothing)</w:t>
      </w:r>
      <w:r w:rsidR="00241C98" w:rsidRPr="009B69F9">
        <w:rPr>
          <w:i/>
        </w:rPr>
        <w:t xml:space="preserve"> </w:t>
      </w:r>
      <w:r w:rsidRPr="009B69F9">
        <w:rPr>
          <w:i/>
        </w:rPr>
        <w:t>performs local linear fits dependent on the user-defined fraction of points to be used for smoothing at each point. The fraction value is mostly arbitrary and suboptimal value may reduce the efficiency of the normalization and result in poorly normalized data. Empirically selected value of 0.4 has been used in several studies [7</w:t>
      </w:r>
      <w:proofErr w:type="gramStart"/>
      <w:r w:rsidRPr="009B69F9">
        <w:rPr>
          <w:i/>
        </w:rPr>
        <w:t>,10</w:t>
      </w:r>
      <w:proofErr w:type="gramEnd"/>
      <w:r w:rsidRPr="009B69F9">
        <w:rPr>
          <w:i/>
        </w:rPr>
        <w:t>]. Berger et al. proposed an optimization-based procedure for estimating the fraction value [14]. Scatterplot-smoothing techniques are able to capture non-linear intensity-dependent biases and are therefore more flexible than global adjustments.</w:t>
      </w:r>
    </w:p>
    <w:p w:rsidR="00FC7E66" w:rsidRDefault="00FC7E66" w:rsidP="0076749E">
      <w:pPr>
        <w:spacing w:after="0" w:line="240" w:lineRule="auto"/>
      </w:pPr>
    </w:p>
    <w:p w:rsidR="00512F70" w:rsidRDefault="009B69F9" w:rsidP="0076749E">
      <w:pPr>
        <w:spacing w:after="0" w:line="240" w:lineRule="auto"/>
      </w:pPr>
      <w:r>
        <w:t xml:space="preserve">From </w:t>
      </w:r>
      <w:proofErr w:type="spellStart"/>
      <w:r>
        <w:t>limma</w:t>
      </w:r>
      <w:proofErr w:type="spellEnd"/>
      <w:r>
        <w:t xml:space="preserve"> manual:</w:t>
      </w:r>
    </w:p>
    <w:p w:rsidR="00512F70" w:rsidRPr="009B69F9" w:rsidRDefault="00512F70" w:rsidP="0076749E">
      <w:pPr>
        <w:spacing w:after="0" w:line="240" w:lineRule="auto"/>
        <w:ind w:left="720"/>
        <w:rPr>
          <w:i/>
        </w:rPr>
      </w:pPr>
      <w:r w:rsidRPr="009B69F9">
        <w:rPr>
          <w:i/>
        </w:rPr>
        <w:t>Loess normalization assumes that the bulk of the probes on the array are not differentially</w:t>
      </w:r>
    </w:p>
    <w:p w:rsidR="00512F70" w:rsidRPr="009B69F9" w:rsidRDefault="00512F70" w:rsidP="0076749E">
      <w:pPr>
        <w:spacing w:after="0" w:line="240" w:lineRule="auto"/>
        <w:ind w:left="720"/>
        <w:rPr>
          <w:i/>
        </w:rPr>
      </w:pPr>
      <w:proofErr w:type="gramStart"/>
      <w:r w:rsidRPr="009B69F9">
        <w:rPr>
          <w:i/>
        </w:rPr>
        <w:t>expressed</w:t>
      </w:r>
      <w:proofErr w:type="gramEnd"/>
      <w:r w:rsidRPr="009B69F9">
        <w:rPr>
          <w:i/>
        </w:rPr>
        <w:t>. It doesn’t assume that that there are equal numbers of up and down regulated</w:t>
      </w:r>
    </w:p>
    <w:p w:rsidR="00512F70" w:rsidRPr="009B69F9" w:rsidRDefault="00512F70" w:rsidP="0076749E">
      <w:pPr>
        <w:spacing w:after="0" w:line="240" w:lineRule="auto"/>
        <w:ind w:left="720"/>
        <w:rPr>
          <w:i/>
        </w:rPr>
      </w:pPr>
      <w:proofErr w:type="gramStart"/>
      <w:r w:rsidRPr="009B69F9">
        <w:rPr>
          <w:i/>
        </w:rPr>
        <w:t>genes</w:t>
      </w:r>
      <w:proofErr w:type="gramEnd"/>
      <w:r w:rsidRPr="009B69F9">
        <w:rPr>
          <w:i/>
        </w:rPr>
        <w:t xml:space="preserve"> or that differential expression is symmetric about zero, provided that the loess fit is</w:t>
      </w:r>
    </w:p>
    <w:p w:rsidR="00512F70" w:rsidRPr="009B69F9" w:rsidRDefault="00512F70" w:rsidP="0076749E">
      <w:pPr>
        <w:spacing w:after="0" w:line="240" w:lineRule="auto"/>
        <w:ind w:left="720"/>
        <w:rPr>
          <w:i/>
        </w:rPr>
      </w:pPr>
      <w:proofErr w:type="gramStart"/>
      <w:r w:rsidRPr="009B69F9">
        <w:rPr>
          <w:i/>
        </w:rPr>
        <w:t>implemented</w:t>
      </w:r>
      <w:proofErr w:type="gramEnd"/>
      <w:r w:rsidRPr="009B69F9">
        <w:rPr>
          <w:i/>
        </w:rPr>
        <w:t xml:space="preserve"> in a robust fashion, but it is necessary that there be a substantial body of probes</w:t>
      </w:r>
    </w:p>
    <w:p w:rsidR="00512F70" w:rsidRPr="009B69F9" w:rsidRDefault="00512F70" w:rsidP="0076749E">
      <w:pPr>
        <w:spacing w:after="0" w:line="240" w:lineRule="auto"/>
        <w:ind w:left="720"/>
        <w:rPr>
          <w:i/>
        </w:rPr>
      </w:pPr>
      <w:proofErr w:type="gramStart"/>
      <w:r w:rsidRPr="009B69F9">
        <w:rPr>
          <w:i/>
        </w:rPr>
        <w:t>which</w:t>
      </w:r>
      <w:proofErr w:type="gramEnd"/>
      <w:r w:rsidRPr="009B69F9">
        <w:rPr>
          <w:i/>
        </w:rPr>
        <w:t xml:space="preserve"> do not change expression levels. </w:t>
      </w:r>
      <w:proofErr w:type="spellStart"/>
      <w:r w:rsidRPr="009B69F9">
        <w:rPr>
          <w:i/>
        </w:rPr>
        <w:t>Oshlack</w:t>
      </w:r>
      <w:proofErr w:type="spellEnd"/>
      <w:r w:rsidRPr="009B69F9">
        <w:rPr>
          <w:i/>
        </w:rPr>
        <w:t xml:space="preserve"> et al [23] show that loess normalization can</w:t>
      </w:r>
    </w:p>
    <w:p w:rsidR="00512F70" w:rsidRPr="009B69F9" w:rsidRDefault="00512F70" w:rsidP="0076749E">
      <w:pPr>
        <w:spacing w:after="0" w:line="240" w:lineRule="auto"/>
        <w:ind w:left="720"/>
        <w:rPr>
          <w:i/>
        </w:rPr>
      </w:pPr>
      <w:proofErr w:type="gramStart"/>
      <w:r w:rsidRPr="009B69F9">
        <w:rPr>
          <w:i/>
        </w:rPr>
        <w:t>tolerate</w:t>
      </w:r>
      <w:proofErr w:type="gramEnd"/>
      <w:r w:rsidRPr="009B69F9">
        <w:rPr>
          <w:i/>
        </w:rPr>
        <w:t xml:space="preserve"> up to about 30% asymmetric differential expression while still giving good results.</w:t>
      </w:r>
    </w:p>
    <w:p w:rsidR="00512F70" w:rsidRPr="009B69F9" w:rsidRDefault="00512F70" w:rsidP="0076749E">
      <w:pPr>
        <w:spacing w:after="0" w:line="240" w:lineRule="auto"/>
        <w:ind w:left="720"/>
        <w:rPr>
          <w:i/>
        </w:rPr>
      </w:pPr>
      <w:r w:rsidRPr="009B69F9">
        <w:rPr>
          <w:i/>
        </w:rPr>
        <w:t>This assumption can be suspect for boutique arrays where the total number of unique genes</w:t>
      </w:r>
    </w:p>
    <w:p w:rsidR="00512F70" w:rsidRPr="009B69F9" w:rsidRDefault="00512F70" w:rsidP="0076749E">
      <w:pPr>
        <w:spacing w:after="0" w:line="240" w:lineRule="auto"/>
        <w:ind w:left="720"/>
        <w:rPr>
          <w:i/>
        </w:rPr>
      </w:pPr>
      <w:proofErr w:type="gramStart"/>
      <w:r w:rsidRPr="009B69F9">
        <w:rPr>
          <w:i/>
        </w:rPr>
        <w:t>on</w:t>
      </w:r>
      <w:proofErr w:type="gramEnd"/>
      <w:r w:rsidRPr="009B69F9">
        <w:rPr>
          <w:i/>
        </w:rPr>
        <w:t xml:space="preserve"> the array is small, say less than 150, particularly if these genes have been selected for being</w:t>
      </w:r>
    </w:p>
    <w:p w:rsidR="00512F70" w:rsidRPr="009B69F9" w:rsidRDefault="00512F70" w:rsidP="0076749E">
      <w:pPr>
        <w:spacing w:after="0" w:line="240" w:lineRule="auto"/>
        <w:ind w:left="720"/>
        <w:rPr>
          <w:i/>
        </w:rPr>
      </w:pPr>
      <w:proofErr w:type="gramStart"/>
      <w:r w:rsidRPr="009B69F9">
        <w:rPr>
          <w:i/>
        </w:rPr>
        <w:t>specifically</w:t>
      </w:r>
      <w:proofErr w:type="gramEnd"/>
      <w:r w:rsidRPr="009B69F9">
        <w:rPr>
          <w:i/>
        </w:rPr>
        <w:t xml:space="preserve"> expre</w:t>
      </w:r>
      <w:r w:rsidR="009B69F9">
        <w:rPr>
          <w:i/>
        </w:rPr>
        <w:t>ssed in one of the RNA sources.</w:t>
      </w:r>
      <w:r w:rsidRPr="009B69F9">
        <w:rPr>
          <w:i/>
        </w:rPr>
        <w:t xml:space="preserve"> </w:t>
      </w:r>
    </w:p>
    <w:p w:rsidR="00241C98" w:rsidRDefault="00241C98" w:rsidP="0076749E">
      <w:pPr>
        <w:spacing w:after="0" w:line="240" w:lineRule="auto"/>
      </w:pPr>
    </w:p>
    <w:p w:rsidR="00512F70" w:rsidRDefault="00512F70" w:rsidP="0076749E">
      <w:pPr>
        <w:spacing w:after="0" w:line="240" w:lineRule="auto"/>
      </w:pPr>
    </w:p>
    <w:p w:rsidR="0076749E" w:rsidRDefault="0076749E">
      <w:r>
        <w:br w:type="page"/>
      </w:r>
    </w:p>
    <w:p w:rsidR="00512F70" w:rsidRDefault="00512F70" w:rsidP="0076749E">
      <w:pPr>
        <w:spacing w:after="0" w:line="240" w:lineRule="auto"/>
      </w:pPr>
      <w:proofErr w:type="gramStart"/>
      <w:r>
        <w:lastRenderedPageBreak/>
        <w:t>trimmed</w:t>
      </w:r>
      <w:proofErr w:type="gramEnd"/>
      <w:r>
        <w:t xml:space="preserve"> mean of M-values</w:t>
      </w:r>
      <w:r w:rsidR="00241C98">
        <w:t xml:space="preserve"> (TMM)</w:t>
      </w:r>
    </w:p>
    <w:p w:rsidR="00512F70" w:rsidRDefault="00512F70" w:rsidP="0076749E">
      <w:pPr>
        <w:spacing w:after="0" w:line="240" w:lineRule="auto"/>
        <w:ind w:left="720"/>
      </w:pPr>
      <w:r>
        <w:t>“</w:t>
      </w:r>
      <w:proofErr w:type="gramStart"/>
      <w:r>
        <w:t>normalizes</w:t>
      </w:r>
      <w:proofErr w:type="gramEnd"/>
      <w:r>
        <w:t xml:space="preserve"> for RNA composition by finding a set of scaling factors for the library sizes that minimize the log-fold changes between the samples for most genes.” This finds a correction factor which is used</w:t>
      </w:r>
      <w:r w:rsidR="00EC2D02">
        <w:t xml:space="preserve"> to compute effective library sizes</w:t>
      </w:r>
      <w:r w:rsidR="00B7588F">
        <w:t>, which is then entered into the statistical model</w:t>
      </w:r>
      <w:r w:rsidR="00EC2D02">
        <w:t>.</w:t>
      </w:r>
      <w:r w:rsidR="00B7588F">
        <w:t xml:space="preserve"> </w:t>
      </w:r>
      <w:proofErr w:type="gramStart"/>
      <w:r w:rsidR="00B7588F">
        <w:t>(Very</w:t>
      </w:r>
      <w:r w:rsidR="00EC2D02">
        <w:t xml:space="preserve"> important to use raw data at start.</w:t>
      </w:r>
      <w:r w:rsidR="00B7588F">
        <w:t>)</w:t>
      </w:r>
      <w:proofErr w:type="gramEnd"/>
      <w:r w:rsidR="00B7588F">
        <w:t xml:space="preserve">  Default: trim</w:t>
      </w:r>
      <w:r w:rsidR="00B7588F" w:rsidRPr="00B7588F">
        <w:t xml:space="preserve"> M-values by 3</w:t>
      </w:r>
      <w:r w:rsidR="00B7588F">
        <w:t>0% and A-values by 5%, therefore need numbers to be correct.</w:t>
      </w:r>
    </w:p>
    <w:p w:rsidR="00B7588F" w:rsidRDefault="00B7588F" w:rsidP="0076749E">
      <w:pPr>
        <w:spacing w:after="0" w:line="240" w:lineRule="auto"/>
        <w:ind w:left="720"/>
      </w:pPr>
      <w:r>
        <w:t xml:space="preserve">From </w:t>
      </w:r>
      <w:proofErr w:type="spellStart"/>
      <w:r>
        <w:t>edgeR</w:t>
      </w:r>
      <w:proofErr w:type="spellEnd"/>
      <w:r>
        <w:t xml:space="preserve"> manual – since is concerned with differential expression, most technical factors will cancel out across experiment (e.g., gene length and GC content), and therefore isn’t as much of a concern. The TMM paper shows that seemingly lower false positives if don’t attempt to control for gene length.</w:t>
      </w:r>
    </w:p>
    <w:p w:rsidR="00C26600" w:rsidRDefault="00C26600" w:rsidP="0076749E">
      <w:pPr>
        <w:spacing w:after="0" w:line="240" w:lineRule="auto"/>
      </w:pPr>
    </w:p>
    <w:p w:rsidR="00C26600" w:rsidRDefault="00C26600" w:rsidP="0076749E">
      <w:pPr>
        <w:spacing w:after="0" w:line="240" w:lineRule="auto"/>
      </w:pPr>
      <w:proofErr w:type="spellStart"/>
      <w:r>
        <w:t>Quantile</w:t>
      </w:r>
      <w:proofErr w:type="spellEnd"/>
    </w:p>
    <w:p w:rsidR="00C26600" w:rsidRDefault="00C26600" w:rsidP="0076749E">
      <w:pPr>
        <w:spacing w:after="0" w:line="240" w:lineRule="auto"/>
        <w:ind w:left="720"/>
      </w:pPr>
      <w:r w:rsidRPr="00C26600">
        <w:t xml:space="preserve">We assume that the underlying distributions across all of the samples should be the same, because the changes in expression across samples should be minor, i.e. there </w:t>
      </w:r>
      <w:proofErr w:type="gramStart"/>
      <w:r w:rsidRPr="00C26600">
        <w:t>is</w:t>
      </w:r>
      <w:proofErr w:type="gramEnd"/>
      <w:r w:rsidRPr="00C26600">
        <w:t xml:space="preserve"> likely a small number of genes that show moderate or large changes in expression from the rest, but the distribution of expression shouldn't change. </w:t>
      </w:r>
      <w:proofErr w:type="spellStart"/>
      <w:r w:rsidRPr="00C26600">
        <w:t>Quantile</w:t>
      </w:r>
      <w:proofErr w:type="spellEnd"/>
      <w:r w:rsidRPr="00C26600">
        <w:t xml:space="preserve"> normalization forces the distributions to be the same based on making the </w:t>
      </w:r>
      <w:proofErr w:type="spellStart"/>
      <w:r w:rsidRPr="00C26600">
        <w:t>quantiles</w:t>
      </w:r>
      <w:proofErr w:type="spellEnd"/>
      <w:r w:rsidRPr="00C26600">
        <w:t xml:space="preserve"> equal across the samples.</w:t>
      </w:r>
    </w:p>
    <w:p w:rsidR="00351062" w:rsidRDefault="00351062" w:rsidP="0076749E">
      <w:pPr>
        <w:spacing w:after="0" w:line="240" w:lineRule="auto"/>
      </w:pPr>
    </w:p>
    <w:p w:rsidR="00351062" w:rsidRDefault="00351062" w:rsidP="0076749E">
      <w:pPr>
        <w:spacing w:after="0" w:line="240" w:lineRule="auto"/>
      </w:pPr>
    </w:p>
    <w:p w:rsidR="00351062" w:rsidRPr="00B7588F" w:rsidRDefault="00351062" w:rsidP="0076749E">
      <w:pPr>
        <w:spacing w:after="0" w:line="240" w:lineRule="auto"/>
        <w:rPr>
          <w:b/>
          <w:u w:val="single"/>
        </w:rPr>
      </w:pPr>
      <w:r w:rsidRPr="00B7588F">
        <w:rPr>
          <w:b/>
          <w:u w:val="single"/>
        </w:rPr>
        <w:t xml:space="preserve">Count based packages </w:t>
      </w:r>
    </w:p>
    <w:p w:rsidR="00351062" w:rsidRDefault="00351062" w:rsidP="0076749E">
      <w:pPr>
        <w:spacing w:after="0" w:line="240" w:lineRule="auto"/>
      </w:pPr>
      <w:proofErr w:type="spellStart"/>
      <w:r>
        <w:t>EdgeR</w:t>
      </w:r>
      <w:proofErr w:type="spellEnd"/>
      <w:r>
        <w:t xml:space="preserve"> (TMM)</w:t>
      </w:r>
      <w:r w:rsidR="00BC5279">
        <w:t xml:space="preserve"> </w:t>
      </w:r>
      <w:r w:rsidR="00BC5279" w:rsidRPr="00BC5279">
        <w:t>Trimmed Mean Method</w:t>
      </w:r>
    </w:p>
    <w:p w:rsidR="00351062" w:rsidRDefault="00351062" w:rsidP="0076749E">
      <w:pPr>
        <w:spacing w:after="0" w:line="240" w:lineRule="auto"/>
      </w:pPr>
      <w:r>
        <w:t>DESeq2</w:t>
      </w:r>
      <w:r w:rsidR="00241C98">
        <w:t xml:space="preserve"> - </w:t>
      </w:r>
      <w:r w:rsidR="00241C98" w:rsidRPr="00241C98">
        <w:t>median-of-ratios</w:t>
      </w:r>
      <w:r w:rsidR="00241C98">
        <w:t xml:space="preserve"> (term from Simon Anders)</w:t>
      </w:r>
    </w:p>
    <w:p w:rsidR="00351062" w:rsidRDefault="00351062" w:rsidP="0076749E">
      <w:pPr>
        <w:spacing w:after="0" w:line="240" w:lineRule="auto"/>
      </w:pPr>
      <w:proofErr w:type="spellStart"/>
      <w:r>
        <w:t>DEGSeq</w:t>
      </w:r>
      <w:proofErr w:type="spellEnd"/>
      <w:r>
        <w:t xml:space="preserve"> (</w:t>
      </w:r>
      <w:proofErr w:type="spellStart"/>
      <w:r>
        <w:t>poisson</w:t>
      </w:r>
      <w:proofErr w:type="spellEnd"/>
      <w:r>
        <w:t>)</w:t>
      </w:r>
    </w:p>
    <w:p w:rsidR="00B7588F" w:rsidRDefault="00B7588F" w:rsidP="0076749E">
      <w:pPr>
        <w:spacing w:after="0" w:line="240" w:lineRule="auto"/>
      </w:pPr>
      <w:proofErr w:type="spellStart"/>
      <w:proofErr w:type="gramStart"/>
      <w:r>
        <w:t>baySeq</w:t>
      </w:r>
      <w:proofErr w:type="spellEnd"/>
      <w:proofErr w:type="gramEnd"/>
    </w:p>
    <w:p w:rsidR="00833737" w:rsidRDefault="00351062" w:rsidP="0076749E">
      <w:pPr>
        <w:spacing w:after="0" w:line="240" w:lineRule="auto"/>
      </w:pPr>
      <w:proofErr w:type="spellStart"/>
      <w:r>
        <w:t>Limma</w:t>
      </w:r>
      <w:proofErr w:type="spellEnd"/>
      <w:r>
        <w:t xml:space="preserve"> (with </w:t>
      </w:r>
      <w:proofErr w:type="spellStart"/>
      <w:r>
        <w:t>voom</w:t>
      </w:r>
      <w:proofErr w:type="spellEnd"/>
      <w:proofErr w:type="gramStart"/>
      <w:r>
        <w:t>)</w:t>
      </w:r>
      <w:proofErr w:type="gramEnd"/>
      <w:r w:rsidR="00833737">
        <w:br/>
      </w:r>
      <w:r w:rsidR="00B7588F">
        <w:t>(</w:t>
      </w:r>
      <w:r w:rsidR="00833737">
        <w:t>Proteomics – if more than 1000 features most of these test are applicable</w:t>
      </w:r>
      <w:r w:rsidR="00B7588F">
        <w:t>)</w:t>
      </w:r>
    </w:p>
    <w:p w:rsidR="0029368E" w:rsidRDefault="0029368E" w:rsidP="0076749E">
      <w:pPr>
        <w:spacing w:after="0" w:line="240" w:lineRule="auto"/>
      </w:pPr>
    </w:p>
    <w:p w:rsidR="0029368E" w:rsidRDefault="0029368E" w:rsidP="0076749E">
      <w:pPr>
        <w:spacing w:after="0" w:line="240" w:lineRule="auto"/>
      </w:pPr>
    </w:p>
    <w:p w:rsidR="0029368E" w:rsidRPr="0076749E" w:rsidRDefault="0029368E" w:rsidP="0076749E">
      <w:pPr>
        <w:spacing w:after="0" w:line="240" w:lineRule="auto"/>
      </w:pPr>
      <w:r w:rsidRPr="00B7588F">
        <w:rPr>
          <w:b/>
          <w:u w:val="single"/>
        </w:rPr>
        <w:t>How to check normalization</w:t>
      </w:r>
      <w:r w:rsidR="00FC7E66">
        <w:rPr>
          <w:b/>
          <w:u w:val="single"/>
        </w:rPr>
        <w:t>?</w:t>
      </w:r>
    </w:p>
    <w:p w:rsidR="0029368E" w:rsidRDefault="0029368E" w:rsidP="0076749E">
      <w:pPr>
        <w:spacing w:after="0" w:line="240" w:lineRule="auto"/>
      </w:pPr>
      <w:r w:rsidRPr="0029368E">
        <w:rPr>
          <w:noProof/>
        </w:rPr>
        <w:drawing>
          <wp:inline distT="0" distB="0" distL="0" distR="0" wp14:anchorId="18BEF94B" wp14:editId="716E6BB7">
            <wp:extent cx="3282082" cy="17834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7482" cy="1786338"/>
                    </a:xfrm>
                    <a:prstGeom prst="rect">
                      <a:avLst/>
                    </a:prstGeom>
                  </pic:spPr>
                </pic:pic>
              </a:graphicData>
            </a:graphic>
          </wp:inline>
        </w:drawing>
      </w:r>
    </w:p>
    <w:p w:rsidR="00FC7E66" w:rsidRDefault="00FC7E66" w:rsidP="0076749E">
      <w:pPr>
        <w:spacing w:after="0" w:line="240" w:lineRule="auto"/>
      </w:pPr>
      <w:r>
        <w:t>PCA (plenty of arguments)</w:t>
      </w:r>
    </w:p>
    <w:p w:rsidR="009B69F9" w:rsidRDefault="0029368E" w:rsidP="0076749E">
      <w:pPr>
        <w:spacing w:after="0" w:line="240" w:lineRule="auto"/>
      </w:pPr>
      <w:r>
        <w:t>Distribution of p-values</w:t>
      </w:r>
      <w:r w:rsidR="0076749E">
        <w:t xml:space="preserve"> (</w:t>
      </w:r>
      <w:proofErr w:type="spellStart"/>
      <w:r w:rsidR="0076749E" w:rsidRPr="009B69F9">
        <w:t>Karpievitch</w:t>
      </w:r>
      <w:proofErr w:type="spellEnd"/>
      <w:r w:rsidR="0076749E">
        <w:t>)</w:t>
      </w:r>
    </w:p>
    <w:p w:rsidR="0029368E" w:rsidRDefault="00BA5218" w:rsidP="0076749E">
      <w:pPr>
        <w:spacing w:after="0" w:line="240" w:lineRule="auto"/>
      </w:pPr>
      <w:r>
        <w:t xml:space="preserve">Number of uniform genes (as metric for success, is </w:t>
      </w:r>
      <w:proofErr w:type="spellStart"/>
      <w:r>
        <w:t>Glusman</w:t>
      </w:r>
      <w:proofErr w:type="spellEnd"/>
      <w:r>
        <w:t xml:space="preserve"> 2013</w:t>
      </w:r>
      <w:r w:rsidR="009B69F9">
        <w:t>)</w:t>
      </w:r>
    </w:p>
    <w:p w:rsidR="00FC7E66" w:rsidRDefault="00FC7E66" w:rsidP="0076749E">
      <w:pPr>
        <w:spacing w:after="0" w:line="240" w:lineRule="auto"/>
      </w:pPr>
      <w:r w:rsidRPr="00FC7E66">
        <w:t>MSE and K-S statistics to measure the fitness of normalization methods</w:t>
      </w:r>
      <w:r w:rsidR="0076749E">
        <w:t xml:space="preserve"> (</w:t>
      </w:r>
      <w:proofErr w:type="spellStart"/>
      <w:r w:rsidR="0076749E">
        <w:t>Garmir</w:t>
      </w:r>
      <w:proofErr w:type="spellEnd"/>
      <w:r w:rsidR="0076749E">
        <w:t xml:space="preserve"> 2012)</w:t>
      </w:r>
    </w:p>
    <w:p w:rsidR="00BC5279" w:rsidRDefault="00BC5279" w:rsidP="0076749E">
      <w:pPr>
        <w:spacing w:after="0" w:line="240" w:lineRule="auto"/>
      </w:pPr>
    </w:p>
    <w:p w:rsidR="00BC5279" w:rsidRDefault="00B7588F" w:rsidP="0076749E">
      <w:pPr>
        <w:spacing w:after="0" w:line="240" w:lineRule="auto"/>
      </w:pPr>
      <w:r>
        <w:t xml:space="preserve">From </w:t>
      </w:r>
      <w:proofErr w:type="spellStart"/>
      <w:r>
        <w:t>Garmire</w:t>
      </w:r>
      <w:proofErr w:type="spellEnd"/>
      <w:r>
        <w:t xml:space="preserve"> 2012 “</w:t>
      </w:r>
      <w:r w:rsidRPr="00B7588F">
        <w:t>Evaluation of normalization methods in mammalian microRNA-</w:t>
      </w:r>
      <w:proofErr w:type="spellStart"/>
      <w:r w:rsidRPr="00B7588F">
        <w:t>Seq</w:t>
      </w:r>
      <w:proofErr w:type="spellEnd"/>
      <w:r w:rsidRPr="00B7588F">
        <w:t xml:space="preserve"> data</w:t>
      </w:r>
      <w:r>
        <w:t>”</w:t>
      </w:r>
    </w:p>
    <w:p w:rsidR="00BC5279" w:rsidRPr="00B7588F" w:rsidRDefault="00FC7E66" w:rsidP="0076749E">
      <w:pPr>
        <w:spacing w:after="0" w:line="240" w:lineRule="auto"/>
        <w:ind w:left="720"/>
        <w:rPr>
          <w:i/>
          <w:color w:val="000000"/>
          <w:shd w:val="clear" w:color="auto" w:fill="FFFFFF"/>
        </w:rPr>
      </w:pPr>
      <w:r>
        <w:rPr>
          <w:i/>
          <w:color w:val="000000"/>
          <w:shd w:val="clear" w:color="auto" w:fill="FFFFFF"/>
        </w:rPr>
        <w:t>C</w:t>
      </w:r>
      <w:r w:rsidR="00BC5279" w:rsidRPr="00B7588F">
        <w:rPr>
          <w:i/>
          <w:color w:val="000000"/>
          <w:shd w:val="clear" w:color="auto" w:fill="FFFFFF"/>
        </w:rPr>
        <w:t xml:space="preserve">an be classified into two categories, according to the application of linear scaling or not. (1) The first category includes scaling, global, </w:t>
      </w:r>
      <w:proofErr w:type="spellStart"/>
      <w:r w:rsidR="00BC5279" w:rsidRPr="00B7588F">
        <w:rPr>
          <w:i/>
          <w:color w:val="000000"/>
          <w:shd w:val="clear" w:color="auto" w:fill="FFFFFF"/>
        </w:rPr>
        <w:t>Lowess</w:t>
      </w:r>
      <w:proofErr w:type="spellEnd"/>
      <w:r w:rsidR="00BC5279" w:rsidRPr="00B7588F">
        <w:rPr>
          <w:i/>
          <w:color w:val="000000"/>
          <w:shd w:val="clear" w:color="auto" w:fill="FFFFFF"/>
        </w:rPr>
        <w:t>, and TMM. Scaling normalization assumes the ranges of data are the same and that the noise and the stochastic variations of microRNAs are proportional to the signal intensity (</w:t>
      </w:r>
      <w:hyperlink r:id="rId10" w:anchor="B24" w:history="1">
        <w:r w:rsidR="00BC5279" w:rsidRPr="00B7588F">
          <w:rPr>
            <w:rStyle w:val="Hyperlink"/>
            <w:i/>
            <w:color w:val="642A8F"/>
            <w:shd w:val="clear" w:color="auto" w:fill="FFFFFF"/>
          </w:rPr>
          <w:t>Smyth et al. 2003</w:t>
        </w:r>
      </w:hyperlink>
      <w:r w:rsidR="00BC5279" w:rsidRPr="00B7588F">
        <w:rPr>
          <w:i/>
          <w:color w:val="000000"/>
          <w:shd w:val="clear" w:color="auto" w:fill="FFFFFF"/>
        </w:rPr>
        <w:t>). Global normalization is another linear scaling approach that scales all the data of the experimental condition against the control condition by a factor of the difference in the means of two data (</w:t>
      </w:r>
      <w:hyperlink r:id="rId11" w:anchor="B24" w:history="1">
        <w:r w:rsidR="00BC5279" w:rsidRPr="00B7588F">
          <w:rPr>
            <w:rStyle w:val="Hyperlink"/>
            <w:i/>
            <w:color w:val="642A8F"/>
            <w:shd w:val="clear" w:color="auto" w:fill="FFFFFF"/>
          </w:rPr>
          <w:t>Smyth et al. 2003</w:t>
        </w:r>
      </w:hyperlink>
      <w:r w:rsidR="00BC5279" w:rsidRPr="00B7588F">
        <w:rPr>
          <w:i/>
          <w:color w:val="000000"/>
          <w:shd w:val="clear" w:color="auto" w:fill="FFFFFF"/>
        </w:rPr>
        <w:t xml:space="preserve">). </w:t>
      </w:r>
      <w:proofErr w:type="spellStart"/>
      <w:r w:rsidR="00BC5279" w:rsidRPr="00B7588F">
        <w:rPr>
          <w:i/>
          <w:color w:val="000000"/>
          <w:shd w:val="clear" w:color="auto" w:fill="FFFFFF"/>
        </w:rPr>
        <w:t>Lowess</w:t>
      </w:r>
      <w:proofErr w:type="spellEnd"/>
      <w:r w:rsidR="00BC5279" w:rsidRPr="00B7588F">
        <w:rPr>
          <w:i/>
          <w:color w:val="000000"/>
          <w:shd w:val="clear" w:color="auto" w:fill="FFFFFF"/>
        </w:rPr>
        <w:t xml:space="preserve"> normalization does not use a global scaling factor; instead, it calculates local scaling factors within a certain window size (</w:t>
      </w:r>
      <w:hyperlink r:id="rId12" w:anchor="B24" w:history="1">
        <w:r w:rsidR="00BC5279" w:rsidRPr="00B7588F">
          <w:rPr>
            <w:rStyle w:val="Hyperlink"/>
            <w:i/>
            <w:color w:val="642A8F"/>
            <w:shd w:val="clear" w:color="auto" w:fill="FFFFFF"/>
          </w:rPr>
          <w:t>Smyth et al. 2003</w:t>
        </w:r>
      </w:hyperlink>
      <w:r w:rsidR="00BC5279" w:rsidRPr="00B7588F">
        <w:rPr>
          <w:i/>
          <w:color w:val="000000"/>
          <w:shd w:val="clear" w:color="auto" w:fill="FFFFFF"/>
        </w:rPr>
        <w:t>). TMM, a more recent normalization method applied to mRNA-</w:t>
      </w:r>
      <w:proofErr w:type="spellStart"/>
      <w:r w:rsidR="00BC5279" w:rsidRPr="00B7588F">
        <w:rPr>
          <w:i/>
          <w:color w:val="000000"/>
          <w:shd w:val="clear" w:color="auto" w:fill="FFFFFF"/>
        </w:rPr>
        <w:t>Seq</w:t>
      </w:r>
      <w:proofErr w:type="spellEnd"/>
      <w:r w:rsidR="00BC5279" w:rsidRPr="00B7588F">
        <w:rPr>
          <w:i/>
          <w:color w:val="000000"/>
          <w:shd w:val="clear" w:color="auto" w:fill="FFFFFF"/>
        </w:rPr>
        <w:t xml:space="preserve"> data, also assumes the majority of the mRNAs in NGS output are similar, except the data points that lie within the extreme M-value and A-value ranges. It derives a simple scaling factor after trimming the data points located in extreme M-value and A-value ranges (</w:t>
      </w:r>
      <w:hyperlink r:id="rId13" w:anchor="B21" w:history="1">
        <w:r w:rsidR="00BC5279" w:rsidRPr="00B7588F">
          <w:rPr>
            <w:rStyle w:val="Hyperlink"/>
            <w:i/>
            <w:color w:val="642A8F"/>
            <w:shd w:val="clear" w:color="auto" w:fill="FFFFFF"/>
          </w:rPr>
          <w:t>Robinson et al. 2010</w:t>
        </w:r>
      </w:hyperlink>
      <w:r w:rsidR="00BC5279" w:rsidRPr="00B7588F">
        <w:rPr>
          <w:i/>
          <w:color w:val="000000"/>
          <w:shd w:val="clear" w:color="auto" w:fill="FFFFFF"/>
        </w:rPr>
        <w:t xml:space="preserve">). (2) The second category includes </w:t>
      </w:r>
      <w:proofErr w:type="spellStart"/>
      <w:r w:rsidR="00BC5279" w:rsidRPr="00B7588F">
        <w:rPr>
          <w:i/>
          <w:color w:val="000000"/>
          <w:shd w:val="clear" w:color="auto" w:fill="FFFFFF"/>
        </w:rPr>
        <w:t>quantile</w:t>
      </w:r>
      <w:proofErr w:type="spellEnd"/>
      <w:r w:rsidR="00BC5279" w:rsidRPr="00B7588F">
        <w:rPr>
          <w:i/>
          <w:color w:val="000000"/>
          <w:shd w:val="clear" w:color="auto" w:fill="FFFFFF"/>
        </w:rPr>
        <w:t xml:space="preserve">, VSN, and INV. </w:t>
      </w:r>
      <w:proofErr w:type="spellStart"/>
      <w:r w:rsidR="00BC5279" w:rsidRPr="00B7588F">
        <w:rPr>
          <w:i/>
          <w:color w:val="000000"/>
          <w:shd w:val="clear" w:color="auto" w:fill="FFFFFF"/>
        </w:rPr>
        <w:t>Quantile</w:t>
      </w:r>
      <w:proofErr w:type="spellEnd"/>
      <w:r w:rsidR="00BC5279" w:rsidRPr="00B7588F">
        <w:rPr>
          <w:i/>
          <w:color w:val="000000"/>
          <w:shd w:val="clear" w:color="auto" w:fill="FFFFFF"/>
        </w:rPr>
        <w:t xml:space="preserve"> normalization is </w:t>
      </w:r>
      <w:proofErr w:type="spellStart"/>
      <w:r w:rsidR="00BC5279" w:rsidRPr="00B7588F">
        <w:rPr>
          <w:i/>
          <w:color w:val="000000"/>
          <w:shd w:val="clear" w:color="auto" w:fill="FFFFFF"/>
        </w:rPr>
        <w:t>nonscaling</w:t>
      </w:r>
      <w:proofErr w:type="spellEnd"/>
      <w:r w:rsidR="00BC5279" w:rsidRPr="00B7588F">
        <w:rPr>
          <w:i/>
          <w:color w:val="000000"/>
          <w:shd w:val="clear" w:color="auto" w:fill="FFFFFF"/>
        </w:rPr>
        <w:t xml:space="preserve"> and assumes that the overall distribution of signal intensity does not </w:t>
      </w:r>
      <w:r w:rsidR="00BC5279" w:rsidRPr="00B7588F">
        <w:rPr>
          <w:i/>
          <w:color w:val="000000"/>
          <w:shd w:val="clear" w:color="auto" w:fill="FFFFFF"/>
        </w:rPr>
        <w:lastRenderedPageBreak/>
        <w:t>change (</w:t>
      </w:r>
      <w:proofErr w:type="spellStart"/>
      <w:r w:rsidR="00BC5279" w:rsidRPr="00B7588F">
        <w:rPr>
          <w:i/>
        </w:rPr>
        <w:fldChar w:fldCharType="begin"/>
      </w:r>
      <w:r w:rsidR="00BC5279" w:rsidRPr="00B7588F">
        <w:rPr>
          <w:i/>
        </w:rPr>
        <w:instrText xml:space="preserve"> HYPERLINK "http://www.ncbi.nlm.nih.gov/pmc/articles/PMC3358649/" \l "B04" </w:instrText>
      </w:r>
      <w:r w:rsidR="00BC5279" w:rsidRPr="00B7588F">
        <w:rPr>
          <w:i/>
        </w:rPr>
        <w:fldChar w:fldCharType="separate"/>
      </w:r>
      <w:r w:rsidR="00BC5279" w:rsidRPr="00B7588F">
        <w:rPr>
          <w:rStyle w:val="Hyperlink"/>
          <w:i/>
          <w:color w:val="642A8F"/>
          <w:shd w:val="clear" w:color="auto" w:fill="FFFFFF"/>
        </w:rPr>
        <w:t>Bolstad</w:t>
      </w:r>
      <w:proofErr w:type="spellEnd"/>
      <w:r w:rsidR="00BC5279" w:rsidRPr="00B7588F">
        <w:rPr>
          <w:rStyle w:val="Hyperlink"/>
          <w:i/>
          <w:color w:val="642A8F"/>
          <w:shd w:val="clear" w:color="auto" w:fill="FFFFFF"/>
        </w:rPr>
        <w:t xml:space="preserve"> et al. 2003</w:t>
      </w:r>
      <w:r w:rsidR="00BC5279" w:rsidRPr="00B7588F">
        <w:rPr>
          <w:i/>
        </w:rPr>
        <w:fldChar w:fldCharType="end"/>
      </w:r>
      <w:r w:rsidR="00BC5279" w:rsidRPr="00B7588F">
        <w:rPr>
          <w:i/>
          <w:color w:val="000000"/>
          <w:shd w:val="clear" w:color="auto" w:fill="FFFFFF"/>
        </w:rPr>
        <w:t xml:space="preserve">). VSN assumes that most </w:t>
      </w:r>
      <w:proofErr w:type="gramStart"/>
      <w:r w:rsidR="00BC5279" w:rsidRPr="00B7588F">
        <w:rPr>
          <w:i/>
          <w:color w:val="000000"/>
          <w:shd w:val="clear" w:color="auto" w:fill="FFFFFF"/>
        </w:rPr>
        <w:t>microRNAs</w:t>
      </w:r>
      <w:proofErr w:type="gramEnd"/>
      <w:r w:rsidR="00BC5279" w:rsidRPr="00B7588F">
        <w:rPr>
          <w:i/>
          <w:color w:val="000000"/>
          <w:shd w:val="clear" w:color="auto" w:fill="FFFFFF"/>
        </w:rPr>
        <w:t xml:space="preserve"> do not change and transform the data such that the transformed variance is constant among different expression levels. Therefore, it allows better precision in low expression regions, which generally suffer from greater variance (</w:t>
      </w:r>
      <w:hyperlink r:id="rId14" w:anchor="B10" w:history="1">
        <w:r w:rsidR="00BC5279" w:rsidRPr="00B7588F">
          <w:rPr>
            <w:rStyle w:val="Hyperlink"/>
            <w:i/>
            <w:color w:val="642A8F"/>
            <w:shd w:val="clear" w:color="auto" w:fill="FFFFFF"/>
          </w:rPr>
          <w:t>Huber et al. 2002</w:t>
        </w:r>
      </w:hyperlink>
      <w:r w:rsidR="00BC5279" w:rsidRPr="00B7588F">
        <w:rPr>
          <w:i/>
          <w:color w:val="000000"/>
          <w:shd w:val="clear" w:color="auto" w:fill="FFFFFF"/>
        </w:rPr>
        <w:t>). INV assumes that a subpopulation of expressed microRNAs does not change, and it learns a set of “invariants” through algorithms, instead of assigning “housekeeping genes” subjectively (</w:t>
      </w:r>
      <w:hyperlink r:id="rId15" w:anchor="B17" w:history="1">
        <w:r w:rsidR="00BC5279" w:rsidRPr="00B7588F">
          <w:rPr>
            <w:rStyle w:val="Hyperlink"/>
            <w:i/>
            <w:color w:val="642A8F"/>
            <w:shd w:val="clear" w:color="auto" w:fill="FFFFFF"/>
          </w:rPr>
          <w:t>Perkins et al. 2007</w:t>
        </w:r>
      </w:hyperlink>
      <w:r w:rsidR="00BC5279" w:rsidRPr="00B7588F">
        <w:rPr>
          <w:i/>
          <w:color w:val="000000"/>
          <w:shd w:val="clear" w:color="auto" w:fill="FFFFFF"/>
        </w:rPr>
        <w:t>;</w:t>
      </w:r>
      <w:r w:rsidR="00BC5279" w:rsidRPr="00B7588F">
        <w:rPr>
          <w:rStyle w:val="apple-converted-space"/>
          <w:i/>
          <w:color w:val="000000"/>
          <w:shd w:val="clear" w:color="auto" w:fill="FFFFFF"/>
        </w:rPr>
        <w:t> </w:t>
      </w:r>
      <w:proofErr w:type="spellStart"/>
      <w:r w:rsidR="00BC5279" w:rsidRPr="00B7588F">
        <w:rPr>
          <w:i/>
        </w:rPr>
        <w:fldChar w:fldCharType="begin"/>
      </w:r>
      <w:r w:rsidR="00BC5279" w:rsidRPr="00B7588F">
        <w:rPr>
          <w:i/>
        </w:rPr>
        <w:instrText xml:space="preserve"> HYPERLINK "http://www.ncbi.nlm.nih.gov/pmc/articles/PMC3358649/" \l "B18" </w:instrText>
      </w:r>
      <w:r w:rsidR="00BC5279" w:rsidRPr="00B7588F">
        <w:rPr>
          <w:i/>
        </w:rPr>
        <w:fldChar w:fldCharType="separate"/>
      </w:r>
      <w:r w:rsidR="00BC5279" w:rsidRPr="00B7588F">
        <w:rPr>
          <w:rStyle w:val="Hyperlink"/>
          <w:i/>
          <w:color w:val="642A8F"/>
          <w:shd w:val="clear" w:color="auto" w:fill="FFFFFF"/>
        </w:rPr>
        <w:t>Pradervand</w:t>
      </w:r>
      <w:proofErr w:type="spellEnd"/>
      <w:r w:rsidR="00BC5279" w:rsidRPr="00B7588F">
        <w:rPr>
          <w:rStyle w:val="Hyperlink"/>
          <w:i/>
          <w:color w:val="642A8F"/>
          <w:shd w:val="clear" w:color="auto" w:fill="FFFFFF"/>
        </w:rPr>
        <w:t xml:space="preserve"> et al. 2009</w:t>
      </w:r>
      <w:r w:rsidR="00BC5279" w:rsidRPr="00B7588F">
        <w:rPr>
          <w:i/>
        </w:rPr>
        <w:fldChar w:fldCharType="end"/>
      </w:r>
      <w:r w:rsidR="00BC5279" w:rsidRPr="00B7588F">
        <w:rPr>
          <w:i/>
          <w:color w:val="000000"/>
          <w:shd w:val="clear" w:color="auto" w:fill="FFFFFF"/>
        </w:rPr>
        <w:t>).</w:t>
      </w:r>
    </w:p>
    <w:p w:rsidR="0076749E" w:rsidRDefault="0076749E" w:rsidP="0076749E">
      <w:pPr>
        <w:spacing w:after="0" w:line="240" w:lineRule="auto"/>
        <w:rPr>
          <w:color w:val="000000"/>
          <w:shd w:val="clear" w:color="auto" w:fill="FFFFFF"/>
        </w:rPr>
      </w:pPr>
    </w:p>
    <w:p w:rsidR="00B7588F" w:rsidRDefault="00B7588F" w:rsidP="0076749E">
      <w:pPr>
        <w:spacing w:after="0" w:line="240" w:lineRule="auto"/>
        <w:ind w:left="720"/>
        <w:rPr>
          <w:color w:val="000000"/>
          <w:shd w:val="clear" w:color="auto" w:fill="FFFFFF"/>
        </w:rPr>
      </w:pPr>
      <w:r>
        <w:rPr>
          <w:color w:val="000000"/>
          <w:shd w:val="clear" w:color="auto" w:fill="FFFFFF"/>
        </w:rPr>
        <w:t>Conclusion of this paper: “</w:t>
      </w:r>
      <w:proofErr w:type="spellStart"/>
      <w:r w:rsidRPr="00B7588F">
        <w:rPr>
          <w:color w:val="000000"/>
          <w:shd w:val="clear" w:color="auto" w:fill="FFFFFF"/>
        </w:rPr>
        <w:t>Lowess</w:t>
      </w:r>
      <w:proofErr w:type="spellEnd"/>
      <w:r w:rsidRPr="00B7588F">
        <w:rPr>
          <w:color w:val="000000"/>
          <w:shd w:val="clear" w:color="auto" w:fill="FFFFFF"/>
        </w:rPr>
        <w:t xml:space="preserve"> normalization and </w:t>
      </w:r>
      <w:proofErr w:type="spellStart"/>
      <w:r w:rsidRPr="00B7588F">
        <w:rPr>
          <w:color w:val="000000"/>
          <w:shd w:val="clear" w:color="auto" w:fill="FFFFFF"/>
        </w:rPr>
        <w:t>quantile</w:t>
      </w:r>
      <w:proofErr w:type="spellEnd"/>
      <w:r w:rsidRPr="00B7588F">
        <w:rPr>
          <w:color w:val="000000"/>
          <w:shd w:val="clear" w:color="auto" w:fill="FFFFFF"/>
        </w:rPr>
        <w:t xml:space="preserve"> normalization are recommended for normalizing microRNA-</w:t>
      </w:r>
      <w:proofErr w:type="spellStart"/>
      <w:r w:rsidRPr="00B7588F">
        <w:rPr>
          <w:color w:val="000000"/>
          <w:shd w:val="clear" w:color="auto" w:fill="FFFFFF"/>
        </w:rPr>
        <w:t>Seq</w:t>
      </w:r>
      <w:proofErr w:type="spellEnd"/>
      <w:r w:rsidRPr="00B7588F">
        <w:rPr>
          <w:color w:val="000000"/>
          <w:shd w:val="clear" w:color="auto" w:fill="FFFFFF"/>
        </w:rPr>
        <w:t xml:space="preserve"> data, whereas the TMM method should be used with caution.</w:t>
      </w:r>
      <w:r>
        <w:rPr>
          <w:color w:val="000000"/>
          <w:shd w:val="clear" w:color="auto" w:fill="FFFFFF"/>
        </w:rPr>
        <w:t xml:space="preserve">” </w:t>
      </w:r>
      <w:proofErr w:type="gramStart"/>
      <w:r>
        <w:rPr>
          <w:color w:val="000000"/>
          <w:shd w:val="clear" w:color="auto" w:fill="FFFFFF"/>
        </w:rPr>
        <w:t xml:space="preserve">Probably because of 100s </w:t>
      </w:r>
      <w:r w:rsidR="00FC7E66">
        <w:rPr>
          <w:color w:val="000000"/>
          <w:shd w:val="clear" w:color="auto" w:fill="FFFFFF"/>
        </w:rPr>
        <w:t xml:space="preserve">(or thousands) </w:t>
      </w:r>
      <w:r>
        <w:rPr>
          <w:color w:val="000000"/>
          <w:shd w:val="clear" w:color="auto" w:fill="FFFFFF"/>
        </w:rPr>
        <w:t xml:space="preserve">of </w:t>
      </w:r>
      <w:proofErr w:type="spellStart"/>
      <w:r>
        <w:rPr>
          <w:color w:val="000000"/>
          <w:shd w:val="clear" w:color="auto" w:fill="FFFFFF"/>
        </w:rPr>
        <w:t>miRNAs</w:t>
      </w:r>
      <w:proofErr w:type="spellEnd"/>
      <w:r>
        <w:rPr>
          <w:color w:val="000000"/>
          <w:shd w:val="clear" w:color="auto" w:fill="FFFFFF"/>
        </w:rPr>
        <w:t>.</w:t>
      </w:r>
      <w:proofErr w:type="gramEnd"/>
      <w:r w:rsidR="00FC7E66">
        <w:rPr>
          <w:color w:val="000000"/>
          <w:shd w:val="clear" w:color="auto" w:fill="FFFFFF"/>
        </w:rPr>
        <w:t xml:space="preserve"> TMM needs 10s of thousands.</w:t>
      </w:r>
    </w:p>
    <w:p w:rsidR="0076749E" w:rsidRDefault="0076749E" w:rsidP="0076749E">
      <w:pPr>
        <w:spacing w:after="0" w:line="240" w:lineRule="auto"/>
        <w:rPr>
          <w:color w:val="000000"/>
          <w:shd w:val="clear" w:color="auto" w:fill="FFFFFF"/>
        </w:rPr>
      </w:pPr>
    </w:p>
    <w:p w:rsidR="0076749E" w:rsidRDefault="0076749E" w:rsidP="0076749E">
      <w:pPr>
        <w:spacing w:after="0" w:line="240" w:lineRule="auto"/>
        <w:rPr>
          <w:color w:val="000000"/>
          <w:shd w:val="clear" w:color="auto" w:fill="FFFFFF"/>
        </w:rPr>
      </w:pPr>
    </w:p>
    <w:p w:rsidR="0076749E" w:rsidRDefault="0076749E" w:rsidP="0076749E">
      <w:pPr>
        <w:spacing w:after="0" w:line="240" w:lineRule="auto"/>
        <w:rPr>
          <w:color w:val="000000"/>
          <w:shd w:val="clear" w:color="auto" w:fill="FFFFFF"/>
        </w:rPr>
      </w:pPr>
    </w:p>
    <w:p w:rsidR="0076749E" w:rsidRDefault="0076749E" w:rsidP="0076749E">
      <w:pPr>
        <w:spacing w:after="0" w:line="240" w:lineRule="auto"/>
        <w:rPr>
          <w:color w:val="000000"/>
          <w:shd w:val="clear" w:color="auto" w:fill="FFFFFF"/>
        </w:rPr>
      </w:pPr>
    </w:p>
    <w:p w:rsidR="00EC2D02" w:rsidRPr="0076749E" w:rsidRDefault="008803F6" w:rsidP="0076749E">
      <w:pPr>
        <w:spacing w:after="0" w:line="240" w:lineRule="auto"/>
        <w:rPr>
          <w:color w:val="000000"/>
          <w:shd w:val="clear" w:color="auto" w:fill="FFFFFF"/>
        </w:rPr>
      </w:pPr>
      <w:r w:rsidRPr="00FC7E66">
        <w:rPr>
          <w:b/>
          <w:u w:val="single"/>
        </w:rPr>
        <w:t>Dillies</w:t>
      </w:r>
    </w:p>
    <w:p w:rsidR="008803F6" w:rsidRDefault="008803F6" w:rsidP="0076749E">
      <w:pPr>
        <w:spacing w:after="0" w:line="240" w:lineRule="auto"/>
      </w:pPr>
      <w:r>
        <w:t>1-5 are count based; 6 and 7 are based on library size</w:t>
      </w:r>
    </w:p>
    <w:p w:rsidR="008803F6" w:rsidRDefault="008803F6" w:rsidP="0076749E">
      <w:pPr>
        <w:spacing w:after="0" w:line="240" w:lineRule="auto"/>
      </w:pPr>
      <w:r>
        <w:t>Not included is GC content (as well as gene length shouldn’t be important in context of DE)</w:t>
      </w:r>
    </w:p>
    <w:p w:rsidR="008803F6" w:rsidRDefault="008803F6" w:rsidP="0076749E">
      <w:pPr>
        <w:spacing w:after="0" w:line="240" w:lineRule="auto"/>
      </w:pPr>
      <w:r>
        <w:t>Normalization Methods Assessed:</w:t>
      </w:r>
    </w:p>
    <w:p w:rsidR="008803F6" w:rsidRDefault="008803F6" w:rsidP="0076749E">
      <w:pPr>
        <w:spacing w:after="0" w:line="240" w:lineRule="auto"/>
      </w:pPr>
      <w:r>
        <w:t>1. Total Count (TC)</w:t>
      </w:r>
    </w:p>
    <w:p w:rsidR="008803F6" w:rsidRDefault="008803F6" w:rsidP="0076749E">
      <w:pPr>
        <w:spacing w:after="0" w:line="240" w:lineRule="auto"/>
      </w:pPr>
      <w:r>
        <w:t>2. Upper Quartile (UQ)</w:t>
      </w:r>
    </w:p>
    <w:p w:rsidR="008803F6" w:rsidRDefault="008803F6" w:rsidP="0076749E">
      <w:pPr>
        <w:spacing w:after="0" w:line="240" w:lineRule="auto"/>
      </w:pPr>
      <w:r>
        <w:t>3. Median (Med)</w:t>
      </w:r>
    </w:p>
    <w:p w:rsidR="008803F6" w:rsidRDefault="008803F6" w:rsidP="0076749E">
      <w:pPr>
        <w:spacing w:after="0" w:line="240" w:lineRule="auto"/>
      </w:pPr>
      <w:r>
        <w:t xml:space="preserve">4. </w:t>
      </w:r>
      <w:proofErr w:type="spellStart"/>
      <w:r>
        <w:t>Quantile</w:t>
      </w:r>
      <w:proofErr w:type="spellEnd"/>
      <w:r>
        <w:t xml:space="preserve"> (Q)</w:t>
      </w:r>
    </w:p>
    <w:p w:rsidR="008803F6" w:rsidRDefault="008803F6" w:rsidP="0076749E">
      <w:pPr>
        <w:spacing w:after="0" w:line="240" w:lineRule="auto"/>
      </w:pPr>
      <w:r>
        <w:t xml:space="preserve">5. Reads per </w:t>
      </w:r>
      <w:proofErr w:type="spellStart"/>
      <w:r>
        <w:t>Kilobase</w:t>
      </w:r>
      <w:proofErr w:type="spellEnd"/>
      <w:r>
        <w:t xml:space="preserve"> per Million mapped reads (RPKM)</w:t>
      </w:r>
    </w:p>
    <w:p w:rsidR="008803F6" w:rsidRDefault="008803F6" w:rsidP="0076749E">
      <w:pPr>
        <w:spacing w:after="0" w:line="240" w:lineRule="auto"/>
      </w:pPr>
      <w:r>
        <w:t xml:space="preserve">6. </w:t>
      </w:r>
      <w:proofErr w:type="spellStart"/>
      <w:r>
        <w:t>DESeq</w:t>
      </w:r>
      <w:proofErr w:type="spellEnd"/>
    </w:p>
    <w:p w:rsidR="008803F6" w:rsidRDefault="008803F6" w:rsidP="0076749E">
      <w:pPr>
        <w:spacing w:after="0" w:line="240" w:lineRule="auto"/>
      </w:pPr>
      <w:r>
        <w:t>7. Trimmed Mean of M-values (TMM)</w:t>
      </w:r>
    </w:p>
    <w:p w:rsidR="008803F6" w:rsidRDefault="008803F6" w:rsidP="0076749E">
      <w:pPr>
        <w:spacing w:after="0" w:line="240" w:lineRule="auto"/>
      </w:pPr>
    </w:p>
    <w:p w:rsidR="008803F6" w:rsidRPr="00FC7E66" w:rsidRDefault="00FC7E66" w:rsidP="0076749E">
      <w:pPr>
        <w:spacing w:after="0" w:line="240" w:lineRule="auto"/>
        <w:rPr>
          <w:b/>
        </w:rPr>
      </w:pPr>
      <w:r w:rsidRPr="00FC7E66">
        <w:rPr>
          <w:b/>
        </w:rPr>
        <w:t>1.</w:t>
      </w:r>
      <w:r>
        <w:rPr>
          <w:b/>
        </w:rPr>
        <w:t xml:space="preserve"> </w:t>
      </w:r>
      <w:r w:rsidR="008803F6" w:rsidRPr="00FC7E66">
        <w:rPr>
          <w:b/>
        </w:rPr>
        <w:t>Total Count (TC)</w:t>
      </w:r>
    </w:p>
    <w:p w:rsidR="008803F6" w:rsidRDefault="008803F6" w:rsidP="0076749E">
      <w:pPr>
        <w:spacing w:after="0" w:line="240" w:lineRule="auto"/>
      </w:pPr>
      <w:r>
        <w:rPr>
          <w:rFonts w:ascii="Cambria Math" w:hAnsi="Cambria Math" w:cs="Cambria Math"/>
        </w:rPr>
        <w:t>𝑔𝑒𝑛𝑒</w:t>
      </w:r>
      <w:r>
        <w:t xml:space="preserve"> </w:t>
      </w:r>
      <w:r>
        <w:rPr>
          <w:rFonts w:ascii="Cambria Math" w:hAnsi="Cambria Math" w:cs="Cambria Math"/>
        </w:rPr>
        <w:t>𝑐𝑜𝑢𝑛𝑡</w:t>
      </w:r>
      <w:r>
        <w:t xml:space="preserve"> ×</w:t>
      </w:r>
      <w:r>
        <w:tab/>
      </w:r>
      <w:r w:rsidRPr="008803F6">
        <w:rPr>
          <w:rFonts w:ascii="Cambria Math" w:hAnsi="Cambria Math" w:cs="Cambria Math"/>
          <w:u w:val="single"/>
        </w:rPr>
        <w:t>𝑚𝑒𝑎𝑛</w:t>
      </w:r>
      <w:r w:rsidRPr="008803F6">
        <w:rPr>
          <w:u w:val="single"/>
        </w:rPr>
        <w:t xml:space="preserve"> </w:t>
      </w:r>
      <w:r w:rsidRPr="008803F6">
        <w:rPr>
          <w:rFonts w:ascii="Cambria Math" w:hAnsi="Cambria Math" w:cs="Cambria Math"/>
          <w:u w:val="single"/>
        </w:rPr>
        <w:t>𝑡𝑜𝑡𝑎𝑙</w:t>
      </w:r>
      <w:r w:rsidRPr="008803F6">
        <w:rPr>
          <w:u w:val="single"/>
        </w:rPr>
        <w:t xml:space="preserve"> </w:t>
      </w:r>
      <w:r w:rsidRPr="008803F6">
        <w:rPr>
          <w:rFonts w:ascii="Cambria Math" w:hAnsi="Cambria Math" w:cs="Cambria Math"/>
          <w:u w:val="single"/>
        </w:rPr>
        <w:t>𝑐𝑜𝑢𝑛𝑡</w:t>
      </w:r>
      <w:r w:rsidRPr="008803F6">
        <w:rPr>
          <w:u w:val="single"/>
        </w:rPr>
        <w:t xml:space="preserve"> </w:t>
      </w:r>
      <w:r w:rsidRPr="008803F6">
        <w:rPr>
          <w:rFonts w:ascii="Cambria Math" w:hAnsi="Cambria Math" w:cs="Cambria Math"/>
          <w:u w:val="single"/>
        </w:rPr>
        <w:t>𝑎𝑙𝑙</w:t>
      </w:r>
      <w:r w:rsidRPr="008803F6">
        <w:rPr>
          <w:u w:val="single"/>
        </w:rPr>
        <w:t xml:space="preserve"> </w:t>
      </w:r>
      <w:r w:rsidRPr="008803F6">
        <w:rPr>
          <w:rFonts w:ascii="Cambria Math" w:hAnsi="Cambria Math" w:cs="Cambria Math"/>
          <w:u w:val="single"/>
        </w:rPr>
        <w:t>𝑠𝑎𝑚𝑝𝑙𝑒𝑠</w:t>
      </w:r>
    </w:p>
    <w:p w:rsidR="008803F6" w:rsidRDefault="008803F6" w:rsidP="0076749E">
      <w:pPr>
        <w:spacing w:after="0" w:line="240" w:lineRule="auto"/>
        <w:ind w:left="720"/>
      </w:pPr>
      <w:r>
        <w:rPr>
          <w:rFonts w:ascii="Cambria Math" w:hAnsi="Cambria Math" w:cs="Cambria Math"/>
        </w:rPr>
        <w:t>𝑡𝑜𝑡𝑎𝑙</w:t>
      </w:r>
      <w:r>
        <w:t xml:space="preserve"> </w:t>
      </w:r>
      <w:r>
        <w:rPr>
          <w:rFonts w:ascii="Cambria Math" w:hAnsi="Cambria Math" w:cs="Cambria Math"/>
        </w:rPr>
        <w:t>𝑐𝑜𝑢𝑛𝑡𝑠</w:t>
      </w:r>
      <w:r>
        <w:t xml:space="preserve"> </w:t>
      </w:r>
      <w:r>
        <w:rPr>
          <w:rFonts w:ascii="Cambria Math" w:hAnsi="Cambria Math" w:cs="Cambria Math"/>
        </w:rPr>
        <w:t>𝑡ℎ𝑖𝑠</w:t>
      </w:r>
      <w:r>
        <w:t xml:space="preserve"> </w:t>
      </w:r>
      <w:r>
        <w:rPr>
          <w:rFonts w:ascii="Cambria Math" w:hAnsi="Cambria Math" w:cs="Cambria Math"/>
        </w:rPr>
        <w:t>𝑠𝑎𝑚𝑝𝑙𝑒</w:t>
      </w:r>
    </w:p>
    <w:p w:rsidR="008803F6" w:rsidRDefault="008803F6" w:rsidP="0076749E">
      <w:pPr>
        <w:spacing w:after="0" w:line="240" w:lineRule="auto"/>
        <w:rPr>
          <w:color w:val="FF0000"/>
        </w:rPr>
      </w:pPr>
      <w:r w:rsidRPr="008803F6">
        <w:rPr>
          <w:color w:val="FF0000"/>
        </w:rPr>
        <w:t>Assumes the total counts should have been the same</w:t>
      </w:r>
      <w:r w:rsidR="00586439">
        <w:rPr>
          <w:color w:val="FF0000"/>
        </w:rPr>
        <w:t>; heavily influenced by high-count genes that may not be consistent across samples.</w:t>
      </w:r>
    </w:p>
    <w:p w:rsidR="008803F6" w:rsidRDefault="008803F6" w:rsidP="0076749E">
      <w:pPr>
        <w:spacing w:after="0" w:line="240" w:lineRule="auto"/>
        <w:rPr>
          <w:color w:val="FF0000"/>
        </w:rPr>
      </w:pPr>
    </w:p>
    <w:p w:rsidR="008803F6" w:rsidRPr="008803F6" w:rsidRDefault="00FC7E66" w:rsidP="0076749E">
      <w:pPr>
        <w:spacing w:after="0" w:line="240" w:lineRule="auto"/>
        <w:rPr>
          <w:b/>
        </w:rPr>
      </w:pPr>
      <w:r>
        <w:rPr>
          <w:b/>
        </w:rPr>
        <w:t xml:space="preserve">2. </w:t>
      </w:r>
      <w:r w:rsidR="008803F6" w:rsidRPr="008803F6">
        <w:rPr>
          <w:b/>
        </w:rPr>
        <w:t>Upper Quartile (UQ)</w:t>
      </w:r>
    </w:p>
    <w:p w:rsidR="008803F6" w:rsidRPr="008803F6" w:rsidRDefault="008803F6" w:rsidP="0076749E">
      <w:pPr>
        <w:spacing w:after="0" w:line="240" w:lineRule="auto"/>
      </w:pPr>
      <w:r w:rsidRPr="008803F6">
        <w:t>Same as TC, but “total counts are replaced by the upper quartile of counts different from 0”</w:t>
      </w:r>
    </w:p>
    <w:p w:rsidR="008803F6" w:rsidRDefault="008803F6" w:rsidP="0076749E">
      <w:pPr>
        <w:spacing w:after="0" w:line="240" w:lineRule="auto"/>
        <w:rPr>
          <w:color w:val="FF0000"/>
        </w:rPr>
      </w:pPr>
      <w:r w:rsidRPr="008803F6">
        <w:rPr>
          <w:color w:val="FF0000"/>
        </w:rPr>
        <w:t>After throwing out the top 25% of highly expressed genes, assumes the total remaining counts should have been the same</w:t>
      </w:r>
    </w:p>
    <w:p w:rsidR="008803F6" w:rsidRPr="008803F6" w:rsidRDefault="008803F6" w:rsidP="0076749E">
      <w:pPr>
        <w:spacing w:after="0" w:line="240" w:lineRule="auto"/>
        <w:rPr>
          <w:color w:val="FF0000"/>
        </w:rPr>
      </w:pPr>
    </w:p>
    <w:p w:rsidR="008803F6" w:rsidRPr="008803F6" w:rsidRDefault="00FC7E66" w:rsidP="0076749E">
      <w:pPr>
        <w:spacing w:after="0" w:line="240" w:lineRule="auto"/>
        <w:rPr>
          <w:b/>
        </w:rPr>
      </w:pPr>
      <w:r>
        <w:rPr>
          <w:b/>
        </w:rPr>
        <w:t xml:space="preserve">3. </w:t>
      </w:r>
      <w:r w:rsidR="008803F6" w:rsidRPr="008803F6">
        <w:rPr>
          <w:b/>
        </w:rPr>
        <w:t>Median (Med)</w:t>
      </w:r>
    </w:p>
    <w:p w:rsidR="008803F6" w:rsidRDefault="008803F6" w:rsidP="0076749E">
      <w:pPr>
        <w:spacing w:after="0" w:line="240" w:lineRule="auto"/>
      </w:pPr>
      <w:r>
        <w:t>“Also similar to TC, the total counts are replaced by the median counts different from 0”</w:t>
      </w:r>
    </w:p>
    <w:p w:rsidR="008803F6" w:rsidRDefault="008803F6" w:rsidP="0076749E">
      <w:pPr>
        <w:spacing w:after="0" w:line="240" w:lineRule="auto"/>
        <w:rPr>
          <w:color w:val="FF0000"/>
        </w:rPr>
      </w:pPr>
      <w:r w:rsidRPr="008803F6">
        <w:rPr>
          <w:color w:val="FF0000"/>
        </w:rPr>
        <w:t>Assumes the median gene count value should have been the same</w:t>
      </w:r>
      <w:r w:rsidR="00FC7E66">
        <w:rPr>
          <w:color w:val="FF0000"/>
        </w:rPr>
        <w:t>.</w:t>
      </w:r>
    </w:p>
    <w:p w:rsidR="006001E4" w:rsidRPr="006001E4" w:rsidRDefault="006001E4" w:rsidP="0076749E">
      <w:pPr>
        <w:spacing w:after="0" w:line="240" w:lineRule="auto"/>
      </w:pPr>
      <w:proofErr w:type="gramStart"/>
      <w:r w:rsidRPr="006001E4">
        <w:t>note</w:t>
      </w:r>
      <w:proofErr w:type="gramEnd"/>
      <w:r w:rsidRPr="006001E4">
        <w:t>: diff</w:t>
      </w:r>
      <w:r w:rsidR="00FC7E66">
        <w:t>erences</w:t>
      </w:r>
      <w:r w:rsidRPr="006001E4">
        <w:t xml:space="preserve"> with median and UQ due to differences in numbers of high counts or </w:t>
      </w:r>
      <w:proofErr w:type="spellStart"/>
      <w:r w:rsidRPr="006001E4">
        <w:t>zeros</w:t>
      </w:r>
      <w:proofErr w:type="spellEnd"/>
      <w:r w:rsidRPr="006001E4">
        <w:t>.</w:t>
      </w:r>
    </w:p>
    <w:p w:rsidR="006001E4" w:rsidRDefault="006001E4" w:rsidP="0076749E">
      <w:pPr>
        <w:spacing w:after="0" w:line="240" w:lineRule="auto"/>
        <w:rPr>
          <w:b/>
        </w:rPr>
      </w:pPr>
    </w:p>
    <w:p w:rsidR="008803F6" w:rsidRPr="008803F6" w:rsidRDefault="00FC7E66" w:rsidP="0076749E">
      <w:pPr>
        <w:spacing w:after="0" w:line="240" w:lineRule="auto"/>
        <w:rPr>
          <w:b/>
        </w:rPr>
      </w:pPr>
      <w:r>
        <w:rPr>
          <w:b/>
        </w:rPr>
        <w:t xml:space="preserve">4. </w:t>
      </w:r>
      <w:proofErr w:type="spellStart"/>
      <w:r w:rsidR="008803F6" w:rsidRPr="008803F6">
        <w:rPr>
          <w:b/>
        </w:rPr>
        <w:t>Quantile</w:t>
      </w:r>
      <w:proofErr w:type="spellEnd"/>
      <w:r w:rsidR="008803F6" w:rsidRPr="008803F6">
        <w:rPr>
          <w:b/>
        </w:rPr>
        <w:t xml:space="preserve"> (Q)</w:t>
      </w:r>
    </w:p>
    <w:p w:rsidR="008803F6" w:rsidRDefault="008803F6" w:rsidP="0076749E">
      <w:pPr>
        <w:spacing w:after="0" w:line="240" w:lineRule="auto"/>
      </w:pPr>
      <w:r>
        <w:t>Taken from microarray analyses, each sample is adjusted to have the same distribution of counts.</w:t>
      </w:r>
    </w:p>
    <w:p w:rsidR="008803F6" w:rsidRDefault="008803F6" w:rsidP="0076749E">
      <w:pPr>
        <w:spacing w:after="0" w:line="240" w:lineRule="auto"/>
        <w:rPr>
          <w:color w:val="FF0000"/>
        </w:rPr>
      </w:pPr>
      <w:r w:rsidRPr="008803F6">
        <w:rPr>
          <w:color w:val="FF0000"/>
        </w:rPr>
        <w:t>Assumes the overall distribution of counts should have been the same</w:t>
      </w:r>
      <w:r w:rsidR="00586439">
        <w:rPr>
          <w:color w:val="FF0000"/>
        </w:rPr>
        <w:t xml:space="preserve"> (can lead to </w:t>
      </w:r>
      <w:proofErr w:type="spellStart"/>
      <w:r w:rsidR="00586439">
        <w:rPr>
          <w:color w:val="FF0000"/>
        </w:rPr>
        <w:t>increased</w:t>
      </w:r>
      <w:proofErr w:type="spellEnd"/>
      <w:r w:rsidR="00586439">
        <w:rPr>
          <w:color w:val="FF0000"/>
        </w:rPr>
        <w:t xml:space="preserve"> within-condition variability)</w:t>
      </w:r>
    </w:p>
    <w:p w:rsidR="006001E4" w:rsidRPr="006001E4" w:rsidRDefault="006001E4" w:rsidP="0076749E">
      <w:pPr>
        <w:spacing w:after="0" w:line="240" w:lineRule="auto"/>
      </w:pPr>
      <w:proofErr w:type="gramStart"/>
      <w:r w:rsidRPr="006001E4">
        <w:t>note</w:t>
      </w:r>
      <w:proofErr w:type="gramEnd"/>
      <w:r w:rsidRPr="006001E4">
        <w:t>: tend</w:t>
      </w:r>
      <w:r w:rsidR="00FC7E66">
        <w:t>ed</w:t>
      </w:r>
      <w:r w:rsidRPr="006001E4">
        <w:t xml:space="preserve"> to identify weakly expressed genes as DE</w:t>
      </w:r>
    </w:p>
    <w:p w:rsidR="008803F6" w:rsidRDefault="008803F6" w:rsidP="0076749E">
      <w:pPr>
        <w:spacing w:after="0" w:line="240" w:lineRule="auto"/>
      </w:pPr>
    </w:p>
    <w:p w:rsidR="0076749E" w:rsidRDefault="00FC7E66" w:rsidP="0076749E">
      <w:pPr>
        <w:spacing w:after="0" w:line="240" w:lineRule="auto"/>
        <w:rPr>
          <w:b/>
        </w:rPr>
      </w:pPr>
      <w:proofErr w:type="gramStart"/>
      <w:r>
        <w:rPr>
          <w:b/>
        </w:rPr>
        <w:t xml:space="preserve">5. </w:t>
      </w:r>
      <w:r w:rsidR="008803F6" w:rsidRPr="008803F6">
        <w:rPr>
          <w:b/>
        </w:rPr>
        <w:t xml:space="preserve">Reads Per </w:t>
      </w:r>
      <w:proofErr w:type="spellStart"/>
      <w:r w:rsidR="008803F6" w:rsidRPr="008803F6">
        <w:rPr>
          <w:b/>
        </w:rPr>
        <w:t>Kilobase</w:t>
      </w:r>
      <w:proofErr w:type="spellEnd"/>
      <w:proofErr w:type="gramEnd"/>
      <w:r w:rsidR="008803F6" w:rsidRPr="008803F6">
        <w:rPr>
          <w:b/>
        </w:rPr>
        <w:t xml:space="preserve"> per Million mapped reads (RPKM) [aka FPKM]</w:t>
      </w:r>
    </w:p>
    <w:p w:rsidR="008803F6" w:rsidRPr="0076749E" w:rsidRDefault="008803F6" w:rsidP="0076749E">
      <w:pPr>
        <w:spacing w:after="0" w:line="240" w:lineRule="auto"/>
        <w:rPr>
          <w:b/>
        </w:rPr>
      </w:pPr>
      <w:r>
        <w:rPr>
          <w:rFonts w:ascii="Cambria Math" w:hAnsi="Cambria Math" w:cs="Cambria Math"/>
        </w:rPr>
        <w:t>𝑔𝑒𝑛𝑒</w:t>
      </w:r>
      <w:r>
        <w:t xml:space="preserve"> </w:t>
      </w:r>
      <w:r>
        <w:rPr>
          <w:rFonts w:ascii="Cambria Math" w:hAnsi="Cambria Math" w:cs="Cambria Math"/>
        </w:rPr>
        <w:t>𝑐𝑜𝑢𝑛𝑡</w:t>
      </w:r>
      <w:r>
        <w:t xml:space="preserve"> ×</w:t>
      </w:r>
      <w:r>
        <w:tab/>
      </w:r>
      <w:r w:rsidRPr="008803F6">
        <w:rPr>
          <w:u w:val="single"/>
        </w:rPr>
        <w:t>10</w:t>
      </w:r>
      <w:r w:rsidRPr="008803F6">
        <w:rPr>
          <w:u w:val="single"/>
          <w:vertAlign w:val="superscript"/>
        </w:rPr>
        <w:t>3</w:t>
      </w:r>
      <w:r w:rsidRPr="008803F6">
        <w:rPr>
          <w:u w:val="single"/>
        </w:rPr>
        <w:tab/>
      </w:r>
      <w:r w:rsidRPr="008803F6">
        <w:rPr>
          <w:u w:val="single"/>
        </w:rPr>
        <w:tab/>
      </w:r>
      <w:r w:rsidRPr="008803F6">
        <w:t xml:space="preserve">       </w:t>
      </w:r>
      <w:r>
        <w:t>x</w:t>
      </w:r>
      <w:r>
        <w:tab/>
      </w:r>
      <w:r w:rsidRPr="008803F6">
        <w:rPr>
          <w:u w:val="single"/>
        </w:rPr>
        <w:t>10</w:t>
      </w:r>
      <w:r w:rsidRPr="008803F6">
        <w:rPr>
          <w:u w:val="single"/>
          <w:vertAlign w:val="superscript"/>
        </w:rPr>
        <w:t>6</w:t>
      </w:r>
      <w:r w:rsidRPr="008803F6">
        <w:rPr>
          <w:u w:val="single"/>
        </w:rPr>
        <w:tab/>
      </w:r>
      <w:r w:rsidRPr="008803F6">
        <w:rPr>
          <w:u w:val="single"/>
        </w:rPr>
        <w:tab/>
      </w:r>
    </w:p>
    <w:p w:rsidR="008803F6" w:rsidRDefault="008803F6" w:rsidP="0076749E">
      <w:pPr>
        <w:spacing w:after="0" w:line="240" w:lineRule="auto"/>
        <w:ind w:left="720"/>
      </w:pPr>
      <w:r>
        <w:rPr>
          <w:rFonts w:ascii="Cambria Math" w:hAnsi="Cambria Math" w:cs="Cambria Math"/>
        </w:rPr>
        <w:t>𝑔𝑒𝑛𝑒</w:t>
      </w:r>
      <w:r>
        <w:t xml:space="preserve"> </w:t>
      </w:r>
      <w:r>
        <w:rPr>
          <w:rFonts w:ascii="Cambria Math" w:hAnsi="Cambria Math" w:cs="Cambria Math"/>
        </w:rPr>
        <w:t>𝑙𝑒𝑛𝑔𝑡ℎ</w:t>
      </w:r>
      <w:r>
        <w:t xml:space="preserve"> </w:t>
      </w:r>
      <w:r>
        <w:tab/>
      </w:r>
      <w:r>
        <w:tab/>
      </w:r>
      <w:r>
        <w:rPr>
          <w:rFonts w:ascii="Cambria Math" w:hAnsi="Cambria Math" w:cs="Cambria Math"/>
        </w:rPr>
        <w:t>𝑡𝑜𝑡𝑎𝑙</w:t>
      </w:r>
      <w:r>
        <w:t xml:space="preserve"> </w:t>
      </w:r>
      <w:r>
        <w:rPr>
          <w:rFonts w:ascii="Cambria Math" w:hAnsi="Cambria Math" w:cs="Cambria Math"/>
        </w:rPr>
        <w:t>𝑙𝑖𝑏𝑟𝑎𝑟𝑦</w:t>
      </w:r>
      <w:r>
        <w:t xml:space="preserve"> </w:t>
      </w:r>
      <w:r>
        <w:rPr>
          <w:rFonts w:ascii="Cambria Math" w:hAnsi="Cambria Math" w:cs="Cambria Math"/>
        </w:rPr>
        <w:t>𝑠𝑖𝑧𝑒</w:t>
      </w:r>
    </w:p>
    <w:p w:rsidR="00FC7E66" w:rsidRDefault="008803F6" w:rsidP="0076749E">
      <w:pPr>
        <w:spacing w:after="0" w:line="240" w:lineRule="auto"/>
        <w:rPr>
          <w:color w:val="FF0000"/>
        </w:rPr>
      </w:pPr>
      <w:r w:rsidRPr="008803F6">
        <w:rPr>
          <w:color w:val="FF0000"/>
        </w:rPr>
        <w:t>Assumes the total counts should have been the same and that gene length differences should be accounted for</w:t>
      </w:r>
      <w:r w:rsidR="006001E4" w:rsidRPr="006001E4">
        <w:t xml:space="preserve"> </w:t>
      </w:r>
    </w:p>
    <w:p w:rsidR="008803F6" w:rsidRPr="00FC7E66" w:rsidRDefault="006001E4" w:rsidP="0076749E">
      <w:pPr>
        <w:spacing w:after="0" w:line="240" w:lineRule="auto"/>
        <w:rPr>
          <w:color w:val="FF0000"/>
        </w:rPr>
      </w:pPr>
      <w:proofErr w:type="gramStart"/>
      <w:r w:rsidRPr="006001E4">
        <w:t>note</w:t>
      </w:r>
      <w:proofErr w:type="gramEnd"/>
      <w:r w:rsidRPr="006001E4">
        <w:t>: tend to identify weakly expressed genes as DE</w:t>
      </w:r>
    </w:p>
    <w:p w:rsidR="008803F6" w:rsidRDefault="008803F6" w:rsidP="0076749E">
      <w:pPr>
        <w:spacing w:after="0" w:line="240" w:lineRule="auto"/>
      </w:pPr>
    </w:p>
    <w:p w:rsidR="008803F6" w:rsidRPr="008803F6" w:rsidRDefault="00FC7E66" w:rsidP="0076749E">
      <w:pPr>
        <w:spacing w:after="0" w:line="240" w:lineRule="auto"/>
        <w:rPr>
          <w:b/>
        </w:rPr>
      </w:pPr>
      <w:r>
        <w:rPr>
          <w:b/>
        </w:rPr>
        <w:lastRenderedPageBreak/>
        <w:t xml:space="preserve">6. </w:t>
      </w:r>
      <w:proofErr w:type="spellStart"/>
      <w:r w:rsidR="008803F6" w:rsidRPr="008803F6">
        <w:rPr>
          <w:b/>
        </w:rPr>
        <w:t>DESeq</w:t>
      </w:r>
      <w:proofErr w:type="spellEnd"/>
      <w:r w:rsidR="00801E1F">
        <w:rPr>
          <w:b/>
        </w:rPr>
        <w:t xml:space="preserve"> – median-of-ratios approach</w:t>
      </w:r>
    </w:p>
    <w:p w:rsidR="008803F6" w:rsidRDefault="008803F6" w:rsidP="0076749E">
      <w:pPr>
        <w:spacing w:after="0" w:line="240" w:lineRule="auto"/>
      </w:pPr>
      <w:r>
        <w:t>“…the median of the ratio, for each gene, of its read count over its geometric mean across all [samples]”</w:t>
      </w:r>
    </w:p>
    <w:p w:rsidR="008803F6" w:rsidRPr="008803F6" w:rsidRDefault="008803F6" w:rsidP="0076749E">
      <w:pPr>
        <w:spacing w:after="0" w:line="240" w:lineRule="auto"/>
        <w:rPr>
          <w:color w:val="FF0000"/>
        </w:rPr>
      </w:pPr>
      <w:r w:rsidRPr="008803F6">
        <w:rPr>
          <w:color w:val="FF0000"/>
        </w:rPr>
        <w:t>Assumes that most genes are not changing, so the measured difference of most genes can be used to adjust the bias in total library size</w:t>
      </w:r>
    </w:p>
    <w:p w:rsidR="008803F6" w:rsidRDefault="008803F6" w:rsidP="0076749E">
      <w:pPr>
        <w:spacing w:after="0" w:line="240" w:lineRule="auto"/>
      </w:pPr>
    </w:p>
    <w:p w:rsidR="008803F6" w:rsidRPr="008803F6" w:rsidRDefault="00FC7E66" w:rsidP="0076749E">
      <w:pPr>
        <w:spacing w:after="0" w:line="240" w:lineRule="auto"/>
        <w:rPr>
          <w:b/>
        </w:rPr>
      </w:pPr>
      <w:r>
        <w:rPr>
          <w:b/>
        </w:rPr>
        <w:t xml:space="preserve">7. </w:t>
      </w:r>
      <w:r w:rsidR="008803F6" w:rsidRPr="008803F6">
        <w:rPr>
          <w:b/>
        </w:rPr>
        <w:t>Trimmed Mean of M-values (TMM)</w:t>
      </w:r>
    </w:p>
    <w:p w:rsidR="008803F6" w:rsidRDefault="008803F6" w:rsidP="0076749E">
      <w:pPr>
        <w:spacing w:after="0" w:line="240" w:lineRule="auto"/>
      </w:pPr>
      <w:r>
        <w:t>Pick one sample as the</w:t>
      </w:r>
      <w:r w:rsidR="00801E1F">
        <w:t xml:space="preserve"> reference and calculate the M-</w:t>
      </w:r>
      <w:r>
        <w:t>values (log ratio) for each of the other samples. Calculate the weighted mean of the M-val</w:t>
      </w:r>
      <w:r w:rsidR="00801E1F">
        <w:t xml:space="preserve">ues after </w:t>
      </w:r>
      <w:r>
        <w:t xml:space="preserve">trimming out the genes </w:t>
      </w:r>
      <w:r w:rsidR="00801E1F">
        <w:t>with the highest expression (A-</w:t>
      </w:r>
      <w:r>
        <w:t>value) and largest M-values.</w:t>
      </w:r>
      <w:r w:rsidR="00801E1F">
        <w:t xml:space="preserve"> (</w:t>
      </w:r>
      <w:proofErr w:type="gramStart"/>
      <w:r w:rsidR="00801E1F">
        <w:t>relative</w:t>
      </w:r>
      <w:proofErr w:type="gramEnd"/>
      <w:r w:rsidR="00801E1F">
        <w:t xml:space="preserve"> to total read count)</w:t>
      </w:r>
    </w:p>
    <w:p w:rsidR="008803F6" w:rsidRPr="00FC7E66" w:rsidRDefault="008803F6" w:rsidP="0076749E">
      <w:pPr>
        <w:spacing w:after="0" w:line="240" w:lineRule="auto"/>
        <w:rPr>
          <w:color w:val="FF0000"/>
        </w:rPr>
      </w:pPr>
      <w:r w:rsidRPr="008803F6">
        <w:rPr>
          <w:color w:val="FF0000"/>
        </w:rPr>
        <w:t>Assumes that most genes are not changing, so the</w:t>
      </w:r>
      <w:r w:rsidR="00FC7E66">
        <w:rPr>
          <w:color w:val="FF0000"/>
        </w:rPr>
        <w:t xml:space="preserve"> </w:t>
      </w:r>
      <w:r w:rsidRPr="008803F6">
        <w:rPr>
          <w:color w:val="FF0000"/>
        </w:rPr>
        <w:t>measured difference of most genes can be used to</w:t>
      </w:r>
      <w:r w:rsidR="00FC7E66">
        <w:rPr>
          <w:color w:val="FF0000"/>
        </w:rPr>
        <w:t xml:space="preserve"> </w:t>
      </w:r>
      <w:r w:rsidRPr="008803F6">
        <w:rPr>
          <w:color w:val="FF0000"/>
        </w:rPr>
        <w:t>adjust the bias in total library siz</w:t>
      </w:r>
      <w:r>
        <w:t>e</w:t>
      </w:r>
    </w:p>
    <w:p w:rsidR="006001E4" w:rsidRDefault="006001E4" w:rsidP="0076749E">
      <w:pPr>
        <w:spacing w:after="0" w:line="240" w:lineRule="auto"/>
      </w:pPr>
    </w:p>
    <w:p w:rsidR="006001E4" w:rsidRPr="00FC7E66" w:rsidRDefault="006001E4" w:rsidP="0076749E">
      <w:pPr>
        <w:spacing w:after="0" w:line="240" w:lineRule="auto"/>
        <w:rPr>
          <w:b/>
        </w:rPr>
      </w:pPr>
      <w:r w:rsidRPr="00FC7E66">
        <w:rPr>
          <w:b/>
        </w:rPr>
        <w:t>Performance on simulated data</w:t>
      </w:r>
    </w:p>
    <w:p w:rsidR="00586439" w:rsidRDefault="006001E4" w:rsidP="0076749E">
      <w:pPr>
        <w:spacing w:after="0" w:line="240" w:lineRule="auto"/>
      </w:pPr>
      <w:r>
        <w:t xml:space="preserve">If library size is equivalent and there aren’t a lot of high counts, all methods (including no method), perform </w:t>
      </w:r>
      <w:r w:rsidR="00586439">
        <w:t>similarly</w:t>
      </w:r>
      <w:r>
        <w:t>.</w:t>
      </w:r>
      <w:r w:rsidR="00586439">
        <w:t xml:space="preserve"> When library size is different, </w:t>
      </w:r>
      <w:proofErr w:type="spellStart"/>
      <w:r w:rsidR="00586439">
        <w:t>DESeq</w:t>
      </w:r>
      <w:proofErr w:type="spellEnd"/>
      <w:r w:rsidR="00586439">
        <w:t xml:space="preserve"> and TMM maintain low FDR and good power. TC falls apart with high-count genes, and Q can actually cause more variability when libraries have different distributions, as these can be over-corrected. This leaves UQ, Med, </w:t>
      </w:r>
      <w:proofErr w:type="spellStart"/>
      <w:r w:rsidR="00586439">
        <w:t>DESeq</w:t>
      </w:r>
      <w:proofErr w:type="spellEnd"/>
      <w:r w:rsidR="00586439">
        <w:t xml:space="preserve"> and TMM for dealing well with variations (again, library size differences are best with </w:t>
      </w:r>
      <w:proofErr w:type="spellStart"/>
      <w:r w:rsidR="00586439">
        <w:t>DESeq</w:t>
      </w:r>
      <w:proofErr w:type="spellEnd"/>
      <w:r w:rsidR="00586439">
        <w:t xml:space="preserve"> and TMM).</w:t>
      </w:r>
      <w:r w:rsidR="00FC7E66">
        <w:t xml:space="preserve"> Based on </w:t>
      </w:r>
      <w:proofErr w:type="spellStart"/>
      <w:r w:rsidR="00FC7E66">
        <w:t>miRNA</w:t>
      </w:r>
      <w:proofErr w:type="spellEnd"/>
      <w:r w:rsidR="00FC7E66">
        <w:t xml:space="preserve"> </w:t>
      </w:r>
      <w:proofErr w:type="gramStart"/>
      <w:r w:rsidR="00FC7E66">
        <w:t>paper though, probably stick</w:t>
      </w:r>
      <w:proofErr w:type="gramEnd"/>
      <w:r w:rsidR="00FC7E66">
        <w:t xml:space="preserve"> with UQ or Med for small library (100s).</w:t>
      </w:r>
    </w:p>
    <w:p w:rsidR="006249D7" w:rsidRDefault="006249D7" w:rsidP="0076749E">
      <w:pPr>
        <w:spacing w:after="0" w:line="240" w:lineRule="auto"/>
      </w:pPr>
    </w:p>
    <w:p w:rsidR="006249D7" w:rsidRDefault="006249D7" w:rsidP="0076749E">
      <w:pPr>
        <w:spacing w:after="0" w:line="240" w:lineRule="auto"/>
      </w:pPr>
    </w:p>
    <w:p w:rsidR="006249D7" w:rsidRPr="00FC7E66" w:rsidRDefault="006249D7" w:rsidP="0076749E">
      <w:pPr>
        <w:spacing w:after="0" w:line="240" w:lineRule="auto"/>
        <w:rPr>
          <w:b/>
          <w:u w:val="single"/>
        </w:rPr>
      </w:pPr>
      <w:r w:rsidRPr="00FC7E66">
        <w:rPr>
          <w:b/>
          <w:u w:val="single"/>
        </w:rPr>
        <w:t>General Suggestions:</w:t>
      </w:r>
    </w:p>
    <w:p w:rsidR="006249D7" w:rsidRDefault="006249D7" w:rsidP="0076749E">
      <w:pPr>
        <w:pStyle w:val="ListParagraph"/>
        <w:numPr>
          <w:ilvl w:val="0"/>
          <w:numId w:val="1"/>
        </w:numPr>
        <w:spacing w:after="0" w:line="240" w:lineRule="auto"/>
        <w:ind w:firstLine="0"/>
      </w:pPr>
      <w:r>
        <w:t>Try multiple methods and chose common DE</w:t>
      </w:r>
      <w:r w:rsidR="00FC7E66">
        <w:t xml:space="preserve"> (compare rankings too… binned?)</w:t>
      </w:r>
    </w:p>
    <w:p w:rsidR="006249D7" w:rsidRDefault="006249D7" w:rsidP="0076749E">
      <w:pPr>
        <w:pStyle w:val="ListParagraph"/>
        <w:numPr>
          <w:ilvl w:val="0"/>
          <w:numId w:val="1"/>
        </w:numPr>
        <w:spacing w:after="0" w:line="240" w:lineRule="auto"/>
        <w:ind w:firstLine="0"/>
      </w:pPr>
      <w:r>
        <w:t>Eliminate DE prior to normalization approach (Median or UQ method), then re-incorporate.</w:t>
      </w:r>
      <w:r w:rsidR="003126C8">
        <w:t xml:space="preserve"> </w:t>
      </w:r>
      <w:proofErr w:type="spellStart"/>
      <w:r w:rsidR="003126C8">
        <w:t>TbT</w:t>
      </w:r>
      <w:proofErr w:type="spellEnd"/>
      <w:r w:rsidR="003126C8">
        <w:t xml:space="preserve"> by </w:t>
      </w:r>
      <w:proofErr w:type="spellStart"/>
      <w:r w:rsidR="003126C8">
        <w:t>Kadota</w:t>
      </w:r>
      <w:proofErr w:type="spellEnd"/>
      <w:r w:rsidR="003126C8">
        <w:t xml:space="preserve"> is norm with TMM, analyze with </w:t>
      </w:r>
      <w:proofErr w:type="spellStart"/>
      <w:r w:rsidR="003126C8">
        <w:t>baySeq</w:t>
      </w:r>
      <w:proofErr w:type="spellEnd"/>
      <w:r w:rsidR="003126C8">
        <w:t>, then remove DE and re-normalize (TMM-</w:t>
      </w:r>
      <w:proofErr w:type="spellStart"/>
      <w:r w:rsidR="003126C8">
        <w:t>baySeq</w:t>
      </w:r>
      <w:proofErr w:type="spellEnd"/>
      <w:r w:rsidR="003126C8">
        <w:t>-TMM). Is now implemented in TCC (Sun et al. 2013)</w:t>
      </w:r>
    </w:p>
    <w:p w:rsidR="006001E4" w:rsidRPr="008803F6" w:rsidRDefault="006001E4" w:rsidP="0076749E">
      <w:pPr>
        <w:spacing w:after="0" w:line="240" w:lineRule="auto"/>
      </w:pPr>
      <w:bookmarkStart w:id="0" w:name="_GoBack"/>
      <w:bookmarkEnd w:id="0"/>
    </w:p>
    <w:sectPr w:rsidR="006001E4" w:rsidRPr="008803F6" w:rsidSect="00FC7E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62707"/>
    <w:multiLevelType w:val="hybridMultilevel"/>
    <w:tmpl w:val="81A4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680BFA"/>
    <w:multiLevelType w:val="hybridMultilevel"/>
    <w:tmpl w:val="A3B867DE"/>
    <w:lvl w:ilvl="0" w:tplc="853A834C">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600"/>
    <w:rsid w:val="00241C98"/>
    <w:rsid w:val="0029368E"/>
    <w:rsid w:val="003126C8"/>
    <w:rsid w:val="00351062"/>
    <w:rsid w:val="00512F70"/>
    <w:rsid w:val="00586439"/>
    <w:rsid w:val="006001E4"/>
    <w:rsid w:val="006249D7"/>
    <w:rsid w:val="0076749E"/>
    <w:rsid w:val="00801E1F"/>
    <w:rsid w:val="0081525A"/>
    <w:rsid w:val="00833737"/>
    <w:rsid w:val="008803F6"/>
    <w:rsid w:val="009B69F9"/>
    <w:rsid w:val="00AB42B3"/>
    <w:rsid w:val="00B10CF9"/>
    <w:rsid w:val="00B74C71"/>
    <w:rsid w:val="00B7588F"/>
    <w:rsid w:val="00BA5218"/>
    <w:rsid w:val="00BC5279"/>
    <w:rsid w:val="00C26600"/>
    <w:rsid w:val="00EC2D02"/>
    <w:rsid w:val="00FC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68E"/>
    <w:rPr>
      <w:rFonts w:ascii="Tahoma" w:hAnsi="Tahoma" w:cs="Tahoma"/>
      <w:sz w:val="16"/>
      <w:szCs w:val="16"/>
    </w:rPr>
  </w:style>
  <w:style w:type="character" w:styleId="Hyperlink">
    <w:name w:val="Hyperlink"/>
    <w:basedOn w:val="DefaultParagraphFont"/>
    <w:uiPriority w:val="99"/>
    <w:unhideWhenUsed/>
    <w:rsid w:val="00BC5279"/>
    <w:rPr>
      <w:color w:val="0000FF"/>
      <w:u w:val="single"/>
    </w:rPr>
  </w:style>
  <w:style w:type="character" w:customStyle="1" w:styleId="apple-converted-space">
    <w:name w:val="apple-converted-space"/>
    <w:basedOn w:val="DefaultParagraphFont"/>
    <w:rsid w:val="00BC5279"/>
  </w:style>
  <w:style w:type="character" w:styleId="FollowedHyperlink">
    <w:name w:val="FollowedHyperlink"/>
    <w:basedOn w:val="DefaultParagraphFont"/>
    <w:uiPriority w:val="99"/>
    <w:semiHidden/>
    <w:unhideWhenUsed/>
    <w:rsid w:val="00EC2D02"/>
    <w:rPr>
      <w:color w:val="800080" w:themeColor="followedHyperlink"/>
      <w:u w:val="single"/>
    </w:rPr>
  </w:style>
  <w:style w:type="paragraph" w:styleId="ListParagraph">
    <w:name w:val="List Paragraph"/>
    <w:basedOn w:val="Normal"/>
    <w:uiPriority w:val="34"/>
    <w:qFormat/>
    <w:rsid w:val="006249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68E"/>
    <w:rPr>
      <w:rFonts w:ascii="Tahoma" w:hAnsi="Tahoma" w:cs="Tahoma"/>
      <w:sz w:val="16"/>
      <w:szCs w:val="16"/>
    </w:rPr>
  </w:style>
  <w:style w:type="character" w:styleId="Hyperlink">
    <w:name w:val="Hyperlink"/>
    <w:basedOn w:val="DefaultParagraphFont"/>
    <w:uiPriority w:val="99"/>
    <w:unhideWhenUsed/>
    <w:rsid w:val="00BC5279"/>
    <w:rPr>
      <w:color w:val="0000FF"/>
      <w:u w:val="single"/>
    </w:rPr>
  </w:style>
  <w:style w:type="character" w:customStyle="1" w:styleId="apple-converted-space">
    <w:name w:val="apple-converted-space"/>
    <w:basedOn w:val="DefaultParagraphFont"/>
    <w:rsid w:val="00BC5279"/>
  </w:style>
  <w:style w:type="character" w:styleId="FollowedHyperlink">
    <w:name w:val="FollowedHyperlink"/>
    <w:basedOn w:val="DefaultParagraphFont"/>
    <w:uiPriority w:val="99"/>
    <w:semiHidden/>
    <w:unhideWhenUsed/>
    <w:rsid w:val="00EC2D02"/>
    <w:rPr>
      <w:color w:val="800080" w:themeColor="followedHyperlink"/>
      <w:u w:val="single"/>
    </w:rPr>
  </w:style>
  <w:style w:type="paragraph" w:styleId="ListParagraph">
    <w:name w:val="List Paragraph"/>
    <w:basedOn w:val="Normal"/>
    <w:uiPriority w:val="34"/>
    <w:qFormat/>
    <w:rsid w:val="00624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ople.vcu.edu/~mreimers/OGMDA/normalize.expression.html" TargetMode="External"/><Relationship Id="rId13" Type="http://schemas.openxmlformats.org/officeDocument/2006/relationships/hyperlink" Target="http://www.ncbi.nlm.nih.gov/pmc/articles/PMC3358649/"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hyperlink" Target="http://www.ncbi.nlm.nih.gov/pmc/articles/PMC33586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ncbi.nlm.nih.gov/pmc/articles/PMC3358649/" TargetMode="External"/><Relationship Id="rId5" Type="http://schemas.openxmlformats.org/officeDocument/2006/relationships/webSettings" Target="webSettings.xml"/><Relationship Id="rId15" Type="http://schemas.openxmlformats.org/officeDocument/2006/relationships/hyperlink" Target="http://www.ncbi.nlm.nih.gov/pmc/articles/PMC3358649/" TargetMode="External"/><Relationship Id="rId10" Type="http://schemas.openxmlformats.org/officeDocument/2006/relationships/hyperlink" Target="http://www.ncbi.nlm.nih.gov/pmc/articles/PMC3358649/"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ncbi.nlm.nih.gov/pmc/articles/PMC3358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1746</TotalTime>
  <Pages>4</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neely</dc:creator>
  <cp:lastModifiedBy>neely</cp:lastModifiedBy>
  <cp:revision>7</cp:revision>
  <dcterms:created xsi:type="dcterms:W3CDTF">2014-07-21T14:18:00Z</dcterms:created>
  <dcterms:modified xsi:type="dcterms:W3CDTF">2014-07-24T16:20:00Z</dcterms:modified>
</cp:coreProperties>
</file>