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BDF2" w14:textId="15771B0A" w:rsidR="00941408" w:rsidRDefault="00941408" w:rsidP="00941408">
      <w:pPr>
        <w:rPr>
          <w:lang w:val="en-GB"/>
        </w:rPr>
      </w:pPr>
      <w:r w:rsidRPr="00941408">
        <w:rPr>
          <w:b/>
          <w:bCs/>
          <w:lang w:val="en-GB"/>
        </w:rPr>
        <w:t xml:space="preserve">Problem </w:t>
      </w:r>
      <w:r w:rsidR="00275C36">
        <w:rPr>
          <w:b/>
          <w:bCs/>
          <w:lang w:val="en-GB"/>
        </w:rPr>
        <w:t>1</w:t>
      </w:r>
      <w:r>
        <w:rPr>
          <w:lang w:val="en-GB"/>
        </w:rPr>
        <w:t xml:space="preserve">: when the originator initiated an online transfer request </w:t>
      </w:r>
      <w:r w:rsidRPr="00941408">
        <w:rPr>
          <w:u w:val="single"/>
          <w:lang w:val="en-GB"/>
        </w:rPr>
        <w:t>for a non-card/ loan account</w:t>
      </w:r>
      <w:r>
        <w:rPr>
          <w:lang w:val="en-GB"/>
        </w:rPr>
        <w:t>, while confirming the payment, bank webservices encountered technical failure</w:t>
      </w:r>
      <w:r w:rsidR="00D76F29">
        <w:rPr>
          <w:lang w:val="en-GB"/>
        </w:rPr>
        <w:t xml:space="preserve"> yet the record</w:t>
      </w:r>
      <w:r w:rsidR="00A62B60">
        <w:rPr>
          <w:lang w:val="en-GB"/>
        </w:rPr>
        <w:t xml:space="preserve"> for this account</w:t>
      </w:r>
      <w:r w:rsidR="00D76F29">
        <w:rPr>
          <w:lang w:val="en-GB"/>
        </w:rPr>
        <w:t xml:space="preserve"> </w:t>
      </w:r>
      <w:r w:rsidR="00A62B60">
        <w:rPr>
          <w:lang w:val="en-GB"/>
        </w:rPr>
        <w:t>was</w:t>
      </w:r>
      <w:r w:rsidR="00D76F29">
        <w:rPr>
          <w:lang w:val="en-GB"/>
        </w:rPr>
        <w:t xml:space="preserve"> not written in fallback table</w:t>
      </w:r>
      <w:r w:rsidR="00275C36">
        <w:rPr>
          <w:lang w:val="en-GB"/>
        </w:rPr>
        <w:t xml:space="preserve"> for future processing</w:t>
      </w:r>
    </w:p>
    <w:p w14:paraId="46305B0B" w14:textId="482003BC" w:rsidR="00941408" w:rsidRDefault="00941408" w:rsidP="00941408">
      <w:pPr>
        <w:rPr>
          <w:lang w:val="en-GB"/>
        </w:rPr>
      </w:pPr>
      <w:r>
        <w:rPr>
          <w:lang w:val="en-GB"/>
        </w:rPr>
        <w:t xml:space="preserve">Error handling Solution – </w:t>
      </w:r>
      <w:r w:rsidR="00D76F29">
        <w:rPr>
          <w:lang w:val="en-GB"/>
        </w:rPr>
        <w:t xml:space="preserve">Validate relationship of </w:t>
      </w:r>
      <w:r w:rsidR="00275C36">
        <w:rPr>
          <w:lang w:val="en-GB"/>
        </w:rPr>
        <w:t xml:space="preserve">other DB table </w:t>
      </w:r>
      <w:r w:rsidR="00D76F29">
        <w:rPr>
          <w:lang w:val="en-GB"/>
        </w:rPr>
        <w:t>entit</w:t>
      </w:r>
      <w:r w:rsidR="0016272E">
        <w:rPr>
          <w:lang w:val="en-GB"/>
        </w:rPr>
        <w:t>y</w:t>
      </w:r>
      <w:r w:rsidR="00D76F29">
        <w:rPr>
          <w:lang w:val="en-GB"/>
        </w:rPr>
        <w:t xml:space="preserve"> mapping with the fallback table</w:t>
      </w:r>
    </w:p>
    <w:p w14:paraId="48218F5C" w14:textId="19C2FD03" w:rsidR="00941408" w:rsidRDefault="00941408" w:rsidP="00941408">
      <w:pPr>
        <w:rPr>
          <w:lang w:val="en-GB"/>
        </w:rPr>
      </w:pPr>
      <w:r>
        <w:rPr>
          <w:lang w:val="en-GB"/>
        </w:rPr>
        <w:t xml:space="preserve">Description: </w:t>
      </w:r>
    </w:p>
    <w:p w14:paraId="25F19819" w14:textId="481B0ACD" w:rsidR="00D76F29" w:rsidRDefault="00C04EAD" w:rsidP="00D76F29">
      <w:pPr>
        <w:pStyle w:val="ListParagraph"/>
        <w:numPr>
          <w:ilvl w:val="0"/>
          <w:numId w:val="1"/>
        </w:numPr>
        <w:rPr>
          <w:lang w:val="en-GB"/>
        </w:rPr>
      </w:pPr>
      <w:r>
        <w:rPr>
          <w:lang w:val="en-GB"/>
        </w:rPr>
        <w:t>If non-card account data is not present, a</w:t>
      </w:r>
      <w:r w:rsidR="00D76F29">
        <w:rPr>
          <w:lang w:val="en-GB"/>
        </w:rPr>
        <w:t xml:space="preserve">dd full non-card account data in the </w:t>
      </w:r>
      <w:r w:rsidR="00275C36">
        <w:rPr>
          <w:lang w:val="en-GB"/>
        </w:rPr>
        <w:t xml:space="preserve">‘account </w:t>
      </w:r>
      <w:r w:rsidR="00D76F29">
        <w:rPr>
          <w:lang w:val="en-GB"/>
        </w:rPr>
        <w:t>database table</w:t>
      </w:r>
      <w:r w:rsidR="00275C36">
        <w:rPr>
          <w:lang w:val="en-GB"/>
        </w:rPr>
        <w:t>’</w:t>
      </w:r>
      <w:r w:rsidR="00D76F29">
        <w:rPr>
          <w:lang w:val="en-GB"/>
        </w:rPr>
        <w:t xml:space="preserve"> where the </w:t>
      </w:r>
      <w:r w:rsidR="00275C36">
        <w:rPr>
          <w:lang w:val="en-GB"/>
        </w:rPr>
        <w:t>‘</w:t>
      </w:r>
      <w:r w:rsidR="00D76F29">
        <w:rPr>
          <w:lang w:val="en-GB"/>
        </w:rPr>
        <w:t>fallback database table</w:t>
      </w:r>
      <w:r w:rsidR="00275C36">
        <w:rPr>
          <w:lang w:val="en-GB"/>
        </w:rPr>
        <w:t>’</w:t>
      </w:r>
      <w:r w:rsidR="00D76F29">
        <w:rPr>
          <w:lang w:val="en-GB"/>
        </w:rPr>
        <w:t xml:space="preserve"> is doing first level of validation. </w:t>
      </w:r>
    </w:p>
    <w:p w14:paraId="4AA32B67" w14:textId="556AA606" w:rsidR="00D76F29" w:rsidRPr="00D76F29" w:rsidRDefault="00D76F29" w:rsidP="00D76F29">
      <w:pPr>
        <w:pStyle w:val="ListParagraph"/>
        <w:numPr>
          <w:ilvl w:val="0"/>
          <w:numId w:val="1"/>
        </w:numPr>
        <w:rPr>
          <w:lang w:val="en-GB"/>
        </w:rPr>
      </w:pPr>
      <w:r>
        <w:rPr>
          <w:lang w:val="en-GB"/>
        </w:rPr>
        <w:t>Once th</w:t>
      </w:r>
      <w:r w:rsidR="00275C36">
        <w:rPr>
          <w:lang w:val="en-GB"/>
        </w:rPr>
        <w:t>ese non-card accounts are present in ‘account database table’</w:t>
      </w:r>
      <w:r>
        <w:rPr>
          <w:lang w:val="en-GB"/>
        </w:rPr>
        <w:t xml:space="preserve"> validation</w:t>
      </w:r>
      <w:r w:rsidR="00275C36">
        <w:rPr>
          <w:lang w:val="en-GB"/>
        </w:rPr>
        <w:t xml:space="preserve"> </w:t>
      </w:r>
      <w:r>
        <w:rPr>
          <w:lang w:val="en-GB"/>
        </w:rPr>
        <w:t>is success</w:t>
      </w:r>
      <w:r w:rsidR="00275C36">
        <w:rPr>
          <w:lang w:val="en-GB"/>
        </w:rPr>
        <w:t>ful. O</w:t>
      </w:r>
      <w:r>
        <w:rPr>
          <w:lang w:val="en-GB"/>
        </w:rPr>
        <w:t xml:space="preserve">nly then write data in </w:t>
      </w:r>
      <w:r w:rsidR="00275C36">
        <w:rPr>
          <w:lang w:val="en-GB"/>
        </w:rPr>
        <w:t>‘fallback database table’.</w:t>
      </w:r>
    </w:p>
    <w:p w14:paraId="4A859882" w14:textId="2885A836" w:rsidR="00941408" w:rsidRDefault="00941408" w:rsidP="00941408">
      <w:pPr>
        <w:pStyle w:val="ListParagraph"/>
        <w:numPr>
          <w:ilvl w:val="0"/>
          <w:numId w:val="1"/>
        </w:numPr>
        <w:rPr>
          <w:lang w:val="en-GB"/>
        </w:rPr>
      </w:pPr>
      <w:r>
        <w:rPr>
          <w:lang w:val="en-GB"/>
        </w:rPr>
        <w:t xml:space="preserve">When the webservices is up and running again, </w:t>
      </w:r>
      <w:r w:rsidR="0016272E">
        <w:rPr>
          <w:lang w:val="en-GB"/>
        </w:rPr>
        <w:t>technical retry should be performed. R</w:t>
      </w:r>
      <w:r>
        <w:rPr>
          <w:lang w:val="en-GB"/>
        </w:rPr>
        <w:t>ecords from fallback database table should be moved to actual accounting table and payment should be processed successfully. Ensure that the payment record from fallback table is deleted instant</w:t>
      </w:r>
      <w:r w:rsidR="00275C36">
        <w:rPr>
          <w:lang w:val="en-GB"/>
        </w:rPr>
        <w:t>ly</w:t>
      </w:r>
      <w:r>
        <w:rPr>
          <w:lang w:val="en-GB"/>
        </w:rPr>
        <w:t xml:space="preserve"> to avoid ‘double booking’.</w:t>
      </w:r>
    </w:p>
    <w:p w14:paraId="02389623" w14:textId="5CB5F219" w:rsidR="00941408" w:rsidRDefault="00941408" w:rsidP="00941408">
      <w:pPr>
        <w:pStyle w:val="ListParagraph"/>
        <w:numPr>
          <w:ilvl w:val="0"/>
          <w:numId w:val="1"/>
        </w:numPr>
        <w:rPr>
          <w:lang w:val="en-GB"/>
        </w:rPr>
      </w:pPr>
      <w:r>
        <w:rPr>
          <w:lang w:val="en-GB"/>
        </w:rPr>
        <w:t>Meanwhile the originator should be informed about the technical failure and give a message to hold on for repeating payment for stipulated time/ ‘x’ number of retries when the retry is done.</w:t>
      </w:r>
    </w:p>
    <w:p w14:paraId="5647475A" w14:textId="6B9CA92D" w:rsidR="0016272E" w:rsidRDefault="0016272E" w:rsidP="0016272E">
      <w:pPr>
        <w:rPr>
          <w:lang w:val="en-GB"/>
        </w:rPr>
      </w:pPr>
      <w:r w:rsidRPr="00941408">
        <w:rPr>
          <w:b/>
          <w:bCs/>
          <w:lang w:val="en-GB"/>
        </w:rPr>
        <w:t xml:space="preserve">Problem </w:t>
      </w:r>
      <w:r>
        <w:rPr>
          <w:b/>
          <w:bCs/>
          <w:lang w:val="en-GB"/>
        </w:rPr>
        <w:t>2</w:t>
      </w:r>
      <w:r>
        <w:rPr>
          <w:lang w:val="en-GB"/>
        </w:rPr>
        <w:t xml:space="preserve">: when the originator initiated an online transfer request </w:t>
      </w:r>
      <w:r w:rsidRPr="00941408">
        <w:rPr>
          <w:u w:val="single"/>
          <w:lang w:val="en-GB"/>
        </w:rPr>
        <w:t>for a card account</w:t>
      </w:r>
      <w:r>
        <w:rPr>
          <w:lang w:val="en-GB"/>
        </w:rPr>
        <w:t>, while confirming the payment, bank webservices encountered technical failure</w:t>
      </w:r>
    </w:p>
    <w:p w14:paraId="078929DB" w14:textId="24BB6072" w:rsidR="0016272E" w:rsidRDefault="0016272E" w:rsidP="0016272E">
      <w:pPr>
        <w:rPr>
          <w:lang w:val="en-GB"/>
        </w:rPr>
      </w:pPr>
      <w:r>
        <w:rPr>
          <w:lang w:val="en-GB"/>
        </w:rPr>
        <w:t>Error handling Solution – Perform ‘x’ technical retries when webservices are available</w:t>
      </w:r>
    </w:p>
    <w:p w14:paraId="026C130B" w14:textId="2029317D" w:rsidR="0016272E" w:rsidRDefault="0016272E" w:rsidP="0016272E">
      <w:pPr>
        <w:rPr>
          <w:lang w:val="en-GB"/>
        </w:rPr>
      </w:pPr>
      <w:r>
        <w:rPr>
          <w:lang w:val="en-GB"/>
        </w:rPr>
        <w:t>Description:</w:t>
      </w:r>
    </w:p>
    <w:p w14:paraId="675C52F6" w14:textId="026F6067" w:rsidR="0016272E" w:rsidRPr="0016272E" w:rsidRDefault="0016272E" w:rsidP="0016272E">
      <w:pPr>
        <w:pStyle w:val="ListParagraph"/>
        <w:numPr>
          <w:ilvl w:val="0"/>
          <w:numId w:val="1"/>
        </w:numPr>
        <w:rPr>
          <w:lang w:val="en-GB"/>
        </w:rPr>
      </w:pPr>
      <w:r>
        <w:rPr>
          <w:lang w:val="en-GB"/>
        </w:rPr>
        <w:t>Data is saved in originator bank ‘fallback database table’</w:t>
      </w:r>
      <w:r w:rsidR="00C04EAD">
        <w:rPr>
          <w:lang w:val="en-GB"/>
        </w:rPr>
        <w:t>.</w:t>
      </w:r>
    </w:p>
    <w:p w14:paraId="0100F04F" w14:textId="77777777" w:rsidR="0016272E" w:rsidRDefault="0016272E" w:rsidP="0016272E">
      <w:pPr>
        <w:pStyle w:val="ListParagraph"/>
        <w:numPr>
          <w:ilvl w:val="0"/>
          <w:numId w:val="1"/>
        </w:numPr>
        <w:rPr>
          <w:lang w:val="en-GB"/>
        </w:rPr>
      </w:pPr>
      <w:r>
        <w:rPr>
          <w:lang w:val="en-GB"/>
        </w:rPr>
        <w:t>When the webservices is up and running again, records from fallback database table should be moved to actual accounting table and payment should be processed successfully. Ensure that the payment record from fallback table is deleted instant to avoid ‘double booking’.</w:t>
      </w:r>
    </w:p>
    <w:p w14:paraId="4B159D25" w14:textId="2229E7FB" w:rsidR="0016272E" w:rsidRDefault="0016272E" w:rsidP="0016272E">
      <w:pPr>
        <w:pStyle w:val="ListParagraph"/>
        <w:numPr>
          <w:ilvl w:val="0"/>
          <w:numId w:val="1"/>
        </w:numPr>
        <w:rPr>
          <w:lang w:val="en-GB"/>
        </w:rPr>
      </w:pPr>
      <w:r>
        <w:rPr>
          <w:lang w:val="en-GB"/>
        </w:rPr>
        <w:t>Meanwhile the originator should be informed about the technical failure and give a message to hold on for repeating payment for stipulated time/ ‘x’ number of retries when the retry is done.</w:t>
      </w:r>
    </w:p>
    <w:p w14:paraId="27DE8EAB" w14:textId="215FF16A" w:rsidR="00D63008" w:rsidRDefault="00D63008" w:rsidP="00D63008">
      <w:pPr>
        <w:rPr>
          <w:lang w:val="en-GB"/>
        </w:rPr>
      </w:pPr>
      <w:r w:rsidRPr="00D63008">
        <w:rPr>
          <w:b/>
          <w:bCs/>
          <w:lang w:val="en-GB"/>
        </w:rPr>
        <w:t>Problem 3</w:t>
      </w:r>
      <w:r>
        <w:rPr>
          <w:lang w:val="en-GB"/>
        </w:rPr>
        <w:t>: when the originator initiates online transfer, validation of account fails and can produce a generic error of technical issue</w:t>
      </w:r>
    </w:p>
    <w:p w14:paraId="78BD33D7" w14:textId="2FBBF68A" w:rsidR="00D63008" w:rsidRDefault="00D63008" w:rsidP="00D63008">
      <w:pPr>
        <w:rPr>
          <w:lang w:val="en-GB"/>
        </w:rPr>
      </w:pPr>
      <w:r>
        <w:rPr>
          <w:lang w:val="en-GB"/>
        </w:rPr>
        <w:t>Error handling – Map unique reason codes for each separate issue for better understanding of customer</w:t>
      </w:r>
    </w:p>
    <w:p w14:paraId="4460136B" w14:textId="37633B1F" w:rsidR="00D63008" w:rsidRDefault="00D63008" w:rsidP="00D63008">
      <w:pPr>
        <w:rPr>
          <w:lang w:val="en-GB"/>
        </w:rPr>
      </w:pPr>
      <w:r>
        <w:rPr>
          <w:lang w:val="en-GB"/>
        </w:rPr>
        <w:t>Description:</w:t>
      </w:r>
    </w:p>
    <w:tbl>
      <w:tblPr>
        <w:tblStyle w:val="TableGrid"/>
        <w:tblW w:w="0" w:type="auto"/>
        <w:tblLook w:val="04A0" w:firstRow="1" w:lastRow="0" w:firstColumn="1" w:lastColumn="0" w:noHBand="0" w:noVBand="1"/>
      </w:tblPr>
      <w:tblGrid>
        <w:gridCol w:w="4508"/>
        <w:gridCol w:w="4508"/>
      </w:tblGrid>
      <w:tr w:rsidR="00D63008" w14:paraId="007E5CA4" w14:textId="77777777" w:rsidTr="00D63008">
        <w:tc>
          <w:tcPr>
            <w:tcW w:w="4508" w:type="dxa"/>
          </w:tcPr>
          <w:p w14:paraId="6034C577" w14:textId="7661903D" w:rsidR="00D63008" w:rsidRDefault="00D63008" w:rsidP="00D63008">
            <w:pPr>
              <w:rPr>
                <w:lang w:val="en-GB"/>
              </w:rPr>
            </w:pPr>
            <w:r>
              <w:rPr>
                <w:lang w:val="en-GB"/>
              </w:rPr>
              <w:t>Error description</w:t>
            </w:r>
          </w:p>
        </w:tc>
        <w:tc>
          <w:tcPr>
            <w:tcW w:w="4508" w:type="dxa"/>
          </w:tcPr>
          <w:p w14:paraId="638856FF" w14:textId="49ABF166" w:rsidR="00D63008" w:rsidRDefault="00D63008" w:rsidP="00D63008">
            <w:pPr>
              <w:rPr>
                <w:lang w:val="en-GB"/>
              </w:rPr>
            </w:pPr>
            <w:r>
              <w:rPr>
                <w:lang w:val="en-GB"/>
              </w:rPr>
              <w:t>Error code</w:t>
            </w:r>
          </w:p>
        </w:tc>
      </w:tr>
      <w:tr w:rsidR="00D63008" w14:paraId="5BD955CE" w14:textId="77777777" w:rsidTr="00D63008">
        <w:tc>
          <w:tcPr>
            <w:tcW w:w="4508" w:type="dxa"/>
          </w:tcPr>
          <w:p w14:paraId="0AB4B78E" w14:textId="3FC997C1" w:rsidR="00D63008" w:rsidRDefault="00D63008" w:rsidP="00D63008">
            <w:pPr>
              <w:rPr>
                <w:lang w:val="en-GB"/>
              </w:rPr>
            </w:pPr>
            <w:r>
              <w:rPr>
                <w:lang w:val="en-GB"/>
              </w:rPr>
              <w:t>Insufficient</w:t>
            </w:r>
            <w:r>
              <w:rPr>
                <w:lang w:val="en-GB"/>
              </w:rPr>
              <w:t xml:space="preserve"> funds in account</w:t>
            </w:r>
          </w:p>
        </w:tc>
        <w:tc>
          <w:tcPr>
            <w:tcW w:w="4508" w:type="dxa"/>
          </w:tcPr>
          <w:p w14:paraId="51F26A00" w14:textId="27FE9F54" w:rsidR="00D63008" w:rsidRDefault="00D63008" w:rsidP="00D63008">
            <w:pPr>
              <w:rPr>
                <w:lang w:val="en-GB"/>
              </w:rPr>
            </w:pPr>
            <w:r>
              <w:rPr>
                <w:lang w:val="en-GB"/>
              </w:rPr>
              <w:t>AB01</w:t>
            </w:r>
          </w:p>
        </w:tc>
      </w:tr>
      <w:tr w:rsidR="00D63008" w14:paraId="2504FB6D" w14:textId="77777777" w:rsidTr="00D63008">
        <w:tc>
          <w:tcPr>
            <w:tcW w:w="4508" w:type="dxa"/>
          </w:tcPr>
          <w:p w14:paraId="3BBDB33A" w14:textId="1016BC1C" w:rsidR="00D63008" w:rsidRDefault="00D63008" w:rsidP="00D63008">
            <w:pPr>
              <w:rPr>
                <w:lang w:val="en-GB"/>
              </w:rPr>
            </w:pPr>
            <w:r>
              <w:rPr>
                <w:lang w:val="en-GB"/>
              </w:rPr>
              <w:t>Account not active</w:t>
            </w:r>
          </w:p>
        </w:tc>
        <w:tc>
          <w:tcPr>
            <w:tcW w:w="4508" w:type="dxa"/>
          </w:tcPr>
          <w:p w14:paraId="7791876B" w14:textId="754BBB74" w:rsidR="00D63008" w:rsidRDefault="00D63008" w:rsidP="00D63008">
            <w:pPr>
              <w:rPr>
                <w:lang w:val="en-GB"/>
              </w:rPr>
            </w:pPr>
            <w:r>
              <w:rPr>
                <w:lang w:val="en-GB"/>
              </w:rPr>
              <w:t>AB02</w:t>
            </w:r>
          </w:p>
        </w:tc>
      </w:tr>
      <w:tr w:rsidR="00D63008" w14:paraId="1618390C" w14:textId="77777777" w:rsidTr="00D63008">
        <w:tc>
          <w:tcPr>
            <w:tcW w:w="4508" w:type="dxa"/>
          </w:tcPr>
          <w:p w14:paraId="4B2E3946" w14:textId="5FBB4F26" w:rsidR="00D63008" w:rsidRDefault="00D63008" w:rsidP="00D63008">
            <w:pPr>
              <w:rPr>
                <w:lang w:val="en-GB"/>
              </w:rPr>
            </w:pPr>
            <w:r>
              <w:rPr>
                <w:lang w:val="en-GB"/>
              </w:rPr>
              <w:t>Account closed</w:t>
            </w:r>
          </w:p>
        </w:tc>
        <w:tc>
          <w:tcPr>
            <w:tcW w:w="4508" w:type="dxa"/>
          </w:tcPr>
          <w:p w14:paraId="47580081" w14:textId="65308638" w:rsidR="00D63008" w:rsidRDefault="00D63008" w:rsidP="00D63008">
            <w:pPr>
              <w:rPr>
                <w:lang w:val="en-GB"/>
              </w:rPr>
            </w:pPr>
            <w:r>
              <w:rPr>
                <w:lang w:val="en-GB"/>
              </w:rPr>
              <w:t>AB03</w:t>
            </w:r>
          </w:p>
        </w:tc>
      </w:tr>
      <w:tr w:rsidR="00D63008" w14:paraId="5EA20119" w14:textId="77777777" w:rsidTr="00D63008">
        <w:tc>
          <w:tcPr>
            <w:tcW w:w="4508" w:type="dxa"/>
          </w:tcPr>
          <w:p w14:paraId="3A512F37" w14:textId="2EA73F39" w:rsidR="00D63008" w:rsidRDefault="00D63008" w:rsidP="00D63008">
            <w:pPr>
              <w:rPr>
                <w:lang w:val="en-GB"/>
              </w:rPr>
            </w:pPr>
            <w:r>
              <w:rPr>
                <w:lang w:val="en-GB"/>
              </w:rPr>
              <w:t>Internal server error</w:t>
            </w:r>
          </w:p>
        </w:tc>
        <w:tc>
          <w:tcPr>
            <w:tcW w:w="4508" w:type="dxa"/>
          </w:tcPr>
          <w:p w14:paraId="578D311D" w14:textId="31022E83" w:rsidR="00D63008" w:rsidRDefault="00D63008" w:rsidP="00D63008">
            <w:pPr>
              <w:rPr>
                <w:lang w:val="en-GB"/>
              </w:rPr>
            </w:pPr>
            <w:r>
              <w:rPr>
                <w:lang w:val="en-GB"/>
              </w:rPr>
              <w:t>AB00</w:t>
            </w:r>
          </w:p>
        </w:tc>
      </w:tr>
    </w:tbl>
    <w:p w14:paraId="74DFF331" w14:textId="77777777" w:rsidR="00D63008" w:rsidRDefault="00D63008" w:rsidP="00D63008">
      <w:pPr>
        <w:rPr>
          <w:lang w:val="en-GB"/>
        </w:rPr>
      </w:pPr>
    </w:p>
    <w:p w14:paraId="03757AA2" w14:textId="77777777" w:rsidR="00D63008" w:rsidRPr="00D63008" w:rsidRDefault="00D63008" w:rsidP="00D63008">
      <w:pPr>
        <w:rPr>
          <w:lang w:val="en-GB"/>
        </w:rPr>
      </w:pPr>
    </w:p>
    <w:p w14:paraId="4939B70D" w14:textId="77777777" w:rsidR="00941408" w:rsidRPr="00941408" w:rsidRDefault="00941408" w:rsidP="00941408">
      <w:pPr>
        <w:rPr>
          <w:lang w:val="en-GB"/>
        </w:rPr>
      </w:pPr>
    </w:p>
    <w:sectPr w:rsidR="00941408" w:rsidRPr="00941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D7D63"/>
    <w:multiLevelType w:val="hybridMultilevel"/>
    <w:tmpl w:val="5554DC36"/>
    <w:lvl w:ilvl="0" w:tplc="F8C68614">
      <w:numFmt w:val="bullet"/>
      <w:lvlText w:val="-"/>
      <w:lvlJc w:val="left"/>
      <w:pPr>
        <w:ind w:left="410" w:hanging="360"/>
      </w:pPr>
      <w:rPr>
        <w:rFonts w:ascii="Calibri" w:eastAsiaTheme="minorHAnsi" w:hAnsi="Calibri" w:cs="Calibri" w:hint="default"/>
      </w:rPr>
    </w:lvl>
    <w:lvl w:ilvl="1" w:tplc="20000003" w:tentative="1">
      <w:start w:val="1"/>
      <w:numFmt w:val="bullet"/>
      <w:lvlText w:val="o"/>
      <w:lvlJc w:val="left"/>
      <w:pPr>
        <w:ind w:left="1130" w:hanging="360"/>
      </w:pPr>
      <w:rPr>
        <w:rFonts w:ascii="Courier New" w:hAnsi="Courier New" w:cs="Courier New" w:hint="default"/>
      </w:rPr>
    </w:lvl>
    <w:lvl w:ilvl="2" w:tplc="20000005" w:tentative="1">
      <w:start w:val="1"/>
      <w:numFmt w:val="bullet"/>
      <w:lvlText w:val=""/>
      <w:lvlJc w:val="left"/>
      <w:pPr>
        <w:ind w:left="1850" w:hanging="360"/>
      </w:pPr>
      <w:rPr>
        <w:rFonts w:ascii="Wingdings" w:hAnsi="Wingdings" w:hint="default"/>
      </w:rPr>
    </w:lvl>
    <w:lvl w:ilvl="3" w:tplc="20000001" w:tentative="1">
      <w:start w:val="1"/>
      <w:numFmt w:val="bullet"/>
      <w:lvlText w:val=""/>
      <w:lvlJc w:val="left"/>
      <w:pPr>
        <w:ind w:left="2570" w:hanging="360"/>
      </w:pPr>
      <w:rPr>
        <w:rFonts w:ascii="Symbol" w:hAnsi="Symbol" w:hint="default"/>
      </w:rPr>
    </w:lvl>
    <w:lvl w:ilvl="4" w:tplc="20000003" w:tentative="1">
      <w:start w:val="1"/>
      <w:numFmt w:val="bullet"/>
      <w:lvlText w:val="o"/>
      <w:lvlJc w:val="left"/>
      <w:pPr>
        <w:ind w:left="3290" w:hanging="360"/>
      </w:pPr>
      <w:rPr>
        <w:rFonts w:ascii="Courier New" w:hAnsi="Courier New" w:cs="Courier New" w:hint="default"/>
      </w:rPr>
    </w:lvl>
    <w:lvl w:ilvl="5" w:tplc="20000005" w:tentative="1">
      <w:start w:val="1"/>
      <w:numFmt w:val="bullet"/>
      <w:lvlText w:val=""/>
      <w:lvlJc w:val="left"/>
      <w:pPr>
        <w:ind w:left="4010" w:hanging="360"/>
      </w:pPr>
      <w:rPr>
        <w:rFonts w:ascii="Wingdings" w:hAnsi="Wingdings" w:hint="default"/>
      </w:rPr>
    </w:lvl>
    <w:lvl w:ilvl="6" w:tplc="20000001" w:tentative="1">
      <w:start w:val="1"/>
      <w:numFmt w:val="bullet"/>
      <w:lvlText w:val=""/>
      <w:lvlJc w:val="left"/>
      <w:pPr>
        <w:ind w:left="4730" w:hanging="360"/>
      </w:pPr>
      <w:rPr>
        <w:rFonts w:ascii="Symbol" w:hAnsi="Symbol" w:hint="default"/>
      </w:rPr>
    </w:lvl>
    <w:lvl w:ilvl="7" w:tplc="20000003" w:tentative="1">
      <w:start w:val="1"/>
      <w:numFmt w:val="bullet"/>
      <w:lvlText w:val="o"/>
      <w:lvlJc w:val="left"/>
      <w:pPr>
        <w:ind w:left="5450" w:hanging="360"/>
      </w:pPr>
      <w:rPr>
        <w:rFonts w:ascii="Courier New" w:hAnsi="Courier New" w:cs="Courier New" w:hint="default"/>
      </w:rPr>
    </w:lvl>
    <w:lvl w:ilvl="8" w:tplc="20000005" w:tentative="1">
      <w:start w:val="1"/>
      <w:numFmt w:val="bullet"/>
      <w:lvlText w:val=""/>
      <w:lvlJc w:val="left"/>
      <w:pPr>
        <w:ind w:left="6170" w:hanging="360"/>
      </w:pPr>
      <w:rPr>
        <w:rFonts w:ascii="Wingdings" w:hAnsi="Wingdings" w:hint="default"/>
      </w:rPr>
    </w:lvl>
  </w:abstractNum>
  <w:num w:numId="1" w16cid:durableId="506989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BC"/>
    <w:rsid w:val="0016272E"/>
    <w:rsid w:val="00275C36"/>
    <w:rsid w:val="00352695"/>
    <w:rsid w:val="0053019D"/>
    <w:rsid w:val="006E4CCD"/>
    <w:rsid w:val="00734EB8"/>
    <w:rsid w:val="00941408"/>
    <w:rsid w:val="00A62B60"/>
    <w:rsid w:val="00AD0E8D"/>
    <w:rsid w:val="00C04EAD"/>
    <w:rsid w:val="00D172D7"/>
    <w:rsid w:val="00D63008"/>
    <w:rsid w:val="00D76F29"/>
    <w:rsid w:val="00E42EB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6EBA"/>
  <w15:chartTrackingRefBased/>
  <w15:docId w15:val="{C8BE94ED-9836-404F-9DEF-E6FA40F5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695"/>
    <w:pPr>
      <w:ind w:left="720"/>
      <w:contextualSpacing/>
    </w:pPr>
  </w:style>
  <w:style w:type="table" w:styleId="TableGrid">
    <w:name w:val="Table Grid"/>
    <w:basedOn w:val="TableNormal"/>
    <w:uiPriority w:val="39"/>
    <w:rsid w:val="00D63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 Nyk</dc:creator>
  <cp:keywords/>
  <dc:description/>
  <cp:lastModifiedBy>Nee Nyk</cp:lastModifiedBy>
  <cp:revision>5</cp:revision>
  <dcterms:created xsi:type="dcterms:W3CDTF">2023-03-28T17:51:00Z</dcterms:created>
  <dcterms:modified xsi:type="dcterms:W3CDTF">2023-03-28T20:27:00Z</dcterms:modified>
</cp:coreProperties>
</file>