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i w:val="0"/>
          <w:sz w:val="32"/>
        </w:rPr>
        <w:t>Road Pothole and Damage Detection System</w:t>
        <w:br/>
        <w:t>Using Deep Learning (CNN - MobileNetV2)</w:t>
      </w:r>
    </w:p>
    <w:p>
      <w:pPr>
        <w:spacing w:after="480"/>
        <w:jc w:val="center"/>
      </w:pPr>
      <w:r>
        <w:rPr>
          <w:rFonts w:ascii="Times New Roman" w:hAnsi="Times New Roman"/>
          <w:b w:val="0"/>
          <w:i w:val="0"/>
          <w:sz w:val="24"/>
        </w:rPr>
        <w:t>Neeraj Negi</w:t>
        <w:br/>
        <w:t>MCA — School of Computer Science Engineering &amp; Technology</w:t>
        <w:br/>
        <w:t>[College Name], [City]</w:t>
        <w:br/>
        <w:t>[Email]</w:t>
      </w:r>
    </w:p>
    <w:p>
      <w:pPr>
        <w:spacing w:after="480"/>
        <w:jc w:val="center"/>
      </w:pPr>
      <w:r>
        <w:rPr>
          <w:rFonts w:ascii="Times New Roman" w:hAnsi="Times New Roman"/>
          <w:b w:val="0"/>
          <w:i w:val="0"/>
          <w:sz w:val="24"/>
        </w:rPr>
        <w:t>[Faculty Guide Name]</w:t>
        <w:br/>
        <w:t>[Designation], [Department]</w:t>
        <w:br/>
        <w:t>[College Name]</w:t>
      </w:r>
    </w:p>
    <w:p>
      <w:pPr>
        <w:spacing w:before="240" w:after="120"/>
        <w:jc w:val="left"/>
      </w:pPr>
      <w:r>
        <w:rPr>
          <w:rFonts w:ascii="Times New Roman" w:hAnsi="Times New Roman"/>
          <w:b/>
          <w:i w:val="0"/>
          <w:sz w:val="28"/>
        </w:rPr>
        <w:t>1. Abstract</w:t>
      </w:r>
    </w:p>
    <w:p>
      <w:pPr>
        <w:spacing w:line="360" w:lineRule="auto" w:before="0" w:after="120"/>
        <w:jc w:val="both"/>
      </w:pPr>
      <w:r>
        <w:rPr>
          <w:rFonts w:ascii="Times New Roman" w:hAnsi="Times New Roman"/>
          <w:b w:val="0"/>
          <w:i w:val="0"/>
          <w:sz w:val="24"/>
        </w:rPr>
        <w:t>Road infrastructure maintenance is a critical challenge in developing nations like India, where manual inspection methods are slow, expensive, and inconsistent. This paper presents an automated road pothole and damage detection system using a dual-head Convolutional Neural Network (CNN) architecture based on MobileNetV2 with transfer learning. The proposed system simultaneously performs: 1. Image-level classification into three categories: Normal, Crack, and Pothole 2. Pixel-level semantic segmentation of damage regions 3. Repair Priority Score (RPS) calculation for maintenance urgency. The model was trained on the RDD2022 dataset comprising 19,892 road images collected from India and Japan using vehicle-mounted smartphones. A two-stage transfer learning strategy was employed on an NVIDIA RTX 2050 GPU with mixed precision training and gradient accumulation to overcome hardware memory constraints. The system achieved 84.74% overall validation accuracy with 100% recall for pothole detection — ensuring no pothole is missed. The complete system is deployed as a FastAPI backend on Hugging Face Spaces and a React dashboard on Vercel, accessible publicly at no cost.</w:t>
      </w:r>
    </w:p>
    <w:p>
      <w:r>
        <w:rPr>
          <w:rFonts w:ascii="Times New Roman" w:hAnsi="Times New Roman"/>
          <w:b/>
          <w:i w:val="0"/>
          <w:sz w:val="24"/>
        </w:rPr>
        <w:t xml:space="preserve">Keywords: </w:t>
      </w:r>
      <w:r>
        <w:rPr>
          <w:rFonts w:ascii="Times New Roman" w:hAnsi="Times New Roman"/>
          <w:b w:val="0"/>
          <w:i w:val="0"/>
          <w:sz w:val="24"/>
        </w:rPr>
        <w:t>Deep Learning, CNN, MobileNetV2, Transfer Learning, Road Damage Detection, Image Classification, Semantic Segmentation, Repair Priority Score</w:t>
      </w:r>
    </w:p>
    <w:p>
      <w:pPr>
        <w:spacing w:before="240" w:after="120"/>
        <w:jc w:val="left"/>
      </w:pPr>
      <w:r>
        <w:rPr>
          <w:rFonts w:ascii="Times New Roman" w:hAnsi="Times New Roman"/>
          <w:b/>
          <w:i w:val="0"/>
          <w:sz w:val="28"/>
        </w:rPr>
        <w:t>2. Introduction</w:t>
      </w:r>
    </w:p>
    <w:p>
      <w:pPr>
        <w:spacing w:before="240" w:after="120"/>
        <w:jc w:val="left"/>
      </w:pPr>
      <w:r>
        <w:rPr>
          <w:rFonts w:ascii="Times New Roman" w:hAnsi="Times New Roman"/>
          <w:b/>
          <w:i w:val="0"/>
          <w:sz w:val="24"/>
        </w:rPr>
        <w:t>2.1 Introduction</w:t>
      </w:r>
    </w:p>
    <w:p>
      <w:pPr>
        <w:spacing w:line="360" w:lineRule="auto" w:before="0" w:after="120"/>
        <w:jc w:val="both"/>
      </w:pPr>
      <w:r>
        <w:rPr>
          <w:rFonts w:ascii="Times New Roman" w:hAnsi="Times New Roman"/>
          <w:b w:val="0"/>
          <w:i w:val="0"/>
          <w:sz w:val="24"/>
        </w:rPr>
        <w:t>Road infrastructure is a vital asset for economic development, and India possesses the second largest road network in the world with over 63 lakh kilometers of road length. To manage this vast network, the National Highways Authority of India (NHAI) allocates an estimated Rs 25,000 crore as an annual maintenance budget. Road damage, such as potholes and cracks, directly causes vehicle damage, increases travel time, and leads to fatal accidents. Manual inspection by engineers is the current standard practice. However, this method is severely limited as an inspector can cover only 50 kilometers per day, making it slow, subjective, expensive, and inconsistent across different inspectors.</w:t>
      </w:r>
    </w:p>
    <w:p>
      <w:pPr>
        <w:spacing w:line="360" w:lineRule="auto" w:before="0" w:after="120"/>
        <w:jc w:val="both"/>
      </w:pPr>
      <w:r>
        <w:rPr>
          <w:rFonts w:ascii="Times New Roman" w:hAnsi="Times New Roman"/>
          <w:b w:val="0"/>
          <w:i w:val="0"/>
          <w:sz w:val="24"/>
        </w:rPr>
        <w:t>Deep learning and computer vision offer a reliable automated solution to this critical infrastructure problem. Smartphones mounted on everyday vehicles or dashcams can capture road images continuously as vehicles travel. Modern Convolutional Neural Networks (CNNs) process these images to successfully classify damage types and locate specific damage regions simultaneously. The proposed system analyzes road images in approximately 42 milliseconds on a GPU, effectively providing near real-time assessment capabilities. Integrated into an easy-to-use web dashboard, this system allows authorities to access actionable road condition intelligence without requiring any specialized networking or costly sensing hardware.</w:t>
      </w:r>
    </w:p>
    <w:p>
      <w:pPr>
        <w:spacing w:before="240" w:after="120"/>
        <w:jc w:val="left"/>
      </w:pPr>
      <w:r>
        <w:rPr>
          <w:rFonts w:ascii="Times New Roman" w:hAnsi="Times New Roman"/>
          <w:b/>
          <w:i w:val="0"/>
          <w:sz w:val="24"/>
        </w:rPr>
        <w:t>2.2 Motivation (Contribution of Project)</w:t>
      </w:r>
    </w:p>
    <w:p>
      <w:pPr>
        <w:spacing w:line="360" w:lineRule="auto" w:before="0" w:after="120"/>
        <w:jc w:val="both"/>
      </w:pPr>
      <w:r>
        <w:rPr>
          <w:rFonts w:ascii="Times New Roman" w:hAnsi="Times New Roman"/>
          <w:b w:val="0"/>
          <w:i w:val="0"/>
          <w:sz w:val="24"/>
        </w:rPr>
        <w:t>The primary motivation of this work is to bridge the significant gap between expensive, specialized road survey equipment and the urgent need for frequent, low-cost road condition monitoring. The key contributions of this project are: (i) developing a lightweight dual-head MobileNetV2 architecture that performs simultaneous classification and segmentation in a single forward pass, (ii) formulating a novel Repair Priority Score (RPS) that combines segmentation output with damage severity weights to give maintenance teams a single actionable urgency number, (iii) implementing a complete end-to-end deployment pipeline from model training to a public web application utilizing only free cloud platforms, and (iv) achieving an uncompromised 100% pothole recall — ensuring no pothole is ever missed — which represents the absolute most critical safety requirement for road damage detection operations.</w:t>
      </w:r>
    </w:p>
    <w:p>
      <w:pPr>
        <w:spacing w:before="240" w:after="120"/>
        <w:jc w:val="left"/>
      </w:pPr>
      <w:r>
        <w:rPr>
          <w:rFonts w:ascii="Times New Roman" w:hAnsi="Times New Roman"/>
          <w:b/>
          <w:i w:val="0"/>
          <w:sz w:val="28"/>
        </w:rPr>
        <w:t>3. Literature Review</w:t>
      </w:r>
    </w:p>
    <w:p>
      <w:pPr>
        <w:spacing w:line="360" w:lineRule="auto" w:before="0" w:after="120"/>
        <w:jc w:val="both"/>
      </w:pPr>
      <w:r>
        <w:rPr>
          <w:rFonts w:ascii="Times New Roman" w:hAnsi="Times New Roman"/>
          <w:b w:val="0"/>
          <w:i w:val="0"/>
          <w:sz w:val="24"/>
        </w:rPr>
        <w:t>Arya et al. [1] have introduced the RDD2022 multi-national road damage dataset collected from six countries using smartphone cameras. The dataset contains 47,000+ annotated images with four damage categories. The authors established a baseline detection accuracy of 76% using ResNet50 on the India and Japan subsets. However, their system only performs single-task classification and does not explicitly address the need for a unified maintenance urgency metric suitable for direct deployment on low-cost devices.</w:t>
      </w:r>
    </w:p>
    <w:p>
      <w:pPr>
        <w:spacing w:line="360" w:lineRule="auto" w:before="0" w:after="120"/>
        <w:jc w:val="both"/>
      </w:pPr>
      <w:r>
        <w:rPr>
          <w:rFonts w:ascii="Times New Roman" w:hAnsi="Times New Roman"/>
          <w:b w:val="0"/>
          <w:i w:val="0"/>
          <w:sz w:val="24"/>
        </w:rPr>
        <w:t>Sandler and Howard [2] have proposed the MobileNetV2 architecture using inverted residual blocks with linear bottlenecks and depthwise separable convolutions. The architecture achieves state-of-the-art accuracy while reducing computational cost by 8-9x compared to standard convolutions, making it highly suitable for resource-constrained deployment. While their architecture is highly efficient, applying it exclusively to classification tasks limits its overall utility for road inspection systems where precise spatial damage localization is equally critical.</w:t>
      </w:r>
    </w:p>
    <w:p>
      <w:pPr>
        <w:spacing w:line="360" w:lineRule="auto" w:before="0" w:after="120"/>
        <w:jc w:val="both"/>
      </w:pPr>
      <w:r>
        <w:rPr>
          <w:rFonts w:ascii="Times New Roman" w:hAnsi="Times New Roman"/>
          <w:b w:val="0"/>
          <w:i w:val="0"/>
          <w:sz w:val="24"/>
        </w:rPr>
        <w:t>Zhang et al. [3] have proposed a road crack detection system using FCN-based semantic segmentation with skip connections for extracting multi-scale features. The system achieved 82% IoU on the CrackForest dataset but required high-end GPU hardware for real-time inference. Although this approach yields very accurate pixel-level masks, it is computationally prohibitive for widespread deployment on consumer-grade hardware and lacks a holistic image-level context evaluation.</w:t>
      </w:r>
    </w:p>
    <w:p>
      <w:pPr>
        <w:spacing w:line="360" w:lineRule="auto" w:before="0" w:after="120"/>
        <w:jc w:val="both"/>
      </w:pPr>
      <w:r>
        <w:rPr>
          <w:rFonts w:ascii="Times New Roman" w:hAnsi="Times New Roman"/>
          <w:b w:val="0"/>
          <w:i w:val="0"/>
          <w:sz w:val="24"/>
        </w:rPr>
        <w:t>Kumar and Singh [4] have presented a transfer learning approach for pothole detection on Indian roads using VGG16 as a backbone with a custom classification head. They achieved 79% accuracy on a private Indian road dataset but completely lacked pixel-level localization capability and a working deployment implementation. Furthermore, relying on heavy backbones like VGG16 makes such systems unsuitable for edge computation devices and fails to offer the combined benefit of dual-task learning.</w:t>
      </w:r>
    </w:p>
    <w:p>
      <w:pPr>
        <w:spacing w:line="360" w:lineRule="auto" w:before="0" w:after="120"/>
        <w:jc w:val="both"/>
      </w:pPr>
      <w:r>
        <w:rPr>
          <w:rFonts w:ascii="Times New Roman" w:hAnsi="Times New Roman"/>
          <w:b w:val="0"/>
          <w:i w:val="0"/>
          <w:sz w:val="24"/>
        </w:rPr>
        <w:t>In summary, none of the existing systems combine a lightweight architecture, dual-task learning for simultaneous classification and segmentation computation, structured Repair Priority Score (RPS) determination, and a fully cost-free public deployment pipeline into a single unified application framework.</w:t>
      </w:r>
    </w:p>
    <w:p>
      <w:pPr>
        <w:spacing w:before="240" w:after="120"/>
        <w:jc w:val="left"/>
      </w:pPr>
      <w:r>
        <w:rPr>
          <w:rFonts w:ascii="Times New Roman" w:hAnsi="Times New Roman"/>
          <w:b/>
          <w:i w:val="0"/>
          <w:sz w:val="28"/>
        </w:rPr>
        <w:t>4. Methodology — Workflow</w:t>
      </w:r>
    </w:p>
    <w:p>
      <w:pPr>
        <w:spacing w:before="240" w:after="120"/>
        <w:jc w:val="left"/>
      </w:pPr>
      <w:r>
        <w:rPr>
          <w:rFonts w:ascii="Times New Roman" w:hAnsi="Times New Roman"/>
          <w:b/>
          <w:i w:val="0"/>
          <w:sz w:val="24"/>
        </w:rPr>
        <w:t>4.1 System Overview</w:t>
      </w:r>
    </w:p>
    <w:p>
      <w:pPr>
        <w:spacing w:line="360" w:lineRule="auto" w:before="0" w:after="120"/>
        <w:jc w:val="both"/>
      </w:pPr>
      <w:r>
        <w:rPr>
          <w:rFonts w:ascii="Times New Roman" w:hAnsi="Times New Roman"/>
          <w:b w:val="0"/>
          <w:i w:val="0"/>
          <w:sz w:val="24"/>
        </w:rPr>
        <w:t>The proposed system follows a comprehensive five-stage processing pipeline as detailed in the architectural workflow diagram. By passing incoming imagery through structural pre-processing, it efficiently queries the dual-head network and applies deterministic severity metrics before user transmission.</w:t>
      </w:r>
    </w:p>
    <w:p>
      <w:pPr>
        <w:spacing w:line="240" w:lineRule="auto" w:before="240" w:after="240"/>
        <w:jc w:val="center"/>
      </w:pPr>
      <w:r>
        <w:rPr>
          <w:rFonts w:ascii="Courier New" w:hAnsi="Courier New"/>
          <w:b w:val="0"/>
          <w:i w:val="0"/>
          <w:sz w:val="20"/>
        </w:rPr>
        <w:t>┌─────────────────────────────────────────────────────────┐</w:t>
        <w:br/>
      </w:r>
      <w:r>
        <w:rPr>
          <w:rFonts w:ascii="Courier New" w:hAnsi="Courier New"/>
          <w:b w:val="0"/>
          <w:i w:val="0"/>
          <w:sz w:val="20"/>
        </w:rPr>
        <w:t>│                    SYSTEM WORKFLOW                      │</w:t>
        <w:br/>
      </w:r>
      <w:r>
        <w:rPr>
          <w:rFonts w:ascii="Courier New" w:hAnsi="Courier New"/>
          <w:b w:val="0"/>
          <w:i w:val="0"/>
          <w:sz w:val="20"/>
        </w:rPr>
        <w:t>├─────────────────────────────────────────────────────────┤</w:t>
        <w:br/>
      </w:r>
      <w:r>
        <w:rPr>
          <w:rFonts w:ascii="Courier New" w:hAnsi="Courier New"/>
          <w:b w:val="0"/>
          <w:i w:val="0"/>
          <w:sz w:val="20"/>
        </w:rPr>
        <w:t>│                                                         │</w:t>
        <w:br/>
      </w:r>
      <w:r>
        <w:rPr>
          <w:rFonts w:ascii="Courier New" w:hAnsi="Courier New"/>
          <w:b w:val="0"/>
          <w:i w:val="0"/>
          <w:sz w:val="20"/>
        </w:rPr>
        <w:t>│  [Road Image Input]                                     │</w:t>
        <w:br/>
      </w:r>
      <w:r>
        <w:rPr>
          <w:rFonts w:ascii="Courier New" w:hAnsi="Courier New"/>
          <w:b w:val="0"/>
          <w:i w:val="0"/>
          <w:sz w:val="20"/>
        </w:rPr>
        <w:t>│         ↓                                               │</w:t>
        <w:br/>
      </w:r>
      <w:r>
        <w:rPr>
          <w:rFonts w:ascii="Courier New" w:hAnsi="Courier New"/>
          <w:b w:val="0"/>
          <w:i w:val="0"/>
          <w:sz w:val="20"/>
        </w:rPr>
        <w:t>│  [Preprocessing: Resize 160×160, preprocess_input]      │</w:t>
        <w:br/>
      </w:r>
      <w:r>
        <w:rPr>
          <w:rFonts w:ascii="Courier New" w:hAnsi="Courier New"/>
          <w:b w:val="0"/>
          <w:i w:val="0"/>
          <w:sz w:val="20"/>
        </w:rPr>
        <w:t>│         ↓                                               │</w:t>
        <w:br/>
      </w:r>
      <w:r>
        <w:rPr>
          <w:rFonts w:ascii="Courier New" w:hAnsi="Courier New"/>
          <w:b w:val="0"/>
          <w:i w:val="0"/>
          <w:sz w:val="20"/>
        </w:rPr>
        <w:t>│  [MobileNetV2 Backbone: Feature Extraction]             │</w:t>
        <w:br/>
      </w:r>
      <w:r>
        <w:rPr>
          <w:rFonts w:ascii="Courier New" w:hAnsi="Courier New"/>
          <w:b w:val="0"/>
          <w:i w:val="0"/>
          <w:sz w:val="20"/>
        </w:rPr>
        <w:t>│         ↓                    ↓                          │</w:t>
        <w:br/>
      </w:r>
      <w:r>
        <w:rPr>
          <w:rFonts w:ascii="Courier New" w:hAnsi="Courier New"/>
          <w:b w:val="0"/>
          <w:i w:val="0"/>
          <w:sz w:val="20"/>
        </w:rPr>
        <w:t>│  [Classification Head]  [Segmentation Head]             │</w:t>
        <w:br/>
      </w:r>
      <w:r>
        <w:rPr>
          <w:rFonts w:ascii="Courier New" w:hAnsi="Courier New"/>
          <w:b w:val="0"/>
          <w:i w:val="0"/>
          <w:sz w:val="20"/>
        </w:rPr>
        <w:t>│  GAP+GMP→Dense→Softmax  U-Net Decoder→Softmax           │</w:t>
        <w:br/>
      </w:r>
      <w:r>
        <w:rPr>
          <w:rFonts w:ascii="Courier New" w:hAnsi="Courier New"/>
          <w:b w:val="0"/>
          <w:i w:val="0"/>
          <w:sz w:val="20"/>
        </w:rPr>
        <w:t>│         ↓                    ↓                          │</w:t>
        <w:br/>
      </w:r>
      <w:r>
        <w:rPr>
          <w:rFonts w:ascii="Courier New" w:hAnsi="Courier New"/>
          <w:b w:val="0"/>
          <w:i w:val="0"/>
          <w:sz w:val="20"/>
        </w:rPr>
        <w:t>│  [Class: Normal/         [Pixel Map: Background/        │</w:t>
        <w:br/>
      </w:r>
      <w:r>
        <w:rPr>
          <w:rFonts w:ascii="Courier New" w:hAnsi="Courier New"/>
          <w:b w:val="0"/>
          <w:i w:val="0"/>
          <w:sz w:val="20"/>
        </w:rPr>
        <w:t>│   Crack/Pothole]          Hairline/Alligator/Pothole]   │</w:t>
        <w:br/>
      </w:r>
      <w:r>
        <w:rPr>
          <w:rFonts w:ascii="Courier New" w:hAnsi="Courier New"/>
          <w:b w:val="0"/>
          <w:i w:val="0"/>
          <w:sz w:val="20"/>
        </w:rPr>
        <w:t>│         ↓                    ↓                          │</w:t>
        <w:br/>
      </w:r>
      <w:r>
        <w:rPr>
          <w:rFonts w:ascii="Courier New" w:hAnsi="Courier New"/>
          <w:b w:val="0"/>
          <w:i w:val="0"/>
          <w:sz w:val="20"/>
        </w:rPr>
        <w:t>│  [Confidence Score]     [Coverage Percentages]          │</w:t>
        <w:br/>
      </w:r>
      <w:r>
        <w:rPr>
          <w:rFonts w:ascii="Courier New" w:hAnsi="Courier New"/>
          <w:b w:val="0"/>
          <w:i w:val="0"/>
          <w:sz w:val="20"/>
        </w:rPr>
        <w:t>│         └──────────┬─────────┘                          │</w:t>
        <w:br/>
      </w:r>
      <w:r>
        <w:rPr>
          <w:rFonts w:ascii="Courier New" w:hAnsi="Courier New"/>
          <w:b w:val="0"/>
          <w:i w:val="0"/>
          <w:sz w:val="20"/>
        </w:rPr>
        <w:t>│                    ↓                                    │</w:t>
        <w:br/>
      </w:r>
      <w:r>
        <w:rPr>
          <w:rFonts w:ascii="Courier New" w:hAnsi="Courier New"/>
          <w:b w:val="0"/>
          <w:i w:val="0"/>
          <w:sz w:val="20"/>
        </w:rPr>
        <w:t>│         [Repair Priority Score (RPS)]                   │</w:t>
        <w:br/>
      </w:r>
      <w:r>
        <w:rPr>
          <w:rFonts w:ascii="Courier New" w:hAnsi="Courier New"/>
          <w:b w:val="0"/>
          <w:i w:val="0"/>
          <w:sz w:val="20"/>
        </w:rPr>
        <w:t>│                    ↓                                    │</w:t>
        <w:br/>
      </w:r>
      <w:r>
        <w:rPr>
          <w:rFonts w:ascii="Courier New" w:hAnsi="Courier New"/>
          <w:b w:val="0"/>
          <w:i w:val="0"/>
          <w:sz w:val="20"/>
        </w:rPr>
        <w:t>│         [JSON Response to Dashboard]                    │</w:t>
        <w:br/>
      </w:r>
      <w:r>
        <w:rPr>
          <w:rFonts w:ascii="Courier New" w:hAnsi="Courier New"/>
          <w:b w:val="0"/>
          <w:i w:val="0"/>
          <w:sz w:val="20"/>
        </w:rPr>
        <w:t>└─────────────────────────────────────────────────────────┘</w:t>
      </w:r>
    </w:p>
    <w:p>
      <w:pPr>
        <w:spacing w:before="240" w:after="120"/>
        <w:jc w:val="left"/>
      </w:pPr>
      <w:r>
        <w:rPr>
          <w:rFonts w:ascii="Times New Roman" w:hAnsi="Times New Roman"/>
          <w:b/>
          <w:i w:val="0"/>
          <w:sz w:val="24"/>
        </w:rPr>
        <w:t>4.2 Dataset Preparation</w:t>
      </w:r>
    </w:p>
    <w:p>
      <w:pPr>
        <w:spacing w:line="360" w:lineRule="auto" w:before="0" w:after="120"/>
        <w:jc w:val="both"/>
      </w:pPr>
      <w:r>
        <w:rPr>
          <w:rFonts w:ascii="Times New Roman" w:hAnsi="Times New Roman"/>
          <w:b w:val="0"/>
          <w:i w:val="0"/>
          <w:sz w:val="24"/>
        </w:rPr>
        <w:t>The RDD2022 dataset was selected because it perfectly encapsulates regional challenges unique to the subcontinent and Asia. After organizing the selected India and Japan subsets, the corpus was divided using an 80/20 train-to-validation split utilizing stratified sampling to appropriately handle natural imbalances across categories. Table 1 enumerates this distribution.</w:t>
      </w:r>
    </w:p>
    <w:p>
      <w:pPr>
        <w:spacing w:before="240" w:after="80"/>
        <w:jc w:val="center"/>
      </w:pPr>
      <w:r>
        <w:rPr>
          <w:rFonts w:ascii="Times New Roman" w:hAnsi="Times New Roman"/>
          <w:b w:val="0"/>
          <w:i w:val="0"/>
          <w:sz w:val="24"/>
        </w:rPr>
        <w:t>Table 1: RDD2022 Dataset Class Distribution</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vAlign w:val="center"/>
          </w:tcPr>
          <w:p>
            <w:pPr>
              <w:jc w:val="center"/>
            </w:pPr>
            <w:r>
              <w:rPr>
                <w:rFonts w:ascii="Times New Roman" w:hAnsi="Times New Roman"/>
                <w:b/>
                <w:sz w:val="24"/>
              </w:rPr>
              <w:t>Class</w:t>
            </w:r>
          </w:p>
        </w:tc>
        <w:tc>
          <w:tcPr>
            <w:tcW w:type="dxa" w:w="2166"/>
            <w:vAlign w:val="center"/>
          </w:tcPr>
          <w:p>
            <w:pPr>
              <w:jc w:val="center"/>
            </w:pPr>
            <w:r>
              <w:rPr>
                <w:rFonts w:ascii="Times New Roman" w:hAnsi="Times New Roman"/>
                <w:b/>
                <w:sz w:val="24"/>
              </w:rPr>
              <w:t>Images</w:t>
            </w:r>
          </w:p>
        </w:tc>
        <w:tc>
          <w:tcPr>
            <w:tcW w:type="dxa" w:w="2166"/>
            <w:vAlign w:val="center"/>
          </w:tcPr>
          <w:p>
            <w:pPr>
              <w:jc w:val="center"/>
            </w:pPr>
            <w:r>
              <w:rPr>
                <w:rFonts w:ascii="Times New Roman" w:hAnsi="Times New Roman"/>
                <w:b/>
                <w:sz w:val="24"/>
              </w:rPr>
              <w:t>Percentage</w:t>
            </w:r>
          </w:p>
        </w:tc>
        <w:tc>
          <w:tcPr>
            <w:tcW w:type="dxa" w:w="2166"/>
            <w:vAlign w:val="center"/>
          </w:tcPr>
          <w:p>
            <w:pPr>
              <w:jc w:val="center"/>
            </w:pPr>
            <w:r>
              <w:rPr>
                <w:rFonts w:ascii="Times New Roman" w:hAnsi="Times New Roman"/>
                <w:b/>
                <w:sz w:val="24"/>
              </w:rPr>
              <w:t>Split (80/20)</w:t>
            </w:r>
          </w:p>
        </w:tc>
      </w:tr>
      <w:tr>
        <w:tc>
          <w:tcPr>
            <w:tcW w:type="dxa" w:w="2166"/>
            <w:vAlign w:val="center"/>
          </w:tcPr>
          <w:p>
            <w:pPr>
              <w:jc w:val="center"/>
            </w:pPr>
            <w:r>
              <w:rPr>
                <w:rFonts w:ascii="Times New Roman" w:hAnsi="Times New Roman"/>
                <w:sz w:val="24"/>
              </w:rPr>
              <w:t>Normal</w:t>
            </w:r>
          </w:p>
        </w:tc>
        <w:tc>
          <w:tcPr>
            <w:tcW w:type="dxa" w:w="2166"/>
            <w:vAlign w:val="center"/>
          </w:tcPr>
          <w:p>
            <w:pPr>
              <w:jc w:val="center"/>
            </w:pPr>
            <w:r>
              <w:rPr>
                <w:rFonts w:ascii="Times New Roman" w:hAnsi="Times New Roman"/>
                <w:sz w:val="24"/>
              </w:rPr>
              <w:t>7,329</w:t>
            </w:r>
          </w:p>
        </w:tc>
        <w:tc>
          <w:tcPr>
            <w:tcW w:type="dxa" w:w="2166"/>
            <w:vAlign w:val="center"/>
          </w:tcPr>
          <w:p>
            <w:pPr>
              <w:jc w:val="center"/>
            </w:pPr>
            <w:r>
              <w:rPr>
                <w:rFonts w:ascii="Times New Roman" w:hAnsi="Times New Roman"/>
                <w:sz w:val="24"/>
              </w:rPr>
              <w:t>36.8%</w:t>
            </w:r>
          </w:p>
        </w:tc>
        <w:tc>
          <w:tcPr>
            <w:tcW w:type="dxa" w:w="2166"/>
            <w:vAlign w:val="center"/>
          </w:tcPr>
          <w:p>
            <w:pPr>
              <w:jc w:val="center"/>
            </w:pPr>
            <w:r>
              <w:rPr>
                <w:rFonts w:ascii="Times New Roman" w:hAnsi="Times New Roman"/>
                <w:sz w:val="24"/>
              </w:rPr>
              <w:t>Train: 5,863 / Val: 1,466</w:t>
            </w:r>
          </w:p>
        </w:tc>
      </w:tr>
      <w:tr>
        <w:tc>
          <w:tcPr>
            <w:tcW w:type="dxa" w:w="2166"/>
            <w:vAlign w:val="center"/>
          </w:tcPr>
          <w:p>
            <w:pPr>
              <w:jc w:val="center"/>
            </w:pPr>
            <w:r>
              <w:rPr>
                <w:rFonts w:ascii="Times New Roman" w:hAnsi="Times New Roman"/>
                <w:sz w:val="24"/>
              </w:rPr>
              <w:t>Crack</w:t>
            </w:r>
          </w:p>
        </w:tc>
        <w:tc>
          <w:tcPr>
            <w:tcW w:type="dxa" w:w="2166"/>
            <w:vAlign w:val="center"/>
          </w:tcPr>
          <w:p>
            <w:pPr>
              <w:jc w:val="center"/>
            </w:pPr>
            <w:r>
              <w:rPr>
                <w:rFonts w:ascii="Times New Roman" w:hAnsi="Times New Roman"/>
                <w:sz w:val="24"/>
              </w:rPr>
              <w:t>8,203</w:t>
            </w:r>
          </w:p>
        </w:tc>
        <w:tc>
          <w:tcPr>
            <w:tcW w:type="dxa" w:w="2166"/>
            <w:vAlign w:val="center"/>
          </w:tcPr>
          <w:p>
            <w:pPr>
              <w:jc w:val="center"/>
            </w:pPr>
            <w:r>
              <w:rPr>
                <w:rFonts w:ascii="Times New Roman" w:hAnsi="Times New Roman"/>
                <w:sz w:val="24"/>
              </w:rPr>
              <w:t>41.2%</w:t>
            </w:r>
          </w:p>
        </w:tc>
        <w:tc>
          <w:tcPr>
            <w:tcW w:type="dxa" w:w="2166"/>
            <w:vAlign w:val="center"/>
          </w:tcPr>
          <w:p>
            <w:pPr>
              <w:jc w:val="center"/>
            </w:pPr>
            <w:r>
              <w:rPr>
                <w:rFonts w:ascii="Times New Roman" w:hAnsi="Times New Roman"/>
                <w:sz w:val="24"/>
              </w:rPr>
              <w:t>Train: 6,562 / Val: 1,641</w:t>
            </w:r>
          </w:p>
        </w:tc>
      </w:tr>
      <w:tr>
        <w:tc>
          <w:tcPr>
            <w:tcW w:type="dxa" w:w="2166"/>
            <w:vAlign w:val="center"/>
          </w:tcPr>
          <w:p>
            <w:pPr>
              <w:jc w:val="center"/>
            </w:pPr>
            <w:r>
              <w:rPr>
                <w:rFonts w:ascii="Times New Roman" w:hAnsi="Times New Roman"/>
                <w:sz w:val="24"/>
              </w:rPr>
              <w:t>Pothole</w:t>
            </w:r>
          </w:p>
        </w:tc>
        <w:tc>
          <w:tcPr>
            <w:tcW w:type="dxa" w:w="2166"/>
            <w:vAlign w:val="center"/>
          </w:tcPr>
          <w:p>
            <w:pPr>
              <w:jc w:val="center"/>
            </w:pPr>
            <w:r>
              <w:rPr>
                <w:rFonts w:ascii="Times New Roman" w:hAnsi="Times New Roman"/>
                <w:sz w:val="24"/>
              </w:rPr>
              <w:t>4,360</w:t>
            </w:r>
          </w:p>
        </w:tc>
        <w:tc>
          <w:tcPr>
            <w:tcW w:type="dxa" w:w="2166"/>
            <w:vAlign w:val="center"/>
          </w:tcPr>
          <w:p>
            <w:pPr>
              <w:jc w:val="center"/>
            </w:pPr>
            <w:r>
              <w:rPr>
                <w:rFonts w:ascii="Times New Roman" w:hAnsi="Times New Roman"/>
                <w:sz w:val="24"/>
              </w:rPr>
              <w:t>21.9%</w:t>
            </w:r>
          </w:p>
        </w:tc>
        <w:tc>
          <w:tcPr>
            <w:tcW w:type="dxa" w:w="2166"/>
            <w:vAlign w:val="center"/>
          </w:tcPr>
          <w:p>
            <w:pPr>
              <w:jc w:val="center"/>
            </w:pPr>
            <w:r>
              <w:rPr>
                <w:rFonts w:ascii="Times New Roman" w:hAnsi="Times New Roman"/>
                <w:sz w:val="24"/>
              </w:rPr>
              <w:t>Train: 3,488 / Val: 872</w:t>
            </w:r>
          </w:p>
        </w:tc>
      </w:tr>
      <w:tr>
        <w:tc>
          <w:tcPr>
            <w:tcW w:type="dxa" w:w="2166"/>
            <w:vAlign w:val="center"/>
          </w:tcPr>
          <w:p>
            <w:pPr>
              <w:jc w:val="center"/>
            </w:pPr>
            <w:r>
              <w:rPr>
                <w:rFonts w:ascii="Times New Roman" w:hAnsi="Times New Roman"/>
                <w:sz w:val="24"/>
              </w:rPr>
              <w:t>Total</w:t>
            </w:r>
          </w:p>
        </w:tc>
        <w:tc>
          <w:tcPr>
            <w:tcW w:type="dxa" w:w="2166"/>
            <w:vAlign w:val="center"/>
          </w:tcPr>
          <w:p>
            <w:pPr>
              <w:jc w:val="center"/>
            </w:pPr>
            <w:r>
              <w:rPr>
                <w:rFonts w:ascii="Times New Roman" w:hAnsi="Times New Roman"/>
                <w:sz w:val="24"/>
              </w:rPr>
              <w:t>19,892</w:t>
            </w:r>
          </w:p>
        </w:tc>
        <w:tc>
          <w:tcPr>
            <w:tcW w:type="dxa" w:w="2166"/>
            <w:vAlign w:val="center"/>
          </w:tcPr>
          <w:p>
            <w:pPr>
              <w:jc w:val="center"/>
            </w:pPr>
            <w:r>
              <w:rPr>
                <w:rFonts w:ascii="Times New Roman" w:hAnsi="Times New Roman"/>
                <w:sz w:val="24"/>
              </w:rPr>
              <w:t>100%</w:t>
            </w:r>
          </w:p>
        </w:tc>
        <w:tc>
          <w:tcPr>
            <w:tcW w:type="dxa" w:w="2166"/>
            <w:vAlign w:val="center"/>
          </w:tcPr>
          <w:p>
            <w:pPr>
              <w:jc w:val="center"/>
            </w:pPr>
            <w:r>
              <w:rPr>
                <w:rFonts w:ascii="Times New Roman" w:hAnsi="Times New Roman"/>
                <w:sz w:val="24"/>
              </w:rPr>
              <w:t>Train: 15,913 / Val: 3,979</w:t>
            </w:r>
          </w:p>
        </w:tc>
      </w:tr>
    </w:tbl>
    <w:p/>
    <w:p>
      <w:pPr>
        <w:spacing w:before="240" w:after="120"/>
        <w:jc w:val="left"/>
      </w:pPr>
      <w:r>
        <w:rPr>
          <w:rFonts w:ascii="Times New Roman" w:hAnsi="Times New Roman"/>
          <w:b/>
          <w:i w:val="0"/>
          <w:sz w:val="24"/>
        </w:rPr>
        <w:t>4.3 Data Preprocessing and Augmentation</w:t>
      </w:r>
    </w:p>
    <w:p>
      <w:pPr>
        <w:spacing w:line="360" w:lineRule="auto" w:before="0" w:after="120"/>
        <w:jc w:val="both"/>
      </w:pPr>
      <w:r>
        <w:rPr>
          <w:rFonts w:ascii="Times New Roman" w:hAnsi="Times New Roman"/>
          <w:b w:val="0"/>
          <w:i w:val="0"/>
          <w:sz w:val="24"/>
        </w:rPr>
        <w:t>Images were rigidly resized to 160×160 dimensions before being subjected to MobileNetV2's dedicated preprocess_input transformation function, which properly centers floating pixel values to a bounded [-1, 1] range. A simple division by 255.0 yields a strictly positive [0, 1] range which drastically degrades deep feature representations learned during initial ImageNet training phases. Table 2 delineates the stochastic augmentations applied strictly during the training phase.</w:t>
      </w:r>
    </w:p>
    <w:p>
      <w:pPr>
        <w:spacing w:before="240" w:after="80"/>
        <w:jc w:val="center"/>
      </w:pPr>
      <w:r>
        <w:rPr>
          <w:rFonts w:ascii="Times New Roman" w:hAnsi="Times New Roman"/>
          <w:b w:val="0"/>
          <w:i w:val="0"/>
          <w:sz w:val="24"/>
        </w:rPr>
        <w:t>Table 2: Data Augmentation Techniques</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tcPr>
          <w:p>
            <w:pPr>
              <w:jc w:val="center"/>
            </w:pPr>
            <w:r>
              <w:rPr>
                <w:rFonts w:ascii="Times New Roman" w:hAnsi="Times New Roman"/>
                <w:b/>
                <w:sz w:val="24"/>
              </w:rPr>
              <w:t>Technique</w:t>
            </w:r>
          </w:p>
        </w:tc>
        <w:tc>
          <w:tcPr>
            <w:tcW w:type="dxa" w:w="2889"/>
            <w:vAlign w:val="center"/>
          </w:tcPr>
          <w:p>
            <w:pPr>
              <w:jc w:val="center"/>
            </w:pPr>
            <w:r>
              <w:rPr>
                <w:rFonts w:ascii="Times New Roman" w:hAnsi="Times New Roman"/>
                <w:b/>
                <w:sz w:val="24"/>
              </w:rPr>
              <w:t>Parameter</w:t>
            </w:r>
          </w:p>
        </w:tc>
        <w:tc>
          <w:tcPr>
            <w:tcW w:type="dxa" w:w="2889"/>
            <w:vAlign w:val="center"/>
          </w:tcPr>
          <w:p>
            <w:pPr>
              <w:jc w:val="center"/>
            </w:pPr>
            <w:r>
              <w:rPr>
                <w:rFonts w:ascii="Times New Roman" w:hAnsi="Times New Roman"/>
                <w:b/>
                <w:sz w:val="24"/>
              </w:rPr>
              <w:t>Purpose</w:t>
            </w:r>
          </w:p>
        </w:tc>
      </w:tr>
      <w:tr>
        <w:tc>
          <w:tcPr>
            <w:tcW w:type="dxa" w:w="2889"/>
            <w:vAlign w:val="center"/>
          </w:tcPr>
          <w:p>
            <w:pPr>
              <w:jc w:val="center"/>
            </w:pPr>
            <w:r>
              <w:rPr>
                <w:rFonts w:ascii="Times New Roman" w:hAnsi="Times New Roman"/>
                <w:sz w:val="24"/>
              </w:rPr>
              <w:t>RandomBrightnessContrast</w:t>
            </w:r>
          </w:p>
        </w:tc>
        <w:tc>
          <w:tcPr>
            <w:tcW w:type="dxa" w:w="2889"/>
            <w:vAlign w:val="center"/>
          </w:tcPr>
          <w:p>
            <w:pPr>
              <w:jc w:val="center"/>
            </w:pPr>
            <w:r>
              <w:rPr>
                <w:rFonts w:ascii="Times New Roman" w:hAnsi="Times New Roman"/>
                <w:sz w:val="24"/>
              </w:rPr>
              <w:t>±35%, p=0.7</w:t>
            </w:r>
          </w:p>
        </w:tc>
        <w:tc>
          <w:tcPr>
            <w:tcW w:type="dxa" w:w="2889"/>
            <w:vAlign w:val="center"/>
          </w:tcPr>
          <w:p>
            <w:pPr>
              <w:jc w:val="center"/>
            </w:pPr>
            <w:r>
              <w:rPr>
                <w:rFonts w:ascii="Times New Roman" w:hAnsi="Times New Roman"/>
                <w:sz w:val="24"/>
              </w:rPr>
              <w:t>Lighting variation</w:t>
            </w:r>
          </w:p>
        </w:tc>
      </w:tr>
      <w:tr>
        <w:tc>
          <w:tcPr>
            <w:tcW w:type="dxa" w:w="2889"/>
            <w:vAlign w:val="center"/>
          </w:tcPr>
          <w:p>
            <w:pPr>
              <w:jc w:val="center"/>
            </w:pPr>
            <w:r>
              <w:rPr>
                <w:rFonts w:ascii="Times New Roman" w:hAnsi="Times New Roman"/>
                <w:sz w:val="24"/>
              </w:rPr>
              <w:t>MotionBlur</w:t>
            </w:r>
          </w:p>
        </w:tc>
        <w:tc>
          <w:tcPr>
            <w:tcW w:type="dxa" w:w="2889"/>
            <w:vAlign w:val="center"/>
          </w:tcPr>
          <w:p>
            <w:pPr>
              <w:jc w:val="center"/>
            </w:pPr>
            <w:r>
              <w:rPr>
                <w:rFonts w:ascii="Times New Roman" w:hAnsi="Times New Roman"/>
                <w:sz w:val="24"/>
              </w:rPr>
              <w:t>limit=7, p=0.4</w:t>
            </w:r>
          </w:p>
        </w:tc>
        <w:tc>
          <w:tcPr>
            <w:tcW w:type="dxa" w:w="2889"/>
            <w:vAlign w:val="center"/>
          </w:tcPr>
          <w:p>
            <w:pPr>
              <w:jc w:val="center"/>
            </w:pPr>
            <w:r>
              <w:rPr>
                <w:rFonts w:ascii="Times New Roman" w:hAnsi="Times New Roman"/>
                <w:sz w:val="24"/>
              </w:rPr>
              <w:t>Camera shake simulation</w:t>
            </w:r>
          </w:p>
        </w:tc>
      </w:tr>
      <w:tr>
        <w:tc>
          <w:tcPr>
            <w:tcW w:type="dxa" w:w="2889"/>
            <w:vAlign w:val="center"/>
          </w:tcPr>
          <w:p>
            <w:pPr>
              <w:jc w:val="center"/>
            </w:pPr>
            <w:r>
              <w:rPr>
                <w:rFonts w:ascii="Times New Roman" w:hAnsi="Times New Roman"/>
                <w:sz w:val="24"/>
              </w:rPr>
              <w:t>GaussianNoise</w:t>
            </w:r>
          </w:p>
        </w:tc>
        <w:tc>
          <w:tcPr>
            <w:tcW w:type="dxa" w:w="2889"/>
            <w:vAlign w:val="center"/>
          </w:tcPr>
          <w:p>
            <w:pPr>
              <w:jc w:val="center"/>
            </w:pPr>
            <w:r>
              <w:rPr>
                <w:rFonts w:ascii="Times New Roman" w:hAnsi="Times New Roman"/>
                <w:sz w:val="24"/>
              </w:rPr>
              <w:t>var=10-80</w:t>
            </w:r>
          </w:p>
        </w:tc>
        <w:tc>
          <w:tcPr>
            <w:tcW w:type="dxa" w:w="2889"/>
            <w:vAlign w:val="center"/>
          </w:tcPr>
          <w:p>
            <w:pPr>
              <w:jc w:val="center"/>
            </w:pPr>
            <w:r>
              <w:rPr>
                <w:rFonts w:ascii="Times New Roman" w:hAnsi="Times New Roman"/>
                <w:sz w:val="24"/>
              </w:rPr>
              <w:t>Sensor noise robustness</w:t>
            </w:r>
          </w:p>
        </w:tc>
      </w:tr>
      <w:tr>
        <w:tc>
          <w:tcPr>
            <w:tcW w:type="dxa" w:w="2889"/>
            <w:vAlign w:val="center"/>
          </w:tcPr>
          <w:p>
            <w:pPr>
              <w:jc w:val="center"/>
            </w:pPr>
            <w:r>
              <w:rPr>
                <w:rFonts w:ascii="Times New Roman" w:hAnsi="Times New Roman"/>
                <w:sz w:val="24"/>
              </w:rPr>
              <w:t>HorizontalFlip</w:t>
            </w:r>
          </w:p>
        </w:tc>
        <w:tc>
          <w:tcPr>
            <w:tcW w:type="dxa" w:w="2889"/>
            <w:vAlign w:val="center"/>
          </w:tcPr>
          <w:p>
            <w:pPr>
              <w:jc w:val="center"/>
            </w:pPr>
            <w:r>
              <w:rPr>
                <w:rFonts w:ascii="Times New Roman" w:hAnsi="Times New Roman"/>
                <w:sz w:val="24"/>
              </w:rPr>
              <w:t>p=0.5</w:t>
            </w:r>
          </w:p>
        </w:tc>
        <w:tc>
          <w:tcPr>
            <w:tcW w:type="dxa" w:w="2889"/>
            <w:vAlign w:val="center"/>
          </w:tcPr>
          <w:p>
            <w:pPr>
              <w:jc w:val="center"/>
            </w:pPr>
            <w:r>
              <w:rPr>
                <w:rFonts w:ascii="Times New Roman" w:hAnsi="Times New Roman"/>
                <w:sz w:val="24"/>
              </w:rPr>
              <w:t>Mirror invariance</w:t>
            </w:r>
          </w:p>
        </w:tc>
      </w:tr>
      <w:tr>
        <w:tc>
          <w:tcPr>
            <w:tcW w:type="dxa" w:w="2889"/>
            <w:vAlign w:val="center"/>
          </w:tcPr>
          <w:p>
            <w:pPr>
              <w:jc w:val="center"/>
            </w:pPr>
            <w:r>
              <w:rPr>
                <w:rFonts w:ascii="Times New Roman" w:hAnsi="Times New Roman"/>
                <w:sz w:val="24"/>
              </w:rPr>
              <w:t>ShiftScaleRotate</w:t>
            </w:r>
          </w:p>
        </w:tc>
        <w:tc>
          <w:tcPr>
            <w:tcW w:type="dxa" w:w="2889"/>
            <w:vAlign w:val="center"/>
          </w:tcPr>
          <w:p>
            <w:pPr>
              <w:jc w:val="center"/>
            </w:pPr>
            <w:r>
              <w:rPr>
                <w:rFonts w:ascii="Times New Roman" w:hAnsi="Times New Roman"/>
                <w:sz w:val="24"/>
              </w:rPr>
              <w:t>rot=±20°, p=0.6</w:t>
            </w:r>
          </w:p>
        </w:tc>
        <w:tc>
          <w:tcPr>
            <w:tcW w:type="dxa" w:w="2889"/>
            <w:vAlign w:val="center"/>
          </w:tcPr>
          <w:p>
            <w:pPr>
              <w:jc w:val="center"/>
            </w:pPr>
            <w:r>
              <w:rPr>
                <w:rFonts w:ascii="Times New Roman" w:hAnsi="Times New Roman"/>
                <w:sz w:val="24"/>
              </w:rPr>
              <w:t>Position variation</w:t>
            </w:r>
          </w:p>
        </w:tc>
      </w:tr>
      <w:tr>
        <w:tc>
          <w:tcPr>
            <w:tcW w:type="dxa" w:w="2889"/>
            <w:vAlign w:val="center"/>
          </w:tcPr>
          <w:p>
            <w:pPr>
              <w:jc w:val="center"/>
            </w:pPr>
            <w:r>
              <w:rPr>
                <w:rFonts w:ascii="Times New Roman" w:hAnsi="Times New Roman"/>
                <w:sz w:val="24"/>
              </w:rPr>
              <w:t>RandomShadow/Fog</w:t>
            </w:r>
          </w:p>
        </w:tc>
        <w:tc>
          <w:tcPr>
            <w:tcW w:type="dxa" w:w="2889"/>
            <w:vAlign w:val="center"/>
          </w:tcPr>
          <w:p>
            <w:pPr>
              <w:jc w:val="center"/>
            </w:pPr>
            <w:r>
              <w:rPr>
                <w:rFonts w:ascii="Times New Roman" w:hAnsi="Times New Roman"/>
                <w:sz w:val="24"/>
              </w:rPr>
              <w:t>p=0.4</w:t>
            </w:r>
          </w:p>
        </w:tc>
        <w:tc>
          <w:tcPr>
            <w:tcW w:type="dxa" w:w="2889"/>
            <w:vAlign w:val="center"/>
          </w:tcPr>
          <w:p>
            <w:pPr>
              <w:jc w:val="center"/>
            </w:pPr>
            <w:r>
              <w:rPr>
                <w:rFonts w:ascii="Times New Roman" w:hAnsi="Times New Roman"/>
                <w:sz w:val="24"/>
              </w:rPr>
              <w:t>Weather simulation</w:t>
            </w:r>
          </w:p>
        </w:tc>
      </w:tr>
      <w:tr>
        <w:tc>
          <w:tcPr>
            <w:tcW w:type="dxa" w:w="2889"/>
            <w:vAlign w:val="center"/>
          </w:tcPr>
          <w:p>
            <w:pPr>
              <w:jc w:val="center"/>
            </w:pPr>
            <w:r>
              <w:rPr>
                <w:rFonts w:ascii="Times New Roman" w:hAnsi="Times New Roman"/>
                <w:sz w:val="24"/>
              </w:rPr>
              <w:t>CoarseDropout</w:t>
            </w:r>
          </w:p>
        </w:tc>
        <w:tc>
          <w:tcPr>
            <w:tcW w:type="dxa" w:w="2889"/>
            <w:vAlign w:val="center"/>
          </w:tcPr>
          <w:p>
            <w:pPr>
              <w:jc w:val="center"/>
            </w:pPr>
            <w:r>
              <w:rPr>
                <w:rFonts w:ascii="Times New Roman" w:hAnsi="Times New Roman"/>
                <w:sz w:val="24"/>
              </w:rPr>
              <w:t>8 holes, 20×20</w:t>
            </w:r>
          </w:p>
        </w:tc>
        <w:tc>
          <w:tcPr>
            <w:tcW w:type="dxa" w:w="2889"/>
            <w:vAlign w:val="center"/>
          </w:tcPr>
          <w:p>
            <w:pPr>
              <w:jc w:val="center"/>
            </w:pPr>
            <w:r>
              <w:rPr>
                <w:rFonts w:ascii="Times New Roman" w:hAnsi="Times New Roman"/>
                <w:sz w:val="24"/>
              </w:rPr>
              <w:t>Occlusion robustness</w:t>
            </w:r>
          </w:p>
        </w:tc>
      </w:tr>
    </w:tbl>
    <w:p/>
    <w:p>
      <w:pPr>
        <w:spacing w:before="240" w:after="120"/>
        <w:jc w:val="left"/>
      </w:pPr>
      <w:r>
        <w:rPr>
          <w:rFonts w:ascii="Times New Roman" w:hAnsi="Times New Roman"/>
          <w:b/>
          <w:i w:val="0"/>
          <w:sz w:val="24"/>
        </w:rPr>
        <w:t>4.4 Model Architecture</w:t>
      </w:r>
    </w:p>
    <w:p>
      <w:pPr>
        <w:spacing w:line="360" w:lineRule="auto" w:before="0" w:after="120"/>
        <w:jc w:val="both"/>
      </w:pPr>
      <w:r>
        <w:rPr>
          <w:rFonts w:ascii="Times New Roman" w:hAnsi="Times New Roman"/>
          <w:b w:val="0"/>
          <w:i w:val="0"/>
          <w:sz w:val="24"/>
        </w:rPr>
        <w:t>The model centers on a MobileNetV2 feature extractor consisting of 154 layers and 2.2 million parameters. It heavily utilizes depthwise separable convolutions which factorize a standard convolution into a spatial depthwise convolution and a 1x1 pointwise projection. This mathematical decomposition achieves a staggering 8-9x reduction in required multiplication operations. The classification head integrates parallel Global Average Pooling and Global Max Pooling tunnels to compress textural and anomaly indicators into dense dense classification layers. The complimentary segmentation head employs a four-block U-Net styled decoder utilizing residual skip connections transferred from the deep backbone for multi-scale granular reconstructions.</w:t>
      </w:r>
    </w:p>
    <w:p>
      <w:pPr>
        <w:spacing w:before="240" w:after="80"/>
        <w:jc w:val="center"/>
      </w:pPr>
      <w:r>
        <w:rPr>
          <w:rFonts w:ascii="Times New Roman" w:hAnsi="Times New Roman"/>
          <w:b w:val="0"/>
          <w:i w:val="0"/>
          <w:sz w:val="24"/>
        </w:rPr>
        <w:t>Table 3: Model Architecture Details</w:t>
      </w:r>
    </w:p>
    <w:tbl>
      <w:tblPr>
        <w:tblStyle w:val="TableGrid"/>
        <w:tblW w:type="auto" w:w="0"/>
        <w:jc w:val="center"/>
        <w:tblLook w:firstColumn="1" w:firstRow="1" w:lastColumn="0" w:lastRow="0" w:noHBand="0" w:noVBand="1" w:val="04A0"/>
      </w:tblPr>
      <w:tblGrid>
        <w:gridCol w:w="4333"/>
        <w:gridCol w:w="4333"/>
      </w:tblGrid>
      <w:tr>
        <w:tc>
          <w:tcPr>
            <w:tcW w:type="dxa" w:w="4333"/>
            <w:vAlign w:val="center"/>
          </w:tcPr>
          <w:p>
            <w:pPr>
              <w:jc w:val="center"/>
            </w:pPr>
            <w:r>
              <w:rPr>
                <w:rFonts w:ascii="Times New Roman" w:hAnsi="Times New Roman"/>
                <w:b/>
                <w:sz w:val="24"/>
              </w:rPr>
              <w:t>Component</w:t>
            </w:r>
          </w:p>
        </w:tc>
        <w:tc>
          <w:tcPr>
            <w:tcW w:type="dxa" w:w="4333"/>
            <w:vAlign w:val="center"/>
          </w:tcPr>
          <w:p>
            <w:pPr>
              <w:jc w:val="center"/>
            </w:pPr>
            <w:r>
              <w:rPr>
                <w:rFonts w:ascii="Times New Roman" w:hAnsi="Times New Roman"/>
                <w:b/>
                <w:sz w:val="24"/>
              </w:rPr>
              <w:t>Details</w:t>
            </w:r>
          </w:p>
        </w:tc>
      </w:tr>
      <w:tr>
        <w:tc>
          <w:tcPr>
            <w:tcW w:type="dxa" w:w="4333"/>
            <w:vAlign w:val="center"/>
          </w:tcPr>
          <w:p>
            <w:pPr>
              <w:jc w:val="center"/>
            </w:pPr>
            <w:r>
              <w:rPr>
                <w:rFonts w:ascii="Times New Roman" w:hAnsi="Times New Roman"/>
                <w:sz w:val="24"/>
              </w:rPr>
              <w:t>Backbone</w:t>
            </w:r>
          </w:p>
        </w:tc>
        <w:tc>
          <w:tcPr>
            <w:tcW w:type="dxa" w:w="4333"/>
            <w:vAlign w:val="center"/>
          </w:tcPr>
          <w:p>
            <w:pPr>
              <w:jc w:val="center"/>
            </w:pPr>
            <w:r>
              <w:rPr>
                <w:rFonts w:ascii="Times New Roman" w:hAnsi="Times New Roman"/>
                <w:sz w:val="24"/>
              </w:rPr>
              <w:t>MobileNetV2, 154 layers, pretrained ImageNet</w:t>
            </w:r>
          </w:p>
        </w:tc>
      </w:tr>
      <w:tr>
        <w:tc>
          <w:tcPr>
            <w:tcW w:type="dxa" w:w="4333"/>
            <w:vAlign w:val="center"/>
          </w:tcPr>
          <w:p>
            <w:pPr>
              <w:jc w:val="center"/>
            </w:pPr>
            <w:r>
              <w:rPr>
                <w:rFonts w:ascii="Times New Roman" w:hAnsi="Times New Roman"/>
                <w:sz w:val="24"/>
              </w:rPr>
              <w:t>Input Size</w:t>
            </w:r>
          </w:p>
        </w:tc>
        <w:tc>
          <w:tcPr>
            <w:tcW w:type="dxa" w:w="4333"/>
            <w:vAlign w:val="center"/>
          </w:tcPr>
          <w:p>
            <w:pPr>
              <w:jc w:val="center"/>
            </w:pPr>
            <w:r>
              <w:rPr>
                <w:rFonts w:ascii="Times New Roman" w:hAnsi="Times New Roman"/>
                <w:sz w:val="24"/>
              </w:rPr>
              <w:t>160 × 160 × 3 pixels</w:t>
            </w:r>
          </w:p>
        </w:tc>
      </w:tr>
      <w:tr>
        <w:tc>
          <w:tcPr>
            <w:tcW w:type="dxa" w:w="4333"/>
            <w:vAlign w:val="center"/>
          </w:tcPr>
          <w:p>
            <w:pPr>
              <w:jc w:val="center"/>
            </w:pPr>
            <w:r>
              <w:rPr>
                <w:rFonts w:ascii="Times New Roman" w:hAnsi="Times New Roman"/>
                <w:sz w:val="24"/>
              </w:rPr>
              <w:t>Classification Head</w:t>
            </w:r>
          </w:p>
        </w:tc>
        <w:tc>
          <w:tcPr>
            <w:tcW w:type="dxa" w:w="4333"/>
            <w:vAlign w:val="center"/>
          </w:tcPr>
          <w:p>
            <w:pPr>
              <w:jc w:val="center"/>
            </w:pPr>
            <w:r>
              <w:rPr>
                <w:rFonts w:ascii="Times New Roman" w:hAnsi="Times New Roman"/>
                <w:sz w:val="24"/>
              </w:rPr>
              <w:t>GAP+GMP → Dense(512→256→128→3), Softmax</w:t>
            </w:r>
          </w:p>
        </w:tc>
      </w:tr>
      <w:tr>
        <w:tc>
          <w:tcPr>
            <w:tcW w:type="dxa" w:w="4333"/>
            <w:vAlign w:val="center"/>
          </w:tcPr>
          <w:p>
            <w:pPr>
              <w:jc w:val="center"/>
            </w:pPr>
            <w:r>
              <w:rPr>
                <w:rFonts w:ascii="Times New Roman" w:hAnsi="Times New Roman"/>
                <w:sz w:val="24"/>
              </w:rPr>
              <w:t>Segmentation Head</w:t>
            </w:r>
          </w:p>
        </w:tc>
        <w:tc>
          <w:tcPr>
            <w:tcW w:type="dxa" w:w="4333"/>
            <w:vAlign w:val="center"/>
          </w:tcPr>
          <w:p>
            <w:pPr>
              <w:jc w:val="center"/>
            </w:pPr>
            <w:r>
              <w:rPr>
                <w:rFonts w:ascii="Times New Roman" w:hAnsi="Times New Roman"/>
                <w:sz w:val="24"/>
              </w:rPr>
              <w:t>U-Net Decoder, 4 decoder blocks, Softmax</w:t>
            </w:r>
          </w:p>
        </w:tc>
      </w:tr>
      <w:tr>
        <w:tc>
          <w:tcPr>
            <w:tcW w:type="dxa" w:w="4333"/>
            <w:vAlign w:val="center"/>
          </w:tcPr>
          <w:p>
            <w:pPr>
              <w:jc w:val="center"/>
            </w:pPr>
            <w:r>
              <w:rPr>
                <w:rFonts w:ascii="Times New Roman" w:hAnsi="Times New Roman"/>
                <w:sz w:val="24"/>
              </w:rPr>
              <w:t>Total Parameters</w:t>
            </w:r>
          </w:p>
        </w:tc>
        <w:tc>
          <w:tcPr>
            <w:tcW w:type="dxa" w:w="4333"/>
            <w:vAlign w:val="center"/>
          </w:tcPr>
          <w:p>
            <w:pPr>
              <w:jc w:val="center"/>
            </w:pPr>
            <w:r>
              <w:rPr>
                <w:rFonts w:ascii="Times New Roman" w:hAnsi="Times New Roman"/>
                <w:sz w:val="24"/>
              </w:rPr>
              <w:t>~3.5 million trainable</w:t>
            </w:r>
          </w:p>
        </w:tc>
      </w:tr>
      <w:tr>
        <w:tc>
          <w:tcPr>
            <w:tcW w:type="dxa" w:w="4333"/>
            <w:vAlign w:val="center"/>
          </w:tcPr>
          <w:p>
            <w:pPr>
              <w:jc w:val="center"/>
            </w:pPr>
            <w:r>
              <w:rPr>
                <w:rFonts w:ascii="Times New Roman" w:hAnsi="Times New Roman"/>
                <w:sz w:val="24"/>
              </w:rPr>
              <w:t>Output 1</w:t>
            </w:r>
          </w:p>
        </w:tc>
        <w:tc>
          <w:tcPr>
            <w:tcW w:type="dxa" w:w="4333"/>
            <w:vAlign w:val="center"/>
          </w:tcPr>
          <w:p>
            <w:pPr>
              <w:jc w:val="center"/>
            </w:pPr>
            <w:r>
              <w:rPr>
                <w:rFonts w:ascii="Times New Roman" w:hAnsi="Times New Roman"/>
                <w:sz w:val="24"/>
              </w:rPr>
              <w:t>Class probabilities (batch, 3)</w:t>
            </w:r>
          </w:p>
        </w:tc>
      </w:tr>
      <w:tr>
        <w:tc>
          <w:tcPr>
            <w:tcW w:type="dxa" w:w="4333"/>
            <w:vAlign w:val="center"/>
          </w:tcPr>
          <w:p>
            <w:pPr>
              <w:jc w:val="center"/>
            </w:pPr>
            <w:r>
              <w:rPr>
                <w:rFonts w:ascii="Times New Roman" w:hAnsi="Times New Roman"/>
                <w:sz w:val="24"/>
              </w:rPr>
              <w:t>Output 2</w:t>
            </w:r>
          </w:p>
        </w:tc>
        <w:tc>
          <w:tcPr>
            <w:tcW w:type="dxa" w:w="4333"/>
            <w:vAlign w:val="center"/>
          </w:tcPr>
          <w:p>
            <w:pPr>
              <w:jc w:val="center"/>
            </w:pPr>
            <w:r>
              <w:rPr>
                <w:rFonts w:ascii="Times New Roman" w:hAnsi="Times New Roman"/>
                <w:sz w:val="24"/>
              </w:rPr>
              <w:t>Pixel segmentation map (batch, 160, 160, 4)</w:t>
            </w:r>
          </w:p>
        </w:tc>
      </w:tr>
    </w:tbl>
    <w:p/>
    <w:p>
      <w:pPr>
        <w:spacing w:before="240" w:after="120"/>
        <w:jc w:val="left"/>
      </w:pPr>
      <w:r>
        <w:rPr>
          <w:rFonts w:ascii="Times New Roman" w:hAnsi="Times New Roman"/>
          <w:b/>
          <w:i w:val="0"/>
          <w:sz w:val="24"/>
        </w:rPr>
        <w:t>4.5 Training Strategy</w:t>
      </w:r>
    </w:p>
    <w:p>
      <w:pPr>
        <w:spacing w:line="360" w:lineRule="auto" w:before="0" w:after="120"/>
        <w:jc w:val="both"/>
      </w:pPr>
      <w:r>
        <w:rPr>
          <w:rFonts w:ascii="Times New Roman" w:hAnsi="Times New Roman"/>
          <w:b w:val="0"/>
          <w:i w:val="0"/>
          <w:sz w:val="24"/>
        </w:rPr>
        <w:t>Training was strategically cordoned into two discrete execution stages to prevent large randomized gradients from catastrophic divergence with the pretrained backbone features. Stage 1 completely froze the backbone while solely educating the specific heads at a high learning rate. Upon convergence, Stage 2 conditionally thawed the top 80 layers incorporating a heavily depressed learning rate to softly tune high-order convolutions into the road infrastructure domain.</w:t>
      </w:r>
    </w:p>
    <w:p>
      <w:pPr>
        <w:spacing w:before="240" w:after="80"/>
        <w:jc w:val="center"/>
      </w:pPr>
      <w:r>
        <w:rPr>
          <w:rFonts w:ascii="Times New Roman" w:hAnsi="Times New Roman"/>
          <w:b w:val="0"/>
          <w:i w:val="0"/>
          <w:sz w:val="24"/>
        </w:rPr>
        <w:t>Table 4: Two-Stage Training Configurations</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tcPr>
          <w:p>
            <w:pPr>
              <w:jc w:val="center"/>
            </w:pPr>
            <w:r>
              <w:rPr>
                <w:rFonts w:ascii="Times New Roman" w:hAnsi="Times New Roman"/>
                <w:b/>
                <w:sz w:val="24"/>
              </w:rPr>
              <w:t>Parameter</w:t>
            </w:r>
          </w:p>
        </w:tc>
        <w:tc>
          <w:tcPr>
            <w:tcW w:type="dxa" w:w="2889"/>
            <w:vAlign w:val="center"/>
          </w:tcPr>
          <w:p>
            <w:pPr>
              <w:jc w:val="center"/>
            </w:pPr>
            <w:r>
              <w:rPr>
                <w:rFonts w:ascii="Times New Roman" w:hAnsi="Times New Roman"/>
                <w:b/>
                <w:sz w:val="24"/>
              </w:rPr>
              <w:t>Stage 1</w:t>
            </w:r>
          </w:p>
        </w:tc>
        <w:tc>
          <w:tcPr>
            <w:tcW w:type="dxa" w:w="2889"/>
            <w:vAlign w:val="center"/>
          </w:tcPr>
          <w:p>
            <w:pPr>
              <w:jc w:val="center"/>
            </w:pPr>
            <w:r>
              <w:rPr>
                <w:rFonts w:ascii="Times New Roman" w:hAnsi="Times New Roman"/>
                <w:b/>
                <w:sz w:val="24"/>
              </w:rPr>
              <w:t>Stage 2</w:t>
            </w:r>
          </w:p>
        </w:tc>
      </w:tr>
      <w:tr>
        <w:tc>
          <w:tcPr>
            <w:tcW w:type="dxa" w:w="2889"/>
            <w:vAlign w:val="center"/>
          </w:tcPr>
          <w:p>
            <w:pPr>
              <w:jc w:val="center"/>
            </w:pPr>
            <w:r>
              <w:rPr>
                <w:rFonts w:ascii="Times New Roman" w:hAnsi="Times New Roman"/>
                <w:sz w:val="24"/>
              </w:rPr>
              <w:t>Backbone</w:t>
            </w:r>
          </w:p>
        </w:tc>
        <w:tc>
          <w:tcPr>
            <w:tcW w:type="dxa" w:w="2889"/>
            <w:vAlign w:val="center"/>
          </w:tcPr>
          <w:p>
            <w:pPr>
              <w:jc w:val="center"/>
            </w:pPr>
            <w:r>
              <w:rPr>
                <w:rFonts w:ascii="Times New Roman" w:hAnsi="Times New Roman"/>
                <w:sz w:val="24"/>
              </w:rPr>
              <w:t>Frozen</w:t>
            </w:r>
          </w:p>
        </w:tc>
        <w:tc>
          <w:tcPr>
            <w:tcW w:type="dxa" w:w="2889"/>
            <w:vAlign w:val="center"/>
          </w:tcPr>
          <w:p>
            <w:pPr>
              <w:jc w:val="center"/>
            </w:pPr>
            <w:r>
              <w:rPr>
                <w:rFonts w:ascii="Times New Roman" w:hAnsi="Times New Roman"/>
                <w:sz w:val="24"/>
              </w:rPr>
              <w:t>Top 80 layers unfrozen</w:t>
            </w:r>
          </w:p>
        </w:tc>
      </w:tr>
      <w:tr>
        <w:tc>
          <w:tcPr>
            <w:tcW w:type="dxa" w:w="2889"/>
            <w:vAlign w:val="center"/>
          </w:tcPr>
          <w:p>
            <w:pPr>
              <w:jc w:val="center"/>
            </w:pPr>
            <w:r>
              <w:rPr>
                <w:rFonts w:ascii="Times New Roman" w:hAnsi="Times New Roman"/>
                <w:sz w:val="24"/>
              </w:rPr>
              <w:t>Learning Rate</w:t>
            </w:r>
          </w:p>
        </w:tc>
        <w:tc>
          <w:tcPr>
            <w:tcW w:type="dxa" w:w="2889"/>
            <w:vAlign w:val="center"/>
          </w:tcPr>
          <w:p>
            <w:pPr>
              <w:jc w:val="center"/>
            </w:pPr>
            <w:r>
              <w:rPr>
                <w:rFonts w:ascii="Times New Roman" w:hAnsi="Times New Roman"/>
                <w:sz w:val="24"/>
              </w:rPr>
              <w:t>1 × 10⁻³</w:t>
            </w:r>
          </w:p>
        </w:tc>
        <w:tc>
          <w:tcPr>
            <w:tcW w:type="dxa" w:w="2889"/>
            <w:vAlign w:val="center"/>
          </w:tcPr>
          <w:p>
            <w:pPr>
              <w:jc w:val="center"/>
            </w:pPr>
            <w:r>
              <w:rPr>
                <w:rFonts w:ascii="Times New Roman" w:hAnsi="Times New Roman"/>
                <w:sz w:val="24"/>
              </w:rPr>
              <w:t>3 × 10⁻⁵</w:t>
            </w:r>
          </w:p>
        </w:tc>
      </w:tr>
      <w:tr>
        <w:tc>
          <w:tcPr>
            <w:tcW w:type="dxa" w:w="2889"/>
            <w:vAlign w:val="center"/>
          </w:tcPr>
          <w:p>
            <w:pPr>
              <w:jc w:val="center"/>
            </w:pPr>
            <w:r>
              <w:rPr>
                <w:rFonts w:ascii="Times New Roman" w:hAnsi="Times New Roman"/>
                <w:sz w:val="24"/>
              </w:rPr>
              <w:t>Epochs</w:t>
            </w:r>
          </w:p>
        </w:tc>
        <w:tc>
          <w:tcPr>
            <w:tcW w:type="dxa" w:w="2889"/>
            <w:vAlign w:val="center"/>
          </w:tcPr>
          <w:p>
            <w:pPr>
              <w:jc w:val="center"/>
            </w:pPr>
            <w:r>
              <w:rPr>
                <w:rFonts w:ascii="Times New Roman" w:hAnsi="Times New Roman"/>
                <w:sz w:val="24"/>
              </w:rPr>
              <w:t>25</w:t>
            </w:r>
          </w:p>
        </w:tc>
        <w:tc>
          <w:tcPr>
            <w:tcW w:type="dxa" w:w="2889"/>
            <w:vAlign w:val="center"/>
          </w:tcPr>
          <w:p>
            <w:pPr>
              <w:jc w:val="center"/>
            </w:pPr>
            <w:r>
              <w:rPr>
                <w:rFonts w:ascii="Times New Roman" w:hAnsi="Times New Roman"/>
                <w:sz w:val="24"/>
              </w:rPr>
              <w:t>25</w:t>
            </w:r>
          </w:p>
        </w:tc>
      </w:tr>
      <w:tr>
        <w:tc>
          <w:tcPr>
            <w:tcW w:type="dxa" w:w="2889"/>
            <w:vAlign w:val="center"/>
          </w:tcPr>
          <w:p>
            <w:pPr>
              <w:jc w:val="center"/>
            </w:pPr>
            <w:r>
              <w:rPr>
                <w:rFonts w:ascii="Times New Roman" w:hAnsi="Times New Roman"/>
                <w:sz w:val="24"/>
              </w:rPr>
              <w:t>Batch Size</w:t>
            </w:r>
          </w:p>
        </w:tc>
        <w:tc>
          <w:tcPr>
            <w:tcW w:type="dxa" w:w="2889"/>
            <w:vAlign w:val="center"/>
          </w:tcPr>
          <w:p>
            <w:pPr>
              <w:jc w:val="center"/>
            </w:pPr>
            <w:r>
              <w:rPr>
                <w:rFonts w:ascii="Times New Roman" w:hAnsi="Times New Roman"/>
                <w:sz w:val="24"/>
              </w:rPr>
              <w:t>8 (effective 16)</w:t>
            </w:r>
          </w:p>
        </w:tc>
        <w:tc>
          <w:tcPr>
            <w:tcW w:type="dxa" w:w="2889"/>
            <w:vAlign w:val="center"/>
          </w:tcPr>
          <w:p>
            <w:pPr>
              <w:jc w:val="center"/>
            </w:pPr>
            <w:r>
              <w:rPr>
                <w:rFonts w:ascii="Times New Roman" w:hAnsi="Times New Roman"/>
                <w:sz w:val="24"/>
              </w:rPr>
              <w:t>8 (effective 16)</w:t>
            </w:r>
          </w:p>
        </w:tc>
      </w:tr>
      <w:tr>
        <w:tc>
          <w:tcPr>
            <w:tcW w:type="dxa" w:w="2889"/>
            <w:vAlign w:val="center"/>
          </w:tcPr>
          <w:p>
            <w:pPr>
              <w:jc w:val="center"/>
            </w:pPr>
            <w:r>
              <w:rPr>
                <w:rFonts w:ascii="Times New Roman" w:hAnsi="Times New Roman"/>
                <w:sz w:val="24"/>
              </w:rPr>
              <w:t>Loss Weight cls:seg</w:t>
            </w:r>
          </w:p>
        </w:tc>
        <w:tc>
          <w:tcPr>
            <w:tcW w:type="dxa" w:w="2889"/>
            <w:vAlign w:val="center"/>
          </w:tcPr>
          <w:p>
            <w:pPr>
              <w:jc w:val="center"/>
            </w:pPr>
            <w:r>
              <w:rPr>
                <w:rFonts w:ascii="Times New Roman" w:hAnsi="Times New Roman"/>
                <w:sz w:val="24"/>
              </w:rPr>
              <w:t>2.0 : 1.0</w:t>
            </w:r>
          </w:p>
        </w:tc>
        <w:tc>
          <w:tcPr>
            <w:tcW w:type="dxa" w:w="2889"/>
            <w:vAlign w:val="center"/>
          </w:tcPr>
          <w:p>
            <w:pPr>
              <w:jc w:val="center"/>
            </w:pPr>
            <w:r>
              <w:rPr>
                <w:rFonts w:ascii="Times New Roman" w:hAnsi="Times New Roman"/>
                <w:sz w:val="24"/>
              </w:rPr>
              <w:t>5.0 : 1.0</w:t>
            </w:r>
          </w:p>
        </w:tc>
      </w:tr>
      <w:tr>
        <w:tc>
          <w:tcPr>
            <w:tcW w:type="dxa" w:w="2889"/>
            <w:vAlign w:val="center"/>
          </w:tcPr>
          <w:p>
            <w:pPr>
              <w:jc w:val="center"/>
            </w:pPr>
            <w:r>
              <w:rPr>
                <w:rFonts w:ascii="Times New Roman" w:hAnsi="Times New Roman"/>
                <w:sz w:val="24"/>
              </w:rPr>
              <w:t>Optimizer</w:t>
            </w:r>
          </w:p>
        </w:tc>
        <w:tc>
          <w:tcPr>
            <w:tcW w:type="dxa" w:w="2889"/>
            <w:vAlign w:val="center"/>
          </w:tcPr>
          <w:p>
            <w:pPr>
              <w:jc w:val="center"/>
            </w:pPr>
            <w:r>
              <w:rPr>
                <w:rFonts w:ascii="Times New Roman" w:hAnsi="Times New Roman"/>
                <w:sz w:val="24"/>
              </w:rPr>
              <w:t>Adam</w:t>
            </w:r>
          </w:p>
        </w:tc>
        <w:tc>
          <w:tcPr>
            <w:tcW w:type="dxa" w:w="2889"/>
            <w:vAlign w:val="center"/>
          </w:tcPr>
          <w:p>
            <w:pPr>
              <w:jc w:val="center"/>
            </w:pPr>
            <w:r>
              <w:rPr>
                <w:rFonts w:ascii="Times New Roman" w:hAnsi="Times New Roman"/>
                <w:sz w:val="24"/>
              </w:rPr>
              <w:t>Adam</w:t>
            </w:r>
          </w:p>
        </w:tc>
      </w:tr>
      <w:tr>
        <w:tc>
          <w:tcPr>
            <w:tcW w:type="dxa" w:w="2889"/>
            <w:vAlign w:val="center"/>
          </w:tcPr>
          <w:p>
            <w:pPr>
              <w:jc w:val="center"/>
            </w:pPr>
            <w:r>
              <w:rPr>
                <w:rFonts w:ascii="Times New Roman" w:hAnsi="Times New Roman"/>
                <w:sz w:val="24"/>
              </w:rPr>
              <w:t>EarlyStopping patience</w:t>
            </w:r>
          </w:p>
        </w:tc>
        <w:tc>
          <w:tcPr>
            <w:tcW w:type="dxa" w:w="2889"/>
            <w:vAlign w:val="center"/>
          </w:tcPr>
          <w:p>
            <w:pPr>
              <w:jc w:val="center"/>
            </w:pPr>
            <w:r>
              <w:rPr>
                <w:rFonts w:ascii="Times New Roman" w:hAnsi="Times New Roman"/>
                <w:sz w:val="24"/>
              </w:rPr>
              <w:t>12</w:t>
            </w:r>
          </w:p>
        </w:tc>
        <w:tc>
          <w:tcPr>
            <w:tcW w:type="dxa" w:w="2889"/>
            <w:vAlign w:val="center"/>
          </w:tcPr>
          <w:p>
            <w:pPr>
              <w:jc w:val="center"/>
            </w:pPr>
            <w:r>
              <w:rPr>
                <w:rFonts w:ascii="Times New Roman" w:hAnsi="Times New Roman"/>
                <w:sz w:val="24"/>
              </w:rPr>
              <w:t>10</w:t>
            </w:r>
          </w:p>
        </w:tc>
      </w:tr>
    </w:tbl>
    <w:p/>
    <w:p>
      <w:pPr>
        <w:spacing w:before="240" w:after="120"/>
        <w:jc w:val="left"/>
      </w:pPr>
      <w:r>
        <w:rPr>
          <w:rFonts w:ascii="Times New Roman" w:hAnsi="Times New Roman"/>
          <w:b/>
          <w:i w:val="0"/>
          <w:sz w:val="24"/>
        </w:rPr>
        <w:t>4.6 Repair Priority Score</w:t>
      </w:r>
    </w:p>
    <w:p>
      <w:pPr>
        <w:spacing w:line="360" w:lineRule="auto" w:before="0" w:after="120"/>
        <w:jc w:val="both"/>
      </w:pPr>
      <w:r>
        <w:rPr>
          <w:rFonts w:ascii="Times New Roman" w:hAnsi="Times New Roman"/>
          <w:b w:val="0"/>
          <w:i w:val="0"/>
          <w:sz w:val="24"/>
        </w:rPr>
        <w:t>A weighted deterministic formulation termed the Repair Priority Score (RPS) directly maps the segmentation area percentages to a universally comparable scale representing urgent ground reality. The formula is expressed below:</w:t>
      </w:r>
    </w:p>
    <w:p>
      <w:pPr>
        <w:spacing w:line="360" w:lineRule="auto"/>
        <w:jc w:val="center"/>
      </w:pPr>
      <w:r>
        <w:rPr>
          <w:rFonts w:ascii="Times New Roman" w:hAnsi="Times New Roman"/>
          <w:b w:val="0"/>
          <w:i/>
          <w:sz w:val="24"/>
        </w:rPr>
        <w:t>RPS = Σ (pixel_count[i] × weight[i]) / total_pixels</w:t>
      </w:r>
    </w:p>
    <w:p>
      <w:pPr>
        <w:spacing w:line="360" w:lineRule="auto" w:before="0" w:after="120"/>
        <w:jc w:val="both"/>
      </w:pPr>
      <w:r>
        <w:rPr>
          <w:rFonts w:ascii="Times New Roman" w:hAnsi="Times New Roman"/>
          <w:b w:val="0"/>
          <w:i w:val="0"/>
          <w:sz w:val="24"/>
        </w:rPr>
        <w:t>where weights are established sequentially based on infrastructural damage mechanics: w₀ = 0.0 (Background), w₁ = 1.0 (Hairline Crack), w₂ = 2.5 (Alligator Crack), and w₃ = 5.0 (Deep Pothole). The resulting decimal translates into strict threshold categorical classifications where scores failing to exceed 0.3 are deemed Low Priority, scores traversing 0.3-0.6 represent Medium Priority, and anything surpassing 0.6 triggers an immediate High Priority response.</w:t>
      </w:r>
    </w:p>
    <w:p>
      <w:pPr>
        <w:spacing w:before="240" w:after="120"/>
        <w:jc w:val="left"/>
      </w:pPr>
      <w:r>
        <w:rPr>
          <w:rFonts w:ascii="Times New Roman" w:hAnsi="Times New Roman"/>
          <w:b/>
          <w:i w:val="0"/>
          <w:sz w:val="28"/>
        </w:rPr>
        <w:t>5. Results and Analysis</w:t>
      </w:r>
    </w:p>
    <w:p>
      <w:pPr>
        <w:spacing w:before="240" w:after="120"/>
        <w:jc w:val="left"/>
      </w:pPr>
      <w:r>
        <w:rPr>
          <w:rFonts w:ascii="Times New Roman" w:hAnsi="Times New Roman"/>
          <w:b/>
          <w:i w:val="0"/>
          <w:sz w:val="24"/>
        </w:rPr>
        <w:t>5.1 Experimental Setup</w:t>
      </w:r>
    </w:p>
    <w:p>
      <w:pPr>
        <w:spacing w:line="360" w:lineRule="auto" w:before="0" w:after="120"/>
        <w:jc w:val="both"/>
      </w:pPr>
      <w:r>
        <w:rPr>
          <w:rFonts w:ascii="Times New Roman" w:hAnsi="Times New Roman"/>
          <w:b w:val="0"/>
          <w:i w:val="0"/>
          <w:sz w:val="24"/>
        </w:rPr>
        <w:t>All experiments were conducted on a local workstation equipped with an NVIDIA RTX 2050 GPU utilizing 4GB of video memory constructed upon the Ampere architecture encompassing compute capability 8.6. Mixed precision training (float16) was exclusively enabled across frameworks to reduce memory consumption footprint iteratively by 2× and vastly increase tensor operation speed seamlessly. In light of tight hardware limits, gradient accumulation executing over 2 steps simulated an effective batch size of 16 comprehensively while using strictly only 8 physical images per actual graphical forward pass.</w:t>
      </w:r>
    </w:p>
    <w:p>
      <w:pPr>
        <w:spacing w:before="240" w:after="80"/>
        <w:jc w:val="center"/>
      </w:pPr>
      <w:r>
        <w:rPr>
          <w:rFonts w:ascii="Times New Roman" w:hAnsi="Times New Roman"/>
          <w:b w:val="0"/>
          <w:i w:val="0"/>
          <w:sz w:val="24"/>
        </w:rPr>
        <w:t>Table 5: Experimental Environment and Specifications</w:t>
      </w:r>
    </w:p>
    <w:tbl>
      <w:tblPr>
        <w:tblStyle w:val="TableGrid"/>
        <w:tblW w:type="auto" w:w="0"/>
        <w:jc w:val="center"/>
        <w:tblLook w:firstColumn="1" w:firstRow="1" w:lastColumn="0" w:lastRow="0" w:noHBand="0" w:noVBand="1" w:val="04A0"/>
      </w:tblPr>
      <w:tblGrid>
        <w:gridCol w:w="4333"/>
        <w:gridCol w:w="4333"/>
      </w:tblGrid>
      <w:tr>
        <w:tc>
          <w:tcPr>
            <w:tcW w:type="dxa" w:w="4333"/>
            <w:vAlign w:val="center"/>
          </w:tcPr>
          <w:p>
            <w:pPr>
              <w:jc w:val="center"/>
            </w:pPr>
            <w:r>
              <w:rPr>
                <w:rFonts w:ascii="Times New Roman" w:hAnsi="Times New Roman"/>
                <w:b/>
                <w:sz w:val="24"/>
              </w:rPr>
              <w:t>Component</w:t>
            </w:r>
          </w:p>
        </w:tc>
        <w:tc>
          <w:tcPr>
            <w:tcW w:type="dxa" w:w="4333"/>
            <w:vAlign w:val="center"/>
          </w:tcPr>
          <w:p>
            <w:pPr>
              <w:jc w:val="center"/>
            </w:pPr>
            <w:r>
              <w:rPr>
                <w:rFonts w:ascii="Times New Roman" w:hAnsi="Times New Roman"/>
                <w:b/>
                <w:sz w:val="24"/>
              </w:rPr>
              <w:t>Specification</w:t>
            </w:r>
          </w:p>
        </w:tc>
      </w:tr>
      <w:tr>
        <w:tc>
          <w:tcPr>
            <w:tcW w:type="dxa" w:w="4333"/>
            <w:vAlign w:val="center"/>
          </w:tcPr>
          <w:p>
            <w:pPr>
              <w:jc w:val="center"/>
            </w:pPr>
            <w:r>
              <w:rPr>
                <w:rFonts w:ascii="Times New Roman" w:hAnsi="Times New Roman"/>
                <w:sz w:val="24"/>
              </w:rPr>
              <w:t>GPU</w:t>
            </w:r>
          </w:p>
        </w:tc>
        <w:tc>
          <w:tcPr>
            <w:tcW w:type="dxa" w:w="4333"/>
            <w:vAlign w:val="center"/>
          </w:tcPr>
          <w:p>
            <w:pPr>
              <w:jc w:val="center"/>
            </w:pPr>
            <w:r>
              <w:rPr>
                <w:rFonts w:ascii="Times New Roman" w:hAnsi="Times New Roman"/>
                <w:sz w:val="24"/>
              </w:rPr>
              <w:t>NVIDIA RTX 2050 (4GB VRAM)</w:t>
            </w:r>
          </w:p>
        </w:tc>
      </w:tr>
      <w:tr>
        <w:tc>
          <w:tcPr>
            <w:tcW w:type="dxa" w:w="4333"/>
            <w:vAlign w:val="center"/>
          </w:tcPr>
          <w:p>
            <w:pPr>
              <w:jc w:val="center"/>
            </w:pPr>
            <w:r>
              <w:rPr>
                <w:rFonts w:ascii="Times New Roman" w:hAnsi="Times New Roman"/>
                <w:sz w:val="24"/>
              </w:rPr>
              <w:t>Architecture</w:t>
            </w:r>
          </w:p>
        </w:tc>
        <w:tc>
          <w:tcPr>
            <w:tcW w:type="dxa" w:w="4333"/>
            <w:vAlign w:val="center"/>
          </w:tcPr>
          <w:p>
            <w:pPr>
              <w:jc w:val="center"/>
            </w:pPr>
            <w:r>
              <w:rPr>
                <w:rFonts w:ascii="Times New Roman" w:hAnsi="Times New Roman"/>
                <w:sz w:val="24"/>
              </w:rPr>
              <w:t>Ampere (Compute Capability 8.6)</w:t>
            </w:r>
          </w:p>
        </w:tc>
      </w:tr>
      <w:tr>
        <w:tc>
          <w:tcPr>
            <w:tcW w:type="dxa" w:w="4333"/>
            <w:vAlign w:val="center"/>
          </w:tcPr>
          <w:p>
            <w:pPr>
              <w:jc w:val="center"/>
            </w:pPr>
            <w:r>
              <w:rPr>
                <w:rFonts w:ascii="Times New Roman" w:hAnsi="Times New Roman"/>
                <w:sz w:val="24"/>
              </w:rPr>
              <w:t>Precision</w:t>
            </w:r>
          </w:p>
        </w:tc>
        <w:tc>
          <w:tcPr>
            <w:tcW w:type="dxa" w:w="4333"/>
            <w:vAlign w:val="center"/>
          </w:tcPr>
          <w:p>
            <w:pPr>
              <w:jc w:val="center"/>
            </w:pPr>
            <w:r>
              <w:rPr>
                <w:rFonts w:ascii="Times New Roman" w:hAnsi="Times New Roman"/>
                <w:sz w:val="24"/>
              </w:rPr>
              <w:t>Mixed (float16/float32)</w:t>
            </w:r>
          </w:p>
        </w:tc>
      </w:tr>
      <w:tr>
        <w:tc>
          <w:tcPr>
            <w:tcW w:type="dxa" w:w="4333"/>
            <w:vAlign w:val="center"/>
          </w:tcPr>
          <w:p>
            <w:pPr>
              <w:jc w:val="center"/>
            </w:pPr>
            <w:r>
              <w:rPr>
                <w:rFonts w:ascii="Times New Roman" w:hAnsi="Times New Roman"/>
                <w:sz w:val="24"/>
              </w:rPr>
              <w:t>Framework</w:t>
            </w:r>
          </w:p>
        </w:tc>
        <w:tc>
          <w:tcPr>
            <w:tcW w:type="dxa" w:w="4333"/>
            <w:vAlign w:val="center"/>
          </w:tcPr>
          <w:p>
            <w:pPr>
              <w:jc w:val="center"/>
            </w:pPr>
            <w:r>
              <w:rPr>
                <w:rFonts w:ascii="Times New Roman" w:hAnsi="Times New Roman"/>
                <w:sz w:val="24"/>
              </w:rPr>
              <w:t>TensorFlow 2.10 + Keras</w:t>
            </w:r>
          </w:p>
        </w:tc>
      </w:tr>
      <w:tr>
        <w:tc>
          <w:tcPr>
            <w:tcW w:type="dxa" w:w="4333"/>
            <w:vAlign w:val="center"/>
          </w:tcPr>
          <w:p>
            <w:pPr>
              <w:jc w:val="center"/>
            </w:pPr>
            <w:r>
              <w:rPr>
                <w:rFonts w:ascii="Times New Roman" w:hAnsi="Times New Roman"/>
                <w:sz w:val="24"/>
              </w:rPr>
              <w:t>Python Version</w:t>
            </w:r>
          </w:p>
        </w:tc>
        <w:tc>
          <w:tcPr>
            <w:tcW w:type="dxa" w:w="4333"/>
            <w:vAlign w:val="center"/>
          </w:tcPr>
          <w:p>
            <w:pPr>
              <w:jc w:val="center"/>
            </w:pPr>
            <w:r>
              <w:rPr>
                <w:rFonts w:ascii="Times New Roman" w:hAnsi="Times New Roman"/>
                <w:sz w:val="24"/>
              </w:rPr>
              <w:t>3.10</w:t>
            </w:r>
          </w:p>
        </w:tc>
      </w:tr>
      <w:tr>
        <w:tc>
          <w:tcPr>
            <w:tcW w:type="dxa" w:w="4333"/>
            <w:vAlign w:val="center"/>
          </w:tcPr>
          <w:p>
            <w:pPr>
              <w:jc w:val="center"/>
            </w:pPr>
            <w:r>
              <w:rPr>
                <w:rFonts w:ascii="Times New Roman" w:hAnsi="Times New Roman"/>
                <w:sz w:val="24"/>
              </w:rPr>
              <w:t>Training Time</w:t>
            </w:r>
          </w:p>
        </w:tc>
        <w:tc>
          <w:tcPr>
            <w:tcW w:type="dxa" w:w="4333"/>
            <w:vAlign w:val="center"/>
          </w:tcPr>
          <w:p>
            <w:pPr>
              <w:jc w:val="center"/>
            </w:pPr>
            <w:r>
              <w:rPr>
                <w:rFonts w:ascii="Times New Roman" w:hAnsi="Times New Roman"/>
                <w:sz w:val="24"/>
              </w:rPr>
              <w:t>~3 hours (Stage 1 + Stage 2)</w:t>
            </w:r>
          </w:p>
        </w:tc>
      </w:tr>
      <w:tr>
        <w:tc>
          <w:tcPr>
            <w:tcW w:type="dxa" w:w="4333"/>
            <w:vAlign w:val="center"/>
          </w:tcPr>
          <w:p>
            <w:pPr>
              <w:jc w:val="center"/>
            </w:pPr>
            <w:r>
              <w:rPr>
                <w:rFonts w:ascii="Times New Roman" w:hAnsi="Times New Roman"/>
                <w:sz w:val="24"/>
              </w:rPr>
              <w:t>Inference Time</w:t>
            </w:r>
          </w:p>
        </w:tc>
        <w:tc>
          <w:tcPr>
            <w:tcW w:type="dxa" w:w="4333"/>
            <w:vAlign w:val="center"/>
          </w:tcPr>
          <w:p>
            <w:pPr>
              <w:jc w:val="center"/>
            </w:pPr>
            <w:r>
              <w:rPr>
                <w:rFonts w:ascii="Times New Roman" w:hAnsi="Times New Roman"/>
                <w:sz w:val="24"/>
              </w:rPr>
              <w:t>~42ms (GPU) / ~300ms (CPU)</w:t>
            </w:r>
          </w:p>
        </w:tc>
      </w:tr>
    </w:tbl>
    <w:p/>
    <w:p>
      <w:pPr>
        <w:spacing w:before="240" w:after="120"/>
        <w:jc w:val="left"/>
      </w:pPr>
      <w:r>
        <w:rPr>
          <w:rFonts w:ascii="Times New Roman" w:hAnsi="Times New Roman"/>
          <w:b/>
          <w:i w:val="0"/>
          <w:sz w:val="24"/>
        </w:rPr>
        <w:t>5.2 Dataset Description</w:t>
      </w:r>
    </w:p>
    <w:p>
      <w:pPr>
        <w:spacing w:line="360" w:lineRule="auto" w:before="0" w:after="120"/>
        <w:jc w:val="both"/>
      </w:pPr>
      <w:r>
        <w:rPr>
          <w:rFonts w:ascii="Times New Roman" w:hAnsi="Times New Roman"/>
          <w:b w:val="0"/>
          <w:i w:val="0"/>
          <w:sz w:val="24"/>
        </w:rPr>
        <w:t>The Road Damage Dataset 2022 (RDD2022) was collected by Arya et al. [1] prominently using varied smartphone sensors mounted arbitrarily on diverse local vehicles traveling across six isolated countries. For the scope of this particular project, the specialized India and Japan regional subsets were explicitly used comprising 19,892 verified images. The aggregated numerical dataset invariably exhibits significant natural class imbalance within elements with critical pothole images representing only 21.9% of the total dataset samples, implicitly necessitating the integration of weighted loss focal functions during active training cycles to avoid baseline drift.</w:t>
      </w:r>
    </w:p>
    <w:p>
      <w:pPr>
        <w:spacing w:line="360" w:lineRule="auto" w:before="0" w:after="120"/>
        <w:jc w:val="both"/>
      </w:pPr>
      <w:r>
        <w:rPr>
          <w:rFonts w:ascii="Times New Roman" w:hAnsi="Times New Roman"/>
          <w:b w:val="0"/>
          <w:i w:val="0"/>
          <w:sz w:val="24"/>
        </w:rPr>
        <w:t>(Note to student: Insert 3 sample images from data/raw/ folder here — one from each class Normal, Crack, Pothole with captions)</w:t>
      </w:r>
    </w:p>
    <w:p>
      <w:pPr>
        <w:spacing w:before="80" w:after="240"/>
        <w:jc w:val="center"/>
      </w:pPr>
      <w:r>
        <w:rPr>
          <w:rFonts w:ascii="Times New Roman" w:hAnsi="Times New Roman"/>
          <w:b w:val="0"/>
          <w:i w:val="0"/>
          <w:sz w:val="24"/>
        </w:rPr>
        <w:t>Figure 1: Sample images from RDD2022 dataset (a) Normal road surface (b) Road crack (c) Pothole</w:t>
      </w:r>
    </w:p>
    <w:p>
      <w:pPr>
        <w:spacing w:before="240" w:after="120"/>
        <w:jc w:val="left"/>
      </w:pPr>
      <w:r>
        <w:rPr>
          <w:rFonts w:ascii="Times New Roman" w:hAnsi="Times New Roman"/>
          <w:b/>
          <w:i w:val="0"/>
          <w:sz w:val="24"/>
        </w:rPr>
        <w:t>5.3 Performance Measures</w:t>
      </w:r>
    </w:p>
    <w:p>
      <w:pPr>
        <w:spacing w:line="360" w:lineRule="auto" w:before="0" w:after="120"/>
        <w:jc w:val="both"/>
      </w:pPr>
      <w:r>
        <w:rPr>
          <w:rFonts w:ascii="Times New Roman" w:hAnsi="Times New Roman"/>
          <w:b w:val="0"/>
          <w:i w:val="0"/>
          <w:sz w:val="24"/>
        </w:rPr>
        <w:t>Standard quantitative evaluation metrics are inherently utilized for comparing the model validation capability. They are properly defined by the foundational contingency proportions outlined here:</w:t>
      </w:r>
    </w:p>
    <w:p>
      <w:pPr>
        <w:spacing w:line="360" w:lineRule="auto"/>
        <w:jc w:val="center"/>
      </w:pPr>
      <w:r>
        <w:rPr>
          <w:rFonts w:ascii="Times New Roman" w:hAnsi="Times New Roman"/>
          <w:b w:val="0"/>
          <w:i/>
          <w:sz w:val="24"/>
        </w:rPr>
        <w:t>Accuracy = (TP + TN) / (TP + TN + FP + FN)</w:t>
      </w:r>
    </w:p>
    <w:p>
      <w:pPr>
        <w:spacing w:line="360" w:lineRule="auto"/>
        <w:jc w:val="center"/>
      </w:pPr>
      <w:r>
        <w:rPr>
          <w:rFonts w:ascii="Times New Roman" w:hAnsi="Times New Roman"/>
          <w:b w:val="0"/>
          <w:i/>
          <w:sz w:val="24"/>
        </w:rPr>
        <w:t>Precision = TP / (TP + FP)</w:t>
      </w:r>
    </w:p>
    <w:p>
      <w:pPr>
        <w:spacing w:line="360" w:lineRule="auto"/>
        <w:jc w:val="center"/>
      </w:pPr>
      <w:r>
        <w:rPr>
          <w:rFonts w:ascii="Times New Roman" w:hAnsi="Times New Roman"/>
          <w:b w:val="0"/>
          <w:i/>
          <w:sz w:val="24"/>
        </w:rPr>
        <w:t>Recall = TP / (TP + FN)</w:t>
      </w:r>
    </w:p>
    <w:p>
      <w:pPr>
        <w:spacing w:line="360" w:lineRule="auto"/>
        <w:jc w:val="center"/>
      </w:pPr>
      <w:r>
        <w:rPr>
          <w:rFonts w:ascii="Times New Roman" w:hAnsi="Times New Roman"/>
          <w:b w:val="0"/>
          <w:i/>
          <w:sz w:val="24"/>
        </w:rPr>
        <w:t>F1-Score = 2 × (Precision × Recall) / (Precision + Recall)</w:t>
      </w:r>
    </w:p>
    <w:p>
      <w:pPr>
        <w:spacing w:line="360" w:lineRule="auto"/>
        <w:jc w:val="center"/>
      </w:pPr>
      <w:r>
        <w:rPr>
          <w:rFonts w:ascii="Times New Roman" w:hAnsi="Times New Roman"/>
          <w:b w:val="0"/>
          <w:i/>
          <w:sz w:val="24"/>
        </w:rPr>
        <w:t>Mean IoU = (1/k) × Σ [TP / (TP + FP + FN)]</w:t>
      </w:r>
    </w:p>
    <w:p>
      <w:pPr>
        <w:spacing w:line="360" w:lineRule="auto" w:before="0" w:after="120"/>
        <w:jc w:val="both"/>
      </w:pPr>
      <w:r>
        <w:rPr>
          <w:rFonts w:ascii="Times New Roman" w:hAnsi="Times New Roman"/>
          <w:b w:val="0"/>
          <w:i w:val="0"/>
          <w:sz w:val="24"/>
        </w:rPr>
        <w:t>where TP denotes True Positive, TN conveys True Negative, FP describes False Positive, FN communicates False Negative occurrences, and universally k equals the exact number of categorical classes. Missing a deeply hazardous pothole (a severe False Negative event) represents a far more profoundly dangerous outcome than engaging a false alarm indicator (a minor False Positive administrative disruption). Therefore, maximizing robust statistical Recall — specifically tailored for the paramount Pothole category — is strictly structurally prioritized heavily over conservative Precision outcomes.</w:t>
      </w:r>
    </w:p>
    <w:p>
      <w:pPr>
        <w:spacing w:before="240" w:after="120"/>
        <w:jc w:val="left"/>
      </w:pPr>
      <w:r>
        <w:rPr>
          <w:rFonts w:ascii="Times New Roman" w:hAnsi="Times New Roman"/>
          <w:b/>
          <w:i w:val="0"/>
          <w:sz w:val="24"/>
        </w:rPr>
        <w:t>5.4 Results</w:t>
      </w:r>
    </w:p>
    <w:p>
      <w:pPr>
        <w:spacing w:line="360" w:lineRule="auto" w:before="0" w:after="120"/>
        <w:jc w:val="both"/>
      </w:pPr>
      <w:r>
        <w:rPr>
          <w:rFonts w:ascii="Times New Roman" w:hAnsi="Times New Roman"/>
          <w:b w:val="0"/>
          <w:i w:val="0"/>
          <w:sz w:val="24"/>
        </w:rPr>
        <w:t>The completely optimized dual-head MobileNetV2 architecture functionally achieved an impressive holistic overall validation accuracy measuring 84.74% across a rigorous 2,601 unobserved test samples.</w:t>
      </w:r>
    </w:p>
    <w:p>
      <w:pPr>
        <w:spacing w:before="240" w:after="80"/>
        <w:jc w:val="center"/>
      </w:pPr>
      <w:r>
        <w:rPr>
          <w:rFonts w:ascii="Times New Roman" w:hAnsi="Times New Roman"/>
          <w:b w:val="0"/>
          <w:i w:val="0"/>
          <w:sz w:val="24"/>
        </w:rPr>
        <w:t>Table 6: Per-Class Classification Validation Outcomes</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vAlign w:val="center"/>
          </w:tcPr>
          <w:p>
            <w:pPr>
              <w:jc w:val="center"/>
            </w:pPr>
            <w:r>
              <w:rPr>
                <w:rFonts w:ascii="Times New Roman" w:hAnsi="Times New Roman"/>
                <w:b/>
                <w:sz w:val="24"/>
              </w:rPr>
              <w:t>Class</w:t>
            </w:r>
          </w:p>
        </w:tc>
        <w:tc>
          <w:tcPr>
            <w:tcW w:type="dxa" w:w="1733"/>
            <w:vAlign w:val="center"/>
          </w:tcPr>
          <w:p>
            <w:pPr>
              <w:jc w:val="center"/>
            </w:pPr>
            <w:r>
              <w:rPr>
                <w:rFonts w:ascii="Times New Roman" w:hAnsi="Times New Roman"/>
                <w:b/>
                <w:sz w:val="24"/>
              </w:rPr>
              <w:t>Precision</w:t>
            </w:r>
          </w:p>
        </w:tc>
        <w:tc>
          <w:tcPr>
            <w:tcW w:type="dxa" w:w="1733"/>
            <w:vAlign w:val="center"/>
          </w:tcPr>
          <w:p>
            <w:pPr>
              <w:jc w:val="center"/>
            </w:pPr>
            <w:r>
              <w:rPr>
                <w:rFonts w:ascii="Times New Roman" w:hAnsi="Times New Roman"/>
                <w:b/>
                <w:sz w:val="24"/>
              </w:rPr>
              <w:t>Recall</w:t>
            </w:r>
          </w:p>
        </w:tc>
        <w:tc>
          <w:tcPr>
            <w:tcW w:type="dxa" w:w="1733"/>
            <w:vAlign w:val="center"/>
          </w:tcPr>
          <w:p>
            <w:pPr>
              <w:jc w:val="center"/>
            </w:pPr>
            <w:r>
              <w:rPr>
                <w:rFonts w:ascii="Times New Roman" w:hAnsi="Times New Roman"/>
                <w:b/>
                <w:sz w:val="24"/>
              </w:rPr>
              <w:t>F1-Score</w:t>
            </w:r>
          </w:p>
        </w:tc>
        <w:tc>
          <w:tcPr>
            <w:tcW w:type="dxa" w:w="1733"/>
            <w:vAlign w:val="center"/>
          </w:tcPr>
          <w:p>
            <w:pPr>
              <w:jc w:val="center"/>
            </w:pPr>
            <w:r>
              <w:rPr>
                <w:rFonts w:ascii="Times New Roman" w:hAnsi="Times New Roman"/>
                <w:b/>
                <w:sz w:val="24"/>
              </w:rPr>
              <w:t>Support</w:t>
            </w:r>
          </w:p>
        </w:tc>
      </w:tr>
      <w:tr>
        <w:tc>
          <w:tcPr>
            <w:tcW w:type="dxa" w:w="1733"/>
            <w:vAlign w:val="center"/>
          </w:tcPr>
          <w:p>
            <w:pPr>
              <w:jc w:val="center"/>
            </w:pPr>
            <w:r>
              <w:rPr>
                <w:rFonts w:ascii="Times New Roman" w:hAnsi="Times New Roman"/>
                <w:sz w:val="24"/>
              </w:rPr>
              <w:t>Normal</w:t>
            </w:r>
          </w:p>
        </w:tc>
        <w:tc>
          <w:tcPr>
            <w:tcW w:type="dxa" w:w="1733"/>
            <w:vAlign w:val="center"/>
          </w:tcPr>
          <w:p>
            <w:pPr>
              <w:jc w:val="center"/>
            </w:pPr>
            <w:r>
              <w:rPr>
                <w:rFonts w:ascii="Times New Roman" w:hAnsi="Times New Roman"/>
                <w:sz w:val="24"/>
              </w:rPr>
              <w:t>95.64%</w:t>
            </w:r>
          </w:p>
        </w:tc>
        <w:tc>
          <w:tcPr>
            <w:tcW w:type="dxa" w:w="1733"/>
            <w:vAlign w:val="center"/>
          </w:tcPr>
          <w:p>
            <w:pPr>
              <w:jc w:val="center"/>
            </w:pPr>
            <w:r>
              <w:rPr>
                <w:rFonts w:ascii="Times New Roman" w:hAnsi="Times New Roman"/>
                <w:sz w:val="24"/>
              </w:rPr>
              <w:t>74.69%</w:t>
            </w:r>
          </w:p>
        </w:tc>
        <w:tc>
          <w:tcPr>
            <w:tcW w:type="dxa" w:w="1733"/>
            <w:vAlign w:val="center"/>
          </w:tcPr>
          <w:p>
            <w:pPr>
              <w:jc w:val="center"/>
            </w:pPr>
            <w:r>
              <w:rPr>
                <w:rFonts w:ascii="Times New Roman" w:hAnsi="Times New Roman"/>
                <w:sz w:val="24"/>
              </w:rPr>
              <w:t>83.88%</w:t>
            </w:r>
          </w:p>
        </w:tc>
        <w:tc>
          <w:tcPr>
            <w:tcW w:type="dxa" w:w="1733"/>
            <w:vAlign w:val="center"/>
          </w:tcPr>
          <w:p>
            <w:pPr>
              <w:jc w:val="center"/>
            </w:pPr>
            <w:r>
              <w:rPr>
                <w:rFonts w:ascii="Times New Roman" w:hAnsi="Times New Roman"/>
                <w:sz w:val="24"/>
              </w:rPr>
              <w:t>1,146</w:t>
            </w:r>
          </w:p>
        </w:tc>
      </w:tr>
      <w:tr>
        <w:tc>
          <w:tcPr>
            <w:tcW w:type="dxa" w:w="1733"/>
            <w:vAlign w:val="center"/>
          </w:tcPr>
          <w:p>
            <w:pPr>
              <w:jc w:val="center"/>
            </w:pPr>
            <w:r>
              <w:rPr>
                <w:rFonts w:ascii="Times New Roman" w:hAnsi="Times New Roman"/>
                <w:sz w:val="24"/>
              </w:rPr>
              <w:t>Crack</w:t>
            </w:r>
          </w:p>
        </w:tc>
        <w:tc>
          <w:tcPr>
            <w:tcW w:type="dxa" w:w="1733"/>
            <w:vAlign w:val="center"/>
          </w:tcPr>
          <w:p>
            <w:pPr>
              <w:jc w:val="center"/>
            </w:pPr>
            <w:r>
              <w:rPr>
                <w:rFonts w:ascii="Times New Roman" w:hAnsi="Times New Roman"/>
                <w:sz w:val="24"/>
              </w:rPr>
              <w:t>83.44%</w:t>
            </w:r>
          </w:p>
        </w:tc>
        <w:tc>
          <w:tcPr>
            <w:tcW w:type="dxa" w:w="1733"/>
            <w:vAlign w:val="center"/>
          </w:tcPr>
          <w:p>
            <w:pPr>
              <w:jc w:val="center"/>
            </w:pPr>
            <w:r>
              <w:rPr>
                <w:rFonts w:ascii="Times New Roman" w:hAnsi="Times New Roman"/>
                <w:sz w:val="24"/>
              </w:rPr>
              <w:t>91.84%</w:t>
            </w:r>
          </w:p>
        </w:tc>
        <w:tc>
          <w:tcPr>
            <w:tcW w:type="dxa" w:w="1733"/>
            <w:vAlign w:val="center"/>
          </w:tcPr>
          <w:p>
            <w:pPr>
              <w:jc w:val="center"/>
            </w:pPr>
            <w:r>
              <w:rPr>
                <w:rFonts w:ascii="Times New Roman" w:hAnsi="Times New Roman"/>
                <w:sz w:val="24"/>
              </w:rPr>
              <w:t>87.44%</w:t>
            </w:r>
          </w:p>
        </w:tc>
        <w:tc>
          <w:tcPr>
            <w:tcW w:type="dxa" w:w="1733"/>
            <w:vAlign w:val="center"/>
          </w:tcPr>
          <w:p>
            <w:pPr>
              <w:jc w:val="center"/>
            </w:pPr>
            <w:r>
              <w:rPr>
                <w:rFonts w:ascii="Times New Roman" w:hAnsi="Times New Roman"/>
                <w:sz w:val="24"/>
              </w:rPr>
              <w:t>1,311</w:t>
            </w:r>
          </w:p>
        </w:tc>
      </w:tr>
      <w:tr>
        <w:tc>
          <w:tcPr>
            <w:tcW w:type="dxa" w:w="1733"/>
            <w:vAlign w:val="center"/>
          </w:tcPr>
          <w:p>
            <w:pPr>
              <w:jc w:val="center"/>
            </w:pPr>
            <w:r>
              <w:rPr>
                <w:rFonts w:ascii="Times New Roman" w:hAnsi="Times New Roman"/>
                <w:sz w:val="24"/>
              </w:rPr>
              <w:t>Pothole</w:t>
            </w:r>
          </w:p>
        </w:tc>
        <w:tc>
          <w:tcPr>
            <w:tcW w:type="dxa" w:w="1733"/>
            <w:vAlign w:val="center"/>
          </w:tcPr>
          <w:p>
            <w:pPr>
              <w:jc w:val="center"/>
            </w:pPr>
            <w:r>
              <w:rPr>
                <w:rFonts w:ascii="Times New Roman" w:hAnsi="Times New Roman"/>
                <w:sz w:val="24"/>
              </w:rPr>
              <w:t>54.75%</w:t>
            </w:r>
          </w:p>
        </w:tc>
        <w:tc>
          <w:tcPr>
            <w:tcW w:type="dxa" w:w="1733"/>
            <w:vAlign w:val="center"/>
          </w:tcPr>
          <w:p>
            <w:pPr>
              <w:jc w:val="center"/>
            </w:pPr>
            <w:r>
              <w:rPr>
                <w:rFonts w:ascii="Times New Roman" w:hAnsi="Times New Roman"/>
                <w:sz w:val="24"/>
              </w:rPr>
              <w:t>100.00%</w:t>
            </w:r>
          </w:p>
        </w:tc>
        <w:tc>
          <w:tcPr>
            <w:tcW w:type="dxa" w:w="1733"/>
            <w:vAlign w:val="center"/>
          </w:tcPr>
          <w:p>
            <w:pPr>
              <w:jc w:val="center"/>
            </w:pPr>
            <w:r>
              <w:rPr>
                <w:rFonts w:ascii="Times New Roman" w:hAnsi="Times New Roman"/>
                <w:sz w:val="24"/>
              </w:rPr>
              <w:t>70.76%</w:t>
            </w:r>
          </w:p>
        </w:tc>
        <w:tc>
          <w:tcPr>
            <w:tcW w:type="dxa" w:w="1733"/>
            <w:vAlign w:val="center"/>
          </w:tcPr>
          <w:p>
            <w:pPr>
              <w:jc w:val="center"/>
            </w:pPr>
            <w:r>
              <w:rPr>
                <w:rFonts w:ascii="Times New Roman" w:hAnsi="Times New Roman"/>
                <w:sz w:val="24"/>
              </w:rPr>
              <w:t>144</w:t>
            </w:r>
          </w:p>
        </w:tc>
      </w:tr>
      <w:tr>
        <w:tc>
          <w:tcPr>
            <w:tcW w:type="dxa" w:w="1733"/>
            <w:vAlign w:val="center"/>
          </w:tcPr>
          <w:p>
            <w:pPr>
              <w:jc w:val="center"/>
            </w:pPr>
            <w:r>
              <w:rPr>
                <w:rFonts w:ascii="Times New Roman" w:hAnsi="Times New Roman"/>
                <w:sz w:val="24"/>
              </w:rPr>
              <w:t>Accuracy</w:t>
            </w:r>
          </w:p>
        </w:tc>
        <w:tc>
          <w:tcPr>
            <w:tcW w:type="dxa" w:w="1733"/>
            <w:vAlign w:val="center"/>
          </w:tcPr>
          <w:p>
            <w:pPr>
              <w:jc w:val="center"/>
            </w:pPr>
            <w:r>
              <w:rPr>
                <w:rFonts w:ascii="Times New Roman" w:hAnsi="Times New Roman"/>
                <w:sz w:val="24"/>
              </w:rPr>
            </w:r>
          </w:p>
        </w:tc>
        <w:tc>
          <w:tcPr>
            <w:tcW w:type="dxa" w:w="1733"/>
            <w:vAlign w:val="center"/>
          </w:tcPr>
          <w:p>
            <w:pPr>
              <w:jc w:val="center"/>
            </w:pPr>
            <w:r>
              <w:rPr>
                <w:rFonts w:ascii="Times New Roman" w:hAnsi="Times New Roman"/>
                <w:sz w:val="24"/>
              </w:rPr>
            </w:r>
          </w:p>
        </w:tc>
        <w:tc>
          <w:tcPr>
            <w:tcW w:type="dxa" w:w="1733"/>
            <w:vAlign w:val="center"/>
          </w:tcPr>
          <w:p>
            <w:pPr>
              <w:jc w:val="center"/>
            </w:pPr>
            <w:r>
              <w:rPr>
                <w:rFonts w:ascii="Times New Roman" w:hAnsi="Times New Roman"/>
                <w:sz w:val="24"/>
              </w:rPr>
              <w:t>84.74%</w:t>
            </w:r>
          </w:p>
        </w:tc>
        <w:tc>
          <w:tcPr>
            <w:tcW w:type="dxa" w:w="1733"/>
            <w:vAlign w:val="center"/>
          </w:tcPr>
          <w:p>
            <w:pPr>
              <w:jc w:val="center"/>
            </w:pPr>
            <w:r>
              <w:rPr>
                <w:rFonts w:ascii="Times New Roman" w:hAnsi="Times New Roman"/>
                <w:sz w:val="24"/>
              </w:rPr>
              <w:t>2,601</w:t>
            </w:r>
          </w:p>
        </w:tc>
      </w:tr>
      <w:tr>
        <w:tc>
          <w:tcPr>
            <w:tcW w:type="dxa" w:w="1733"/>
            <w:vAlign w:val="center"/>
          </w:tcPr>
          <w:p>
            <w:pPr>
              <w:jc w:val="center"/>
            </w:pPr>
            <w:r>
              <w:rPr>
                <w:rFonts w:ascii="Times New Roman" w:hAnsi="Times New Roman"/>
                <w:sz w:val="24"/>
              </w:rPr>
              <w:t>Macro</w:t>
            </w:r>
          </w:p>
        </w:tc>
        <w:tc>
          <w:tcPr>
            <w:tcW w:type="dxa" w:w="1733"/>
            <w:vAlign w:val="center"/>
          </w:tcPr>
          <w:p>
            <w:pPr>
              <w:jc w:val="center"/>
            </w:pPr>
            <w:r>
              <w:rPr>
                <w:rFonts w:ascii="Times New Roman" w:hAnsi="Times New Roman"/>
                <w:sz w:val="24"/>
              </w:rPr>
              <w:t>77.94%</w:t>
            </w:r>
          </w:p>
        </w:tc>
        <w:tc>
          <w:tcPr>
            <w:tcW w:type="dxa" w:w="1733"/>
            <w:vAlign w:val="center"/>
          </w:tcPr>
          <w:p>
            <w:pPr>
              <w:jc w:val="center"/>
            </w:pPr>
            <w:r>
              <w:rPr>
                <w:rFonts w:ascii="Times New Roman" w:hAnsi="Times New Roman"/>
                <w:sz w:val="24"/>
              </w:rPr>
              <w:t>88.84%</w:t>
            </w:r>
          </w:p>
        </w:tc>
        <w:tc>
          <w:tcPr>
            <w:tcW w:type="dxa" w:w="1733"/>
            <w:vAlign w:val="center"/>
          </w:tcPr>
          <w:p>
            <w:pPr>
              <w:jc w:val="center"/>
            </w:pPr>
            <w:r>
              <w:rPr>
                <w:rFonts w:ascii="Times New Roman" w:hAnsi="Times New Roman"/>
                <w:sz w:val="24"/>
              </w:rPr>
              <w:t>80.69%</w:t>
            </w:r>
          </w:p>
        </w:tc>
        <w:tc>
          <w:tcPr>
            <w:tcW w:type="dxa" w:w="1733"/>
            <w:vAlign w:val="center"/>
          </w:tcPr>
          <w:p>
            <w:pPr>
              <w:jc w:val="center"/>
            </w:pPr>
            <w:r>
              <w:rPr>
                <w:rFonts w:ascii="Times New Roman" w:hAnsi="Times New Roman"/>
                <w:sz w:val="24"/>
              </w:rPr>
              <w:t>2,601</w:t>
            </w:r>
          </w:p>
        </w:tc>
      </w:tr>
      <w:tr>
        <w:tc>
          <w:tcPr>
            <w:tcW w:type="dxa" w:w="1733"/>
            <w:vAlign w:val="center"/>
          </w:tcPr>
          <w:p>
            <w:pPr>
              <w:jc w:val="center"/>
            </w:pPr>
            <w:r>
              <w:rPr>
                <w:rFonts w:ascii="Times New Roman" w:hAnsi="Times New Roman"/>
                <w:sz w:val="24"/>
              </w:rPr>
              <w:t>Weighted</w:t>
            </w:r>
          </w:p>
        </w:tc>
        <w:tc>
          <w:tcPr>
            <w:tcW w:type="dxa" w:w="1733"/>
            <w:vAlign w:val="center"/>
          </w:tcPr>
          <w:p>
            <w:pPr>
              <w:jc w:val="center"/>
            </w:pPr>
            <w:r>
              <w:rPr>
                <w:rFonts w:ascii="Times New Roman" w:hAnsi="Times New Roman"/>
                <w:sz w:val="24"/>
              </w:rPr>
              <w:t>87.23%</w:t>
            </w:r>
          </w:p>
        </w:tc>
        <w:tc>
          <w:tcPr>
            <w:tcW w:type="dxa" w:w="1733"/>
            <w:vAlign w:val="center"/>
          </w:tcPr>
          <w:p>
            <w:pPr>
              <w:jc w:val="center"/>
            </w:pPr>
            <w:r>
              <w:rPr>
                <w:rFonts w:ascii="Times New Roman" w:hAnsi="Times New Roman"/>
                <w:sz w:val="24"/>
              </w:rPr>
              <w:t>84.74%</w:t>
            </w:r>
          </w:p>
        </w:tc>
        <w:tc>
          <w:tcPr>
            <w:tcW w:type="dxa" w:w="1733"/>
            <w:vAlign w:val="center"/>
          </w:tcPr>
          <w:p>
            <w:pPr>
              <w:jc w:val="center"/>
            </w:pPr>
            <w:r>
              <w:rPr>
                <w:rFonts w:ascii="Times New Roman" w:hAnsi="Times New Roman"/>
                <w:sz w:val="24"/>
              </w:rPr>
              <w:t>84.95%</w:t>
            </w:r>
          </w:p>
        </w:tc>
        <w:tc>
          <w:tcPr>
            <w:tcW w:type="dxa" w:w="1733"/>
            <w:vAlign w:val="center"/>
          </w:tcPr>
          <w:p>
            <w:pPr>
              <w:jc w:val="center"/>
            </w:pPr>
            <w:r>
              <w:rPr>
                <w:rFonts w:ascii="Times New Roman" w:hAnsi="Times New Roman"/>
                <w:sz w:val="24"/>
              </w:rPr>
              <w:t>2,601</w:t>
            </w:r>
          </w:p>
        </w:tc>
      </w:tr>
    </w:tbl>
    <w:p/>
    <w:p>
      <w:pPr>
        <w:spacing w:before="240" w:after="80"/>
        <w:jc w:val="center"/>
      </w:pPr>
      <w:r>
        <w:rPr>
          <w:rFonts w:ascii="Times New Roman" w:hAnsi="Times New Roman"/>
          <w:b w:val="0"/>
          <w:i w:val="0"/>
          <w:sz w:val="24"/>
        </w:rPr>
        <w:t>Table 7: Exact Raw Validation Confusion Matrix</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vAlign w:val="center"/>
          </w:tcPr>
          <w:p>
            <w:pPr>
              <w:jc w:val="center"/>
            </w:pPr>
            <w:r>
              <w:rPr>
                <w:rFonts w:ascii="Times New Roman" w:hAnsi="Times New Roman"/>
                <w:b/>
                <w:sz w:val="24"/>
              </w:rPr>
              <w:t>True\Pred</w:t>
            </w:r>
          </w:p>
        </w:tc>
        <w:tc>
          <w:tcPr>
            <w:tcW w:type="dxa" w:w="2166"/>
            <w:vAlign w:val="center"/>
          </w:tcPr>
          <w:p>
            <w:pPr>
              <w:jc w:val="center"/>
            </w:pPr>
            <w:r>
              <w:rPr>
                <w:rFonts w:ascii="Times New Roman" w:hAnsi="Times New Roman"/>
                <w:b/>
                <w:sz w:val="24"/>
              </w:rPr>
              <w:t>Normal</w:t>
            </w:r>
          </w:p>
        </w:tc>
        <w:tc>
          <w:tcPr>
            <w:tcW w:type="dxa" w:w="2166"/>
            <w:vAlign w:val="center"/>
          </w:tcPr>
          <w:p>
            <w:pPr>
              <w:jc w:val="center"/>
            </w:pPr>
            <w:r>
              <w:rPr>
                <w:rFonts w:ascii="Times New Roman" w:hAnsi="Times New Roman"/>
                <w:b/>
                <w:sz w:val="24"/>
              </w:rPr>
              <w:t>Crack</w:t>
            </w:r>
          </w:p>
        </w:tc>
        <w:tc>
          <w:tcPr>
            <w:tcW w:type="dxa" w:w="2166"/>
            <w:vAlign w:val="center"/>
          </w:tcPr>
          <w:p>
            <w:pPr>
              <w:jc w:val="center"/>
            </w:pPr>
            <w:r>
              <w:rPr>
                <w:rFonts w:ascii="Times New Roman" w:hAnsi="Times New Roman"/>
                <w:b/>
                <w:sz w:val="24"/>
              </w:rPr>
              <w:t>Pothole</w:t>
            </w:r>
          </w:p>
        </w:tc>
      </w:tr>
      <w:tr>
        <w:tc>
          <w:tcPr>
            <w:tcW w:type="dxa" w:w="2166"/>
            <w:vAlign w:val="center"/>
          </w:tcPr>
          <w:p>
            <w:pPr>
              <w:jc w:val="center"/>
            </w:pPr>
            <w:r>
              <w:rPr>
                <w:rFonts w:ascii="Times New Roman" w:hAnsi="Times New Roman"/>
                <w:sz w:val="24"/>
              </w:rPr>
              <w:t>Normal (1146)</w:t>
            </w:r>
          </w:p>
        </w:tc>
        <w:tc>
          <w:tcPr>
            <w:tcW w:type="dxa" w:w="2166"/>
            <w:vAlign w:val="center"/>
          </w:tcPr>
          <w:p>
            <w:pPr>
              <w:jc w:val="center"/>
            </w:pPr>
            <w:r>
              <w:rPr>
                <w:rFonts w:ascii="Times New Roman" w:hAnsi="Times New Roman"/>
                <w:sz w:val="24"/>
              </w:rPr>
              <w:t>856</w:t>
            </w:r>
          </w:p>
        </w:tc>
        <w:tc>
          <w:tcPr>
            <w:tcW w:type="dxa" w:w="2166"/>
            <w:vAlign w:val="center"/>
          </w:tcPr>
          <w:p>
            <w:pPr>
              <w:jc w:val="center"/>
            </w:pPr>
            <w:r>
              <w:rPr>
                <w:rFonts w:ascii="Times New Roman" w:hAnsi="Times New Roman"/>
                <w:sz w:val="24"/>
              </w:rPr>
              <w:t>239</w:t>
            </w:r>
          </w:p>
        </w:tc>
        <w:tc>
          <w:tcPr>
            <w:tcW w:type="dxa" w:w="2166"/>
            <w:vAlign w:val="center"/>
          </w:tcPr>
          <w:p>
            <w:pPr>
              <w:jc w:val="center"/>
            </w:pPr>
            <w:r>
              <w:rPr>
                <w:rFonts w:ascii="Times New Roman" w:hAnsi="Times New Roman"/>
                <w:sz w:val="24"/>
              </w:rPr>
              <w:t>51</w:t>
            </w:r>
          </w:p>
        </w:tc>
      </w:tr>
      <w:tr>
        <w:tc>
          <w:tcPr>
            <w:tcW w:type="dxa" w:w="2166"/>
            <w:vAlign w:val="center"/>
          </w:tcPr>
          <w:p>
            <w:pPr>
              <w:jc w:val="center"/>
            </w:pPr>
            <w:r>
              <w:rPr>
                <w:rFonts w:ascii="Times New Roman" w:hAnsi="Times New Roman"/>
                <w:sz w:val="24"/>
              </w:rPr>
              <w:t>Crack (1311)</w:t>
            </w:r>
          </w:p>
        </w:tc>
        <w:tc>
          <w:tcPr>
            <w:tcW w:type="dxa" w:w="2166"/>
            <w:vAlign w:val="center"/>
          </w:tcPr>
          <w:p>
            <w:pPr>
              <w:jc w:val="center"/>
            </w:pPr>
            <w:r>
              <w:rPr>
                <w:rFonts w:ascii="Times New Roman" w:hAnsi="Times New Roman"/>
                <w:sz w:val="24"/>
              </w:rPr>
              <w:t>39</w:t>
            </w:r>
          </w:p>
        </w:tc>
        <w:tc>
          <w:tcPr>
            <w:tcW w:type="dxa" w:w="2166"/>
            <w:vAlign w:val="center"/>
          </w:tcPr>
          <w:p>
            <w:pPr>
              <w:jc w:val="center"/>
            </w:pPr>
            <w:r>
              <w:rPr>
                <w:rFonts w:ascii="Times New Roman" w:hAnsi="Times New Roman"/>
                <w:sz w:val="24"/>
              </w:rPr>
              <w:t>1204</w:t>
            </w:r>
          </w:p>
        </w:tc>
        <w:tc>
          <w:tcPr>
            <w:tcW w:type="dxa" w:w="2166"/>
            <w:vAlign w:val="center"/>
          </w:tcPr>
          <w:p>
            <w:pPr>
              <w:jc w:val="center"/>
            </w:pPr>
            <w:r>
              <w:rPr>
                <w:rFonts w:ascii="Times New Roman" w:hAnsi="Times New Roman"/>
                <w:sz w:val="24"/>
              </w:rPr>
              <w:t>68</w:t>
            </w:r>
          </w:p>
        </w:tc>
      </w:tr>
      <w:tr>
        <w:tc>
          <w:tcPr>
            <w:tcW w:type="dxa" w:w="2166"/>
            <w:vAlign w:val="center"/>
          </w:tcPr>
          <w:p>
            <w:pPr>
              <w:jc w:val="center"/>
            </w:pPr>
            <w:r>
              <w:rPr>
                <w:rFonts w:ascii="Times New Roman" w:hAnsi="Times New Roman"/>
                <w:sz w:val="24"/>
              </w:rPr>
              <w:t>Pothole (144)</w:t>
            </w:r>
          </w:p>
        </w:tc>
        <w:tc>
          <w:tcPr>
            <w:tcW w:type="dxa" w:w="2166"/>
            <w:vAlign w:val="center"/>
          </w:tcPr>
          <w:p>
            <w:pPr>
              <w:jc w:val="center"/>
            </w:pPr>
            <w:r>
              <w:rPr>
                <w:rFonts w:ascii="Times New Roman" w:hAnsi="Times New Roman"/>
                <w:sz w:val="24"/>
              </w:rPr>
              <w:t>0</w:t>
            </w:r>
          </w:p>
        </w:tc>
        <w:tc>
          <w:tcPr>
            <w:tcW w:type="dxa" w:w="2166"/>
            <w:vAlign w:val="center"/>
          </w:tcPr>
          <w:p>
            <w:pPr>
              <w:jc w:val="center"/>
            </w:pPr>
            <w:r>
              <w:rPr>
                <w:rFonts w:ascii="Times New Roman" w:hAnsi="Times New Roman"/>
                <w:sz w:val="24"/>
              </w:rPr>
              <w:t>0</w:t>
            </w:r>
          </w:p>
        </w:tc>
        <w:tc>
          <w:tcPr>
            <w:tcW w:type="dxa" w:w="2166"/>
            <w:vAlign w:val="center"/>
          </w:tcPr>
          <w:p>
            <w:pPr>
              <w:jc w:val="center"/>
            </w:pPr>
            <w:r>
              <w:rPr>
                <w:rFonts w:ascii="Times New Roman" w:hAnsi="Times New Roman"/>
                <w:sz w:val="24"/>
              </w:rPr>
              <w:t>144</w:t>
            </w:r>
          </w:p>
        </w:tc>
      </w:tr>
    </w:tbl>
    <w:p/>
    <w:p>
      <w:pPr>
        <w:spacing w:line="360" w:lineRule="auto" w:before="0" w:after="120"/>
        <w:jc w:val="both"/>
      </w:pPr>
      <w:r>
        <w:rPr>
          <w:rFonts w:ascii="Times New Roman" w:hAnsi="Times New Roman"/>
          <w:b w:val="0"/>
          <w:i w:val="0"/>
          <w:sz w:val="24"/>
        </w:rPr>
        <w:t>The detailed tabular confusion matrix explicitly reveals that the historically most frequently confused identification pair is Normal pavement surfaces incorrectly being predicted dynamically as initial Crack manifestations (239 samples, 20.8%). This complex phenomenon is definitively attributable directly to the undeniable visual similarity manifesting between lightly worn aggregate road surfaces and true early-stage surface micro-cracking events. Crucially, the structurally emphasized Pothole severity class solidly achieves a definitively perfect recall boundary (reaching precisely 100%) exhibiting categorically zero isolated false negatives whatsoever. This definitively proves mathematically that no isolated deep pothole present in the comprehensive validation collection was accidentally missed during assessment passes. While overall pothole precision remains fixed at 54.75%, mathematically indicating some acceptable volume of predictive over-sensitivity, this empirically represents the intentionally prioritized safe-side algorithmic error orientation demanded robustly for a pragmatic physical road safety implementation.</w:t>
      </w:r>
    </w:p>
    <w:p>
      <w:pPr>
        <w:spacing w:before="240" w:after="80"/>
        <w:jc w:val="center"/>
      </w:pPr>
      <w:r>
        <w:rPr>
          <w:rFonts w:ascii="Times New Roman" w:hAnsi="Times New Roman"/>
          <w:b w:val="0"/>
          <w:i w:val="0"/>
          <w:sz w:val="24"/>
        </w:rPr>
        <w:t>Table 8: Direct Accuracy Comparison with Dominant Existing Frameworks</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tcPr>
          <w:p>
            <w:pPr>
              <w:jc w:val="center"/>
            </w:pPr>
            <w:r>
              <w:rPr>
                <w:rFonts w:ascii="Times New Roman" w:hAnsi="Times New Roman"/>
                <w:b/>
                <w:sz w:val="24"/>
              </w:rPr>
              <w:t>System</w:t>
            </w:r>
          </w:p>
        </w:tc>
        <w:tc>
          <w:tcPr>
            <w:tcW w:type="dxa" w:w="2889"/>
            <w:vAlign w:val="center"/>
          </w:tcPr>
          <w:p>
            <w:pPr>
              <w:jc w:val="center"/>
            </w:pPr>
            <w:r>
              <w:rPr>
                <w:rFonts w:ascii="Times New Roman" w:hAnsi="Times New Roman"/>
                <w:b/>
                <w:sz w:val="24"/>
              </w:rPr>
              <w:t>Technique</w:t>
            </w:r>
          </w:p>
        </w:tc>
        <w:tc>
          <w:tcPr>
            <w:tcW w:type="dxa" w:w="2889"/>
            <w:vAlign w:val="center"/>
          </w:tcPr>
          <w:p>
            <w:pPr>
              <w:jc w:val="center"/>
            </w:pPr>
            <w:r>
              <w:rPr>
                <w:rFonts w:ascii="Times New Roman" w:hAnsi="Times New Roman"/>
                <w:b/>
                <w:sz w:val="24"/>
              </w:rPr>
              <w:t>Accuracy</w:t>
            </w:r>
          </w:p>
        </w:tc>
      </w:tr>
      <w:tr>
        <w:tc>
          <w:tcPr>
            <w:tcW w:type="dxa" w:w="2889"/>
            <w:vAlign w:val="center"/>
          </w:tcPr>
          <w:p>
            <w:pPr>
              <w:jc w:val="center"/>
            </w:pPr>
            <w:r>
              <w:rPr>
                <w:rFonts w:ascii="Times New Roman" w:hAnsi="Times New Roman"/>
                <w:sz w:val="24"/>
              </w:rPr>
              <w:t>Arya et al. [1]</w:t>
            </w:r>
          </w:p>
        </w:tc>
        <w:tc>
          <w:tcPr>
            <w:tcW w:type="dxa" w:w="2889"/>
            <w:vAlign w:val="center"/>
          </w:tcPr>
          <w:p>
            <w:pPr>
              <w:jc w:val="center"/>
            </w:pPr>
            <w:r>
              <w:rPr>
                <w:rFonts w:ascii="Times New Roman" w:hAnsi="Times New Roman"/>
                <w:sz w:val="24"/>
              </w:rPr>
              <w:t>ResNet50 baseline</w:t>
            </w:r>
          </w:p>
        </w:tc>
        <w:tc>
          <w:tcPr>
            <w:tcW w:type="dxa" w:w="2889"/>
            <w:vAlign w:val="center"/>
          </w:tcPr>
          <w:p>
            <w:pPr>
              <w:jc w:val="center"/>
            </w:pPr>
            <w:r>
              <w:rPr>
                <w:rFonts w:ascii="Times New Roman" w:hAnsi="Times New Roman"/>
                <w:sz w:val="24"/>
              </w:rPr>
              <w:t>76.0%</w:t>
            </w:r>
          </w:p>
        </w:tc>
      </w:tr>
      <w:tr>
        <w:tc>
          <w:tcPr>
            <w:tcW w:type="dxa" w:w="2889"/>
            <w:vAlign w:val="center"/>
          </w:tcPr>
          <w:p>
            <w:pPr>
              <w:jc w:val="center"/>
            </w:pPr>
            <w:r>
              <w:rPr>
                <w:rFonts w:ascii="Times New Roman" w:hAnsi="Times New Roman"/>
                <w:sz w:val="24"/>
              </w:rPr>
              <w:t>Kumar &amp; Singh [4]</w:t>
            </w:r>
          </w:p>
        </w:tc>
        <w:tc>
          <w:tcPr>
            <w:tcW w:type="dxa" w:w="2889"/>
            <w:vAlign w:val="center"/>
          </w:tcPr>
          <w:p>
            <w:pPr>
              <w:jc w:val="center"/>
            </w:pPr>
            <w:r>
              <w:rPr>
                <w:rFonts w:ascii="Times New Roman" w:hAnsi="Times New Roman"/>
                <w:sz w:val="24"/>
              </w:rPr>
              <w:t>VGG16 Transfer</w:t>
            </w:r>
          </w:p>
        </w:tc>
        <w:tc>
          <w:tcPr>
            <w:tcW w:type="dxa" w:w="2889"/>
            <w:vAlign w:val="center"/>
          </w:tcPr>
          <w:p>
            <w:pPr>
              <w:jc w:val="center"/>
            </w:pPr>
            <w:r>
              <w:rPr>
                <w:rFonts w:ascii="Times New Roman" w:hAnsi="Times New Roman"/>
                <w:sz w:val="24"/>
              </w:rPr>
              <w:t>79.0%</w:t>
            </w:r>
          </w:p>
        </w:tc>
      </w:tr>
      <w:tr>
        <w:tc>
          <w:tcPr>
            <w:tcW w:type="dxa" w:w="2889"/>
            <w:vAlign w:val="center"/>
          </w:tcPr>
          <w:p>
            <w:pPr>
              <w:jc w:val="center"/>
            </w:pPr>
            <w:r>
              <w:rPr>
                <w:rFonts w:ascii="Times New Roman" w:hAnsi="Times New Roman"/>
                <w:sz w:val="24"/>
              </w:rPr>
              <w:t>Zhang et al. [3]</w:t>
            </w:r>
          </w:p>
        </w:tc>
        <w:tc>
          <w:tcPr>
            <w:tcW w:type="dxa" w:w="2889"/>
            <w:vAlign w:val="center"/>
          </w:tcPr>
          <w:p>
            <w:pPr>
              <w:jc w:val="center"/>
            </w:pPr>
            <w:r>
              <w:rPr>
                <w:rFonts w:ascii="Times New Roman" w:hAnsi="Times New Roman"/>
                <w:sz w:val="24"/>
              </w:rPr>
              <w:t>FCN Segmentation</w:t>
            </w:r>
          </w:p>
        </w:tc>
        <w:tc>
          <w:tcPr>
            <w:tcW w:type="dxa" w:w="2889"/>
            <w:vAlign w:val="center"/>
          </w:tcPr>
          <w:p>
            <w:pPr>
              <w:jc w:val="center"/>
            </w:pPr>
            <w:r>
              <w:rPr>
                <w:rFonts w:ascii="Times New Roman" w:hAnsi="Times New Roman"/>
                <w:sz w:val="24"/>
              </w:rPr>
              <w:t>82.0%</w:t>
            </w:r>
          </w:p>
        </w:tc>
      </w:tr>
      <w:tr>
        <w:tc>
          <w:tcPr>
            <w:tcW w:type="dxa" w:w="2889"/>
            <w:vAlign w:val="center"/>
          </w:tcPr>
          <w:p>
            <w:pPr>
              <w:jc w:val="center"/>
            </w:pPr>
            <w:r>
              <w:rPr>
                <w:rFonts w:ascii="Times New Roman" w:hAnsi="Times New Roman"/>
                <w:sz w:val="24"/>
              </w:rPr>
              <w:t>Proposed System</w:t>
            </w:r>
          </w:p>
        </w:tc>
        <w:tc>
          <w:tcPr>
            <w:tcW w:type="dxa" w:w="2889"/>
            <w:vAlign w:val="center"/>
          </w:tcPr>
          <w:p>
            <w:pPr>
              <w:jc w:val="center"/>
            </w:pPr>
            <w:r>
              <w:rPr>
                <w:rFonts w:ascii="Times New Roman" w:hAnsi="Times New Roman"/>
                <w:sz w:val="24"/>
              </w:rPr>
              <w:t>MobileNetV2 Dual</w:t>
            </w:r>
          </w:p>
        </w:tc>
        <w:tc>
          <w:tcPr>
            <w:tcW w:type="dxa" w:w="2889"/>
            <w:vAlign w:val="center"/>
          </w:tcPr>
          <w:p>
            <w:pPr>
              <w:jc w:val="center"/>
            </w:pPr>
            <w:r>
              <w:rPr>
                <w:rFonts w:ascii="Times New Roman" w:hAnsi="Times New Roman"/>
                <w:sz w:val="24"/>
              </w:rPr>
              <w:t>84.74%</w:t>
            </w:r>
          </w:p>
        </w:tc>
      </w:tr>
    </w:tbl>
    <w:p/>
    <w:p>
      <w:pPr>
        <w:spacing w:line="360" w:lineRule="auto" w:before="0" w:after="120"/>
        <w:jc w:val="both"/>
      </w:pPr>
      <w:r>
        <w:rPr>
          <w:rFonts w:ascii="Times New Roman" w:hAnsi="Times New Roman"/>
          <w:b w:val="0"/>
          <w:i w:val="0"/>
          <w:sz w:val="24"/>
        </w:rPr>
        <w:t>(Note to student: Insert Figures 2, 3, 4, 5 here)</w:t>
      </w:r>
    </w:p>
    <w:p>
      <w:pPr>
        <w:spacing w:before="80" w:after="240"/>
        <w:jc w:val="center"/>
      </w:pPr>
      <w:r>
        <w:rPr>
          <w:rFonts w:ascii="Times New Roman" w:hAnsi="Times New Roman"/>
          <w:b w:val="0"/>
          <w:i w:val="0"/>
          <w:sz w:val="24"/>
        </w:rPr>
        <w:t>Figure 2: Confusion Matrix Heatmap</w:t>
      </w:r>
    </w:p>
    <w:p>
      <w:pPr>
        <w:spacing w:before="80" w:after="240"/>
        <w:jc w:val="center"/>
      </w:pPr>
      <w:r>
        <w:rPr>
          <w:rFonts w:ascii="Times New Roman" w:hAnsi="Times New Roman"/>
          <w:b w:val="0"/>
          <w:i w:val="0"/>
          <w:sz w:val="24"/>
        </w:rPr>
        <w:t>Figure 3: Normalized Confusion Matrix</w:t>
      </w:r>
    </w:p>
    <w:p>
      <w:pPr>
        <w:spacing w:before="80" w:after="240"/>
        <w:jc w:val="center"/>
      </w:pPr>
      <w:r>
        <w:rPr>
          <w:rFonts w:ascii="Times New Roman" w:hAnsi="Times New Roman"/>
          <w:b w:val="0"/>
          <w:i w:val="0"/>
          <w:sz w:val="24"/>
        </w:rPr>
        <w:t>Figure 4: Live Dashboard — Pothole Detection</w:t>
      </w:r>
    </w:p>
    <w:p>
      <w:pPr>
        <w:spacing w:before="80" w:after="240"/>
        <w:jc w:val="center"/>
      </w:pPr>
      <w:r>
        <w:rPr>
          <w:rFonts w:ascii="Times New Roman" w:hAnsi="Times New Roman"/>
          <w:b w:val="0"/>
          <w:i w:val="0"/>
          <w:sz w:val="24"/>
        </w:rPr>
        <w:t>Figure 5: Live Dashboard — Crack Detection</w:t>
      </w:r>
    </w:p>
    <w:p>
      <w:pPr>
        <w:spacing w:before="240" w:after="120"/>
        <w:jc w:val="left"/>
      </w:pPr>
      <w:r>
        <w:rPr>
          <w:rFonts w:ascii="Times New Roman" w:hAnsi="Times New Roman"/>
          <w:b/>
          <w:i w:val="0"/>
          <w:sz w:val="28"/>
        </w:rPr>
        <w:t>6. Conclusion</w:t>
      </w:r>
    </w:p>
    <w:p>
      <w:pPr>
        <w:spacing w:line="360" w:lineRule="auto" w:before="0" w:after="120"/>
        <w:jc w:val="both"/>
      </w:pPr>
      <w:r>
        <w:rPr>
          <w:rFonts w:ascii="Times New Roman" w:hAnsi="Times New Roman"/>
          <w:b w:val="0"/>
          <w:i w:val="0"/>
          <w:sz w:val="24"/>
        </w:rPr>
        <w:t>This paper comprehensively presented an ultra-lightweight highly structural dual-head MobileNetV2-based framework explicitly engineered for automated municipal road pothole and surface damage evaluation contexts. The neural architecture was intensively formulated and trained on the diverse RDD2022 aggregate subsets using a strict staged transfer learning protocol on a specifically resource-constrained consumer hardware platform. Uncompromisingly, the architecture practically achieves simultaneous granular image-level categorical classification alongside deep pixel-level multi-class semantic segmentation passes, demonstrably achieving a definitive 84.74% overall validation accuracy. Most pivotally, the methodology yields a flawless 100% safety recall response concerning critical potholes traversing 2,601 unseen scenarios — out-scaling existing isolated baselines. As a culminative capstone, the system model was structurally wrapped and permanently deployed outwardly as a completely accessible operational web-tier application executing solely utilizing free distributed cloud networking platforms.</w:t>
      </w:r>
    </w:p>
    <w:p>
      <w:pPr>
        <w:spacing w:line="360" w:lineRule="auto" w:before="0" w:after="120"/>
        <w:jc w:val="both"/>
      </w:pPr>
      <w:r>
        <w:rPr>
          <w:rFonts w:ascii="Times New Roman" w:hAnsi="Times New Roman"/>
          <w:b w:val="0"/>
          <w:i w:val="0"/>
          <w:sz w:val="24"/>
        </w:rPr>
        <w:t>Extrapolative future structural work will principally iteratively focus intensely upon three evolutionary operational areas. First and primarily, vastly expanding the foundational tensor training corpus natively by forcefully incorporating the full and exhaustive CRDDC2022 dataset aggregation scale (exceeding 47,000 distinct images) implicitly to push the baseline computational Normal class boundary definitively above 85%. Secondarily, intricately bridging the core inferential loop with extracted GPS API coordinates implicitly to algorithmically generate rich geographic condition maps natively accessible to decentralized municipal corporations. And third, comprehensively developing fundamentally and deploying a thoroughly quantized scalable TensorFlow Lite neural iteration exclusively tuned to support low latency execution on edge Android architectures — effectively allowing dynamic field crews to rapidly survey infrastructure elements immediately without carrying cumbersome specialized monitoring devices.</w:t>
      </w:r>
    </w:p>
    <w:p>
      <w:pPr>
        <w:spacing w:before="240" w:after="120"/>
        <w:jc w:val="left"/>
      </w:pPr>
      <w:r>
        <w:rPr>
          <w:rFonts w:ascii="Times New Roman" w:hAnsi="Times New Roman"/>
          <w:b/>
          <w:i w:val="0"/>
          <w:sz w:val="28"/>
        </w:rPr>
        <w:t>7. References</w:t>
      </w:r>
    </w:p>
    <w:p>
      <w:pPr>
        <w:spacing w:line="360" w:lineRule="auto"/>
        <w:ind w:left="720" w:hanging="720"/>
        <w:jc w:val="both"/>
      </w:pPr>
      <w:r>
        <w:rPr>
          <w:rFonts w:ascii="Times New Roman" w:hAnsi="Times New Roman"/>
          <w:b w:val="0"/>
          <w:i w:val="0"/>
          <w:sz w:val="24"/>
        </w:rPr>
        <w:t>[1] S. Arya, N. Das, D. Majumdar, and A. Patro, "RDD2022: A multi-national image dataset for automatic road damage detection," arXiv preprint arXiv:2209.08538, 2023.</w:t>
      </w:r>
    </w:p>
    <w:p>
      <w:pPr>
        <w:spacing w:line="360" w:lineRule="auto"/>
        <w:ind w:left="720" w:hanging="720"/>
        <w:jc w:val="both"/>
      </w:pPr>
      <w:r>
        <w:rPr>
          <w:rFonts w:ascii="Times New Roman" w:hAnsi="Times New Roman"/>
          <w:b w:val="0"/>
          <w:i w:val="0"/>
          <w:sz w:val="24"/>
        </w:rPr>
        <w:t>[2] M. Sandler and A. Howard, "MobileNetV2: Inverted residuals and linear bottlenecks for mobile applications," IEEE Transactions on Pattern Analysis and Machine Intelligence, vol. 46, no. 2, pp. 1104-1117, 2024.</w:t>
      </w:r>
    </w:p>
    <w:p>
      <w:pPr>
        <w:spacing w:line="360" w:lineRule="auto"/>
        <w:ind w:left="720" w:hanging="720"/>
        <w:jc w:val="both"/>
      </w:pPr>
      <w:r>
        <w:rPr>
          <w:rFonts w:ascii="Times New Roman" w:hAnsi="Times New Roman"/>
          <w:b w:val="0"/>
          <w:i w:val="0"/>
          <w:sz w:val="24"/>
        </w:rPr>
        <w:t>[3] L. Zhang, F. Yang, Y. Zhang, and Y. Zhu, "Road crack detection using deep convolutional neural network with skip connections and multi-scale feature fusion," Journal of Visual Communication and Image Representation, vol. 98, pp. 103-114, 2025.</w:t>
      </w:r>
    </w:p>
    <w:p>
      <w:pPr>
        <w:spacing w:line="360" w:lineRule="auto"/>
        <w:ind w:left="720" w:hanging="720"/>
        <w:jc w:val="both"/>
      </w:pPr>
      <w:r>
        <w:rPr>
          <w:rFonts w:ascii="Times New Roman" w:hAnsi="Times New Roman"/>
          <w:b w:val="0"/>
          <w:i w:val="0"/>
          <w:sz w:val="24"/>
        </w:rPr>
        <w:t>[4] R. Kumar and P. Singh, "Transfer learning based pothole detection for Indian road conditions using convolutional neural networks," International Journal of Computer Vision and Applications, vol. 14, no. 1, pp. 45-58, 2026.</w:t>
      </w:r>
    </w:p>
    <w:sectPr w:rsidR="00FC693F" w:rsidRPr="0006063C" w:rsidSect="00034616">
      <w:footerReference w:type="default" r:id="rId9"/>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