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1F3F60"/>
          <w:sz w:val="28"/>
        </w:rPr>
        <w:t>TRAINING &amp; DEVELOPMENT OFFICE</w:t>
      </w:r>
    </w:p>
    <w:p>
      <w:pPr>
        <w:spacing w:after="360"/>
      </w:pPr>
      <w:r>
        <w:rPr>
          <w:b/>
          <w:color w:val="007377"/>
        </w:rPr>
        <w:t>Workshop Invitation</w:t>
      </w:r>
    </w:p>
    <w:p>
      <w:r>
        <w:t>«FirstName» «LastName»</w:t>
        <w:br/>
        <w:t>«Address»</w:t>
        <w:br/>
        <w:t>«City» «PostalCode»</w:t>
      </w:r>
    </w:p>
    <w:p>
      <w:r>
        <w:t>«Date»</w:t>
      </w:r>
    </w:p>
    <w:p>
      <w:r>
        <w:t>Subject: Invitation to «Program»</w:t>
      </w:r>
    </w:p>
    <w:p>
      <w:r>
        <w:t>Dear «FirstName»,</w:t>
      </w:r>
    </w:p>
    <w:p>
      <w:r>
        <w:t>We are pleased to invite you to participate in the «Program», scheduled for «Date». This workshop is designed to introduce practical programming concepts through guided examples and hands-on activities.</w:t>
      </w:r>
    </w:p>
    <w:p>
      <w:r>
        <w:t>Please arrive a little early to complete registration. We recommend bringing a laptop if available. Further venue and joining details can be confirmed by the organizing team.</w:t>
      </w:r>
    </w:p>
    <w:p>
      <w:r>
        <w:t>We look forward to your participation.</w:t>
      </w:r>
    </w:p>
    <w:p>
      <w:r>
        <w:t>Sincerely,</w:t>
        <w:br/>
        <w:t>Training &amp; Development Office</w:t>
      </w:r>
    </w:p>
    <w:p>
      <w:r>
        <w:br w:type="page"/>
      </w:r>
    </w:p>
    <w:p>
      <w:r>
        <w:rPr>
          <w:b/>
          <w:color w:val="1F3F60"/>
          <w:sz w:val="24"/>
        </w:rPr>
        <w:t>Mail Merge field mapping</w:t>
      </w:r>
    </w:p>
    <w:p>
      <w:r>
        <w:t>Replace the chevron placeholders with Word Mail Merge fields using the matching column names in Mail_Merge_Recipient_Dataset.xlsx. The completed personalized letters are provided separately.</w:t>
      </w:r>
    </w:p>
    <w:sectPr w:rsidR="00FC693F" w:rsidRPr="0006063C" w:rsidSect="00034616">
      <w:pgSz w:w="12240" w:h="15840"/>
      <w:pgMar w:top="1152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</w:pPr>
    <w:rPr>
      <w:rFonts w:ascii="Aptos" w:hAnsi="Aptos"/>
      <w:color w:val="2D3741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