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C91"/>
          <w:sz w:val="20"/>
        </w:rPr>
        <w:t>AI CONTENT GENERATION PRACTICAL</w:t>
      </w:r>
    </w:p>
    <w:p>
      <w:pPr>
        <w:pStyle w:val="Title"/>
        <w:jc w:val="center"/>
      </w:pPr>
      <w:r>
        <w:t>Structured AI-Generated Report</w:t>
      </w:r>
    </w:p>
    <w:p>
      <w:pPr>
        <w:jc w:val="center"/>
      </w:pPr>
      <w:r>
        <w:rPr>
          <w:b/>
          <w:sz w:val="24"/>
        </w:rPr>
        <w:t>Topic: Artificial Intelligence in Education</w:t>
      </w:r>
    </w:p>
    <w:p>
      <w:pPr>
        <w:pStyle w:val="Heading1"/>
      </w:pPr>
      <w:r>
        <w:t>1. Objective</w:t>
      </w:r>
    </w:p>
    <w:p>
      <w:r>
        <w:t>To generate a well-organized report using an AI content-generation tool by applying explicit constraints, including headings, tables, bullet points, word limits, tone, and a specified output format.</w:t>
      </w:r>
    </w:p>
    <w:p>
      <w:pPr>
        <w:pStyle w:val="Heading1"/>
      </w:pPr>
      <w:r>
        <w:t>2. AI-Generated Report</w:t>
      </w:r>
    </w:p>
    <w:p>
      <w:pPr>
        <w:pStyle w:val="Heading2"/>
      </w:pPr>
      <w:r>
        <w:t>Artificial Intelligence in Education: Benefits, Applications, and Challenges</w:t>
      </w:r>
    </w:p>
    <w:p>
      <w:pPr>
        <w:pStyle w:val="Heading2"/>
      </w:pPr>
      <w:r>
        <w:t>1. Introduction</w:t>
      </w:r>
    </w:p>
    <w:p>
      <w:r>
        <w:t>Artificial Intelligence (AI) is transforming education by supporting personalized learning, automating administrative tasks, and improving access to educational resources. AI-powered tools can help students understand complex concepts and assist teachers in evaluating student performance. When used responsibly, AI can complement teaching and support different learning needs.</w:t>
      </w:r>
    </w:p>
    <w:p>
      <w:pPr>
        <w:pStyle w:val="Heading2"/>
      </w:pPr>
      <w:r>
        <w:t>2. Applications of AI in Education</w:t>
      </w:r>
    </w:p>
    <w:p>
      <w:pPr>
        <w:pStyle w:val="ListBullet"/>
      </w:pPr>
      <w:r>
        <w:rPr>
          <w:b/>
        </w:rPr>
        <w:t xml:space="preserve">Personalized learning: </w:t>
      </w:r>
      <w:r>
        <w:t>Adapts educational content and practice activities to individual student needs.</w:t>
      </w:r>
    </w:p>
    <w:p>
      <w:pPr>
        <w:pStyle w:val="ListBullet"/>
      </w:pPr>
      <w:r>
        <w:rPr>
          <w:b/>
        </w:rPr>
        <w:t xml:space="preserve">Intelligent tutoring: </w:t>
      </w:r>
      <w:r>
        <w:t>Provides explanations, hints, and exercises to help students learn at their own pace.</w:t>
      </w:r>
    </w:p>
    <w:p>
      <w:pPr>
        <w:pStyle w:val="ListBullet"/>
      </w:pPr>
      <w:r>
        <w:rPr>
          <w:b/>
        </w:rPr>
        <w:t xml:space="preserve">Automated assessment: </w:t>
      </w:r>
      <w:r>
        <w:t>Helps teachers evaluate quizzes and provide timely feedback.</w:t>
      </w:r>
    </w:p>
    <w:p>
      <w:pPr>
        <w:pStyle w:val="ListBullet"/>
      </w:pPr>
      <w:r>
        <w:rPr>
          <w:b/>
        </w:rPr>
        <w:t xml:space="preserve">Learning analytics: </w:t>
      </w:r>
      <w:r>
        <w:t>Highlights learning gaps and helps educators monitor progress.</w:t>
      </w:r>
    </w:p>
    <w:p>
      <w:pPr>
        <w:pStyle w:val="ListBullet"/>
      </w:pPr>
      <w:r>
        <w:rPr>
          <w:b/>
        </w:rPr>
        <w:t xml:space="preserve">Administrative automation: </w:t>
      </w:r>
      <w:r>
        <w:t>Supports routine tasks such as scheduling and documentation.</w:t>
      </w:r>
    </w:p>
    <w:p>
      <w:pPr>
        <w:pStyle w:val="Heading2"/>
      </w:pPr>
      <w:r>
        <w:t>3. Benefits and Challenges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63A5F"/>
          </w:tcPr>
          <w:p>
            <w:pPr>
              <w:spacing w:after="20"/>
            </w:pPr>
            <w:r/>
            <w:r>
              <w:rPr>
                <w:rFonts w:ascii="Calibri" w:hAnsi="Calibri"/>
                <w:b/>
                <w:color w:val="FFFFFF"/>
                <w:sz w:val="20"/>
              </w:rPr>
              <w:t>Benefits</w:t>
            </w:r>
          </w:p>
        </w:tc>
        <w:tc>
          <w:tcPr>
            <w:tcW w:type="dxa" w:w="4968"/>
            <w:vAlign w:val="center"/>
            <w:shd w:fill="163A5F"/>
          </w:tcPr>
          <w:p>
            <w:pPr>
              <w:spacing w:after="20"/>
            </w:pPr>
            <w:r/>
            <w:r>
              <w:rPr>
                <w:rFonts w:ascii="Calibri" w:hAnsi="Calibri"/>
                <w:b/>
                <w:color w:val="FFFFFF"/>
                <w:sz w:val="20"/>
              </w:rPr>
              <w:t>Challenges</w:t>
            </w:r>
          </w:p>
        </w:tc>
      </w:tr>
      <w:tr>
        <w:tc>
          <w:tcPr>
            <w:tcW w:type="dxa" w:w="4968"/>
            <w:vAlign w:val="center"/>
          </w:tcPr>
          <w:p>
            <w:pPr>
              <w:spacing w:after="20"/>
            </w:pPr>
            <w:r/>
            <w:r>
              <w:rPr>
                <w:rFonts w:ascii="Calibri" w:hAnsi="Calibri"/>
                <w:b w:val="0"/>
                <w:color w:val="222222"/>
                <w:sz w:val="19"/>
              </w:rPr>
              <w:t>Personalized learning experiences</w:t>
            </w:r>
          </w:p>
        </w:tc>
        <w:tc>
          <w:tcPr>
            <w:tcW w:type="dxa" w:w="4968"/>
            <w:vAlign w:val="center"/>
          </w:tcPr>
          <w:p>
            <w:pPr>
              <w:spacing w:after="20"/>
            </w:pPr>
            <w:r/>
            <w:r>
              <w:rPr>
                <w:rFonts w:ascii="Calibri" w:hAnsi="Calibri"/>
                <w:b w:val="0"/>
                <w:color w:val="222222"/>
                <w:sz w:val="19"/>
              </w:rPr>
              <w:t>Student data privacy</w:t>
            </w:r>
          </w:p>
        </w:tc>
      </w:tr>
      <w:tr>
        <w:tc>
          <w:tcPr>
            <w:tcW w:type="dxa" w:w="4968"/>
            <w:vAlign w:val="center"/>
          </w:tcPr>
          <w:p>
            <w:pPr>
              <w:spacing w:after="20"/>
            </w:pPr>
            <w:r/>
            <w:r>
              <w:rPr>
                <w:rFonts w:ascii="Calibri" w:hAnsi="Calibri"/>
                <w:b w:val="0"/>
                <w:color w:val="222222"/>
                <w:sz w:val="19"/>
              </w:rPr>
              <w:t>Faster feedback on practice work</w:t>
            </w:r>
          </w:p>
        </w:tc>
        <w:tc>
          <w:tcPr>
            <w:tcW w:type="dxa" w:w="4968"/>
            <w:vAlign w:val="center"/>
          </w:tcPr>
          <w:p>
            <w:pPr>
              <w:spacing w:after="20"/>
            </w:pPr>
            <w:r/>
            <w:r>
              <w:rPr>
                <w:rFonts w:ascii="Calibri" w:hAnsi="Calibri"/>
                <w:b w:val="0"/>
                <w:color w:val="222222"/>
                <w:sz w:val="19"/>
              </w:rPr>
              <w:t>Potential algorithmic bias</w:t>
            </w:r>
          </w:p>
        </w:tc>
      </w:tr>
      <w:tr>
        <w:tc>
          <w:tcPr>
            <w:tcW w:type="dxa" w:w="4968"/>
            <w:vAlign w:val="center"/>
          </w:tcPr>
          <w:p>
            <w:pPr>
              <w:spacing w:after="20"/>
            </w:pPr>
            <w:r/>
            <w:r>
              <w:rPr>
                <w:rFonts w:ascii="Calibri" w:hAnsi="Calibri"/>
                <w:b w:val="0"/>
                <w:color w:val="222222"/>
                <w:sz w:val="19"/>
              </w:rPr>
              <w:t>Improved accessibility to resources</w:t>
            </w:r>
          </w:p>
        </w:tc>
        <w:tc>
          <w:tcPr>
            <w:tcW w:type="dxa" w:w="4968"/>
            <w:vAlign w:val="center"/>
          </w:tcPr>
          <w:p>
            <w:pPr>
              <w:spacing w:after="20"/>
            </w:pPr>
            <w:r/>
            <w:r>
              <w:rPr>
                <w:rFonts w:ascii="Calibri" w:hAnsi="Calibri"/>
                <w:b w:val="0"/>
                <w:color w:val="222222"/>
                <w:sz w:val="19"/>
              </w:rPr>
              <w:t>Unequal access to devices and internet</w:t>
            </w:r>
          </w:p>
        </w:tc>
      </w:tr>
      <w:tr>
        <w:tc>
          <w:tcPr>
            <w:tcW w:type="dxa" w:w="4968"/>
            <w:vAlign w:val="center"/>
          </w:tcPr>
          <w:p>
            <w:pPr>
              <w:spacing w:after="20"/>
            </w:pPr>
            <w:r/>
            <w:r>
              <w:rPr>
                <w:rFonts w:ascii="Calibri" w:hAnsi="Calibri"/>
                <w:b w:val="0"/>
                <w:color w:val="222222"/>
                <w:sz w:val="19"/>
              </w:rPr>
              <w:t>Reduced repetitive workload</w:t>
            </w:r>
          </w:p>
        </w:tc>
        <w:tc>
          <w:tcPr>
            <w:tcW w:type="dxa" w:w="4968"/>
            <w:vAlign w:val="center"/>
          </w:tcPr>
          <w:p>
            <w:pPr>
              <w:spacing w:after="20"/>
            </w:pPr>
            <w:r/>
            <w:r>
              <w:rPr>
                <w:rFonts w:ascii="Calibri" w:hAnsi="Calibri"/>
                <w:b w:val="0"/>
                <w:color w:val="222222"/>
                <w:sz w:val="19"/>
              </w:rPr>
              <w:t>Overdependence on AI tools</w:t>
            </w:r>
          </w:p>
        </w:tc>
      </w:tr>
    </w:tbl>
    <w:p>
      <w:pPr>
        <w:pStyle w:val="Heading2"/>
      </w:pPr>
      <w:r>
        <w:t>4. Recommendations</w:t>
      </w:r>
    </w:p>
    <w:p>
      <w:pPr>
        <w:pStyle w:val="ListNumber"/>
      </w:pPr>
      <w:r>
        <w:t>Use AI as a supporting tool rather than a replacement for teachers.</w:t>
      </w:r>
    </w:p>
    <w:p>
      <w:pPr>
        <w:pStyle w:val="ListNumber"/>
      </w:pPr>
      <w:r>
        <w:t>Protect student information through appropriate privacy safeguards.</w:t>
      </w:r>
    </w:p>
    <w:p>
      <w:pPr>
        <w:pStyle w:val="ListNumber"/>
      </w:pPr>
      <w:r>
        <w:t>Verify AI-generated information for accuracy and relevance.</w:t>
      </w:r>
    </w:p>
    <w:p>
      <w:pPr>
        <w:pStyle w:val="ListNumber"/>
      </w:pPr>
      <w:r>
        <w:t>Provide digital literacy training to students and teachers.</w:t>
      </w:r>
    </w:p>
    <w:p>
      <w:pPr>
        <w:pStyle w:val="ListNumber"/>
      </w:pPr>
      <w:r>
        <w:t>Review AI systems for fairness, accessibility, and unintended bias.</w:t>
      </w:r>
    </w:p>
    <w:p>
      <w:pPr>
        <w:pStyle w:val="Heading2"/>
      </w:pPr>
      <w:r>
        <w:t>5. Conclusion</w:t>
      </w:r>
    </w:p>
    <w:p>
      <w:r>
        <w:t>AI can improve educational experiences when implemented responsibly. Combining AI-powered tools with teacher guidance, privacy protection, and critical thinking can help create more effective and inclusive learning environments. Schools should evaluate AI tools carefully and ensure that technology supports educational goals.</w:t>
      </w:r>
    </w:p>
    <w:p>
      <w:pPr>
        <w:pStyle w:val="Heading1"/>
      </w:pPr>
      <w:r>
        <w:t>3. Prompt with Explicit Constraints</w:t>
      </w:r>
    </w:p>
    <w:p>
      <w:r>
        <w:rPr>
          <w:b/>
        </w:rPr>
        <w:t xml:space="preserve">Task: </w:t>
      </w:r>
      <w:r>
        <w:t>Generate a structured report on “Artificial Intelligence in Education.”</w:t>
      </w:r>
    </w:p>
    <w:p>
      <w:r>
        <w:rPr>
          <w:b/>
        </w:rPr>
        <w:t xml:space="preserve">Instructions and constraints: </w:t>
      </w:r>
      <w:r/>
    </w:p>
    <w:p>
      <w:pPr>
        <w:pStyle w:val="ListNumber"/>
      </w:pPr>
      <w:r>
        <w:t>Start with a descriptive report title.</w:t>
      </w:r>
    </w:p>
    <w:p>
      <w:pPr>
        <w:pStyle w:val="ListNumber"/>
      </w:pPr>
      <w:r>
        <w:t>Include exactly five main sections: Introduction, Applications, Benefits and Challenges, Recommendations, and Conclusion.</w:t>
      </w:r>
    </w:p>
    <w:p>
      <w:pPr>
        <w:pStyle w:val="ListNumber"/>
      </w:pPr>
      <w:r>
        <w:t>Use numbered headings for all main sections.</w:t>
      </w:r>
    </w:p>
    <w:p>
      <w:pPr>
        <w:pStyle w:val="ListNumber"/>
      </w:pPr>
      <w:r>
        <w:t>Present applications and recommendations as bullet points or numbered lists.</w:t>
      </w:r>
    </w:p>
    <w:p>
      <w:pPr>
        <w:pStyle w:val="ListNumber"/>
      </w:pPr>
      <w:r>
        <w:t>Include exactly one comparison table with two columns: Benefits and Challenges.</w:t>
      </w:r>
    </w:p>
    <w:p>
      <w:pPr>
        <w:pStyle w:val="ListNumber"/>
      </w:pPr>
      <w:r>
        <w:t>Use formal, clear, and grammatically correct English.</w:t>
      </w:r>
    </w:p>
    <w:p>
      <w:pPr>
        <w:pStyle w:val="ListNumber"/>
      </w:pPr>
      <w:r>
        <w:t>Keep the report between 400 and 600 words.</w:t>
      </w:r>
    </w:p>
    <w:p>
      <w:pPr>
        <w:pStyle w:val="ListNumber"/>
      </w:pPr>
      <w:r>
        <w:t>Avoid repetitive information and unsupported statistics.</w:t>
      </w:r>
    </w:p>
    <w:p>
      <w:pPr>
        <w:pStyle w:val="ListNumber"/>
      </w:pPr>
      <w:r>
        <w:t>Include practical examples relevant to students and teachers.</w:t>
      </w:r>
    </w:p>
    <w:p>
      <w:pPr>
        <w:pStyle w:val="ListNumber"/>
      </w:pPr>
      <w:r>
        <w:t>Format the output professionally for a Word document, using headings, lists, and a table.</w:t>
      </w:r>
    </w:p>
    <w:p>
      <w:pPr>
        <w:pStyle w:val="Heading1"/>
      </w:pPr>
      <w:r>
        <w:t>4. How Constraints Improve the Output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007C91"/>
          </w:tcPr>
          <w:p>
            <w:pPr>
              <w:spacing w:after="20"/>
            </w:pPr>
            <w:r/>
            <w:r>
              <w:rPr>
                <w:rFonts w:ascii="Calibri" w:hAnsi="Calibri"/>
                <w:b/>
                <w:color w:val="FFFFFF"/>
                <w:sz w:val="20"/>
              </w:rPr>
              <w:t>Constraint</w:t>
            </w:r>
          </w:p>
        </w:tc>
        <w:tc>
          <w:tcPr>
            <w:tcW w:type="dxa" w:w="4968"/>
            <w:vAlign w:val="center"/>
            <w:shd w:fill="007C91"/>
          </w:tcPr>
          <w:p>
            <w:pPr>
              <w:spacing w:after="20"/>
            </w:pPr>
            <w:r/>
            <w:r>
              <w:rPr>
                <w:rFonts w:ascii="Calibri" w:hAnsi="Calibri"/>
                <w:b/>
                <w:color w:val="FFFFFF"/>
                <w:sz w:val="20"/>
              </w:rPr>
              <w:t>Purpose</w:t>
            </w:r>
          </w:p>
        </w:tc>
      </w:tr>
      <w:tr>
        <w:tc>
          <w:tcPr>
            <w:tcW w:type="dxa" w:w="4968"/>
            <w:vAlign w:val="center"/>
          </w:tcPr>
          <w:p>
            <w:pPr>
              <w:spacing w:after="20"/>
            </w:pPr>
            <w:r/>
            <w:r>
              <w:rPr>
                <w:rFonts w:ascii="Calibri" w:hAnsi="Calibri"/>
                <w:b w:val="0"/>
                <w:color w:val="222222"/>
                <w:sz w:val="19"/>
              </w:rPr>
              <w:t>Headings</w:t>
            </w:r>
          </w:p>
        </w:tc>
        <w:tc>
          <w:tcPr>
            <w:tcW w:type="dxa" w:w="4968"/>
            <w:vAlign w:val="center"/>
          </w:tcPr>
          <w:p>
            <w:pPr>
              <w:spacing w:after="20"/>
            </w:pPr>
            <w:r/>
            <w:r>
              <w:rPr>
                <w:rFonts w:ascii="Calibri" w:hAnsi="Calibri"/>
                <w:b w:val="0"/>
                <w:color w:val="222222"/>
                <w:sz w:val="19"/>
              </w:rPr>
              <w:t>Organize content into logical sections.</w:t>
            </w:r>
          </w:p>
        </w:tc>
      </w:tr>
      <w:tr>
        <w:tc>
          <w:tcPr>
            <w:tcW w:type="dxa" w:w="4968"/>
            <w:vAlign w:val="center"/>
          </w:tcPr>
          <w:p>
            <w:pPr>
              <w:spacing w:after="20"/>
            </w:pPr>
            <w:r/>
            <w:r>
              <w:rPr>
                <w:rFonts w:ascii="Calibri" w:hAnsi="Calibri"/>
                <w:b w:val="0"/>
                <w:color w:val="222222"/>
                <w:sz w:val="19"/>
              </w:rPr>
              <w:t>Tables</w:t>
            </w:r>
          </w:p>
        </w:tc>
        <w:tc>
          <w:tcPr>
            <w:tcW w:type="dxa" w:w="4968"/>
            <w:vAlign w:val="center"/>
          </w:tcPr>
          <w:p>
            <w:pPr>
              <w:spacing w:after="20"/>
            </w:pPr>
            <w:r/>
            <w:r>
              <w:rPr>
                <w:rFonts w:ascii="Calibri" w:hAnsi="Calibri"/>
                <w:b w:val="0"/>
                <w:color w:val="222222"/>
                <w:sz w:val="19"/>
              </w:rPr>
              <w:t>Present comparisons clearly and compactly.</w:t>
            </w:r>
          </w:p>
        </w:tc>
      </w:tr>
      <w:tr>
        <w:tc>
          <w:tcPr>
            <w:tcW w:type="dxa" w:w="4968"/>
            <w:vAlign w:val="center"/>
          </w:tcPr>
          <w:p>
            <w:pPr>
              <w:spacing w:after="20"/>
            </w:pPr>
            <w:r/>
            <w:r>
              <w:rPr>
                <w:rFonts w:ascii="Calibri" w:hAnsi="Calibri"/>
                <w:b w:val="0"/>
                <w:color w:val="222222"/>
                <w:sz w:val="19"/>
              </w:rPr>
              <w:t>Bullet points</w:t>
            </w:r>
          </w:p>
        </w:tc>
        <w:tc>
          <w:tcPr>
            <w:tcW w:type="dxa" w:w="4968"/>
            <w:vAlign w:val="center"/>
          </w:tcPr>
          <w:p>
            <w:pPr>
              <w:spacing w:after="20"/>
            </w:pPr>
            <w:r/>
            <w:r>
              <w:rPr>
                <w:rFonts w:ascii="Calibri" w:hAnsi="Calibri"/>
                <w:b w:val="0"/>
                <w:color w:val="222222"/>
                <w:sz w:val="19"/>
              </w:rPr>
              <w:t>Make key information easier to scan.</w:t>
            </w:r>
          </w:p>
        </w:tc>
      </w:tr>
      <w:tr>
        <w:tc>
          <w:tcPr>
            <w:tcW w:type="dxa" w:w="4968"/>
            <w:vAlign w:val="center"/>
          </w:tcPr>
          <w:p>
            <w:pPr>
              <w:spacing w:after="20"/>
            </w:pPr>
            <w:r/>
            <w:r>
              <w:rPr>
                <w:rFonts w:ascii="Calibri" w:hAnsi="Calibri"/>
                <w:b w:val="0"/>
                <w:color w:val="222222"/>
                <w:sz w:val="19"/>
              </w:rPr>
              <w:t>Word limit</w:t>
            </w:r>
          </w:p>
        </w:tc>
        <w:tc>
          <w:tcPr>
            <w:tcW w:type="dxa" w:w="4968"/>
            <w:vAlign w:val="center"/>
          </w:tcPr>
          <w:p>
            <w:pPr>
              <w:spacing w:after="20"/>
            </w:pPr>
            <w:r/>
            <w:r>
              <w:rPr>
                <w:rFonts w:ascii="Calibri" w:hAnsi="Calibri"/>
                <w:b w:val="0"/>
                <w:color w:val="222222"/>
                <w:sz w:val="19"/>
              </w:rPr>
              <w:t>Control report length and level of detail.</w:t>
            </w:r>
          </w:p>
        </w:tc>
      </w:tr>
      <w:tr>
        <w:tc>
          <w:tcPr>
            <w:tcW w:type="dxa" w:w="4968"/>
            <w:vAlign w:val="center"/>
          </w:tcPr>
          <w:p>
            <w:pPr>
              <w:spacing w:after="20"/>
            </w:pPr>
            <w:r/>
            <w:r>
              <w:rPr>
                <w:rFonts w:ascii="Calibri" w:hAnsi="Calibri"/>
                <w:b w:val="0"/>
                <w:color w:val="222222"/>
                <w:sz w:val="19"/>
              </w:rPr>
              <w:t>Specified section count</w:t>
            </w:r>
          </w:p>
        </w:tc>
        <w:tc>
          <w:tcPr>
            <w:tcW w:type="dxa" w:w="4968"/>
            <w:vAlign w:val="center"/>
          </w:tcPr>
          <w:p>
            <w:pPr>
              <w:spacing w:after="20"/>
            </w:pPr>
            <w:r/>
            <w:r>
              <w:rPr>
                <w:rFonts w:ascii="Calibri" w:hAnsi="Calibri"/>
                <w:b w:val="0"/>
                <w:color w:val="222222"/>
                <w:sz w:val="19"/>
              </w:rPr>
              <w:t>Ensure consistent structure.</w:t>
            </w:r>
          </w:p>
        </w:tc>
      </w:tr>
      <w:tr>
        <w:tc>
          <w:tcPr>
            <w:tcW w:type="dxa" w:w="4968"/>
            <w:vAlign w:val="center"/>
          </w:tcPr>
          <w:p>
            <w:pPr>
              <w:spacing w:after="20"/>
            </w:pPr>
            <w:r/>
            <w:r>
              <w:rPr>
                <w:rFonts w:ascii="Calibri" w:hAnsi="Calibri"/>
                <w:b w:val="0"/>
                <w:color w:val="222222"/>
                <w:sz w:val="19"/>
              </w:rPr>
              <w:t>Tone requirement</w:t>
            </w:r>
          </w:p>
        </w:tc>
        <w:tc>
          <w:tcPr>
            <w:tcW w:type="dxa" w:w="4968"/>
            <w:vAlign w:val="center"/>
          </w:tcPr>
          <w:p>
            <w:pPr>
              <w:spacing w:after="20"/>
            </w:pPr>
            <w:r/>
            <w:r>
              <w:rPr>
                <w:rFonts w:ascii="Calibri" w:hAnsi="Calibri"/>
                <w:b w:val="0"/>
                <w:color w:val="222222"/>
                <w:sz w:val="19"/>
              </w:rPr>
              <w:t>Maintain professional language.</w:t>
            </w:r>
          </w:p>
        </w:tc>
      </w:tr>
      <w:tr>
        <w:tc>
          <w:tcPr>
            <w:tcW w:type="dxa" w:w="4968"/>
            <w:vAlign w:val="center"/>
          </w:tcPr>
          <w:p>
            <w:pPr>
              <w:spacing w:after="20"/>
            </w:pPr>
            <w:r/>
            <w:r>
              <w:rPr>
                <w:rFonts w:ascii="Calibri" w:hAnsi="Calibri"/>
                <w:b w:val="0"/>
                <w:color w:val="222222"/>
                <w:sz w:val="19"/>
              </w:rPr>
              <w:t>Output format</w:t>
            </w:r>
          </w:p>
        </w:tc>
        <w:tc>
          <w:tcPr>
            <w:tcW w:type="dxa" w:w="4968"/>
            <w:vAlign w:val="center"/>
          </w:tcPr>
          <w:p>
            <w:pPr>
              <w:spacing w:after="20"/>
            </w:pPr>
            <w:r/>
            <w:r>
              <w:rPr>
                <w:rFonts w:ascii="Calibri" w:hAnsi="Calibri"/>
                <w:b w:val="0"/>
                <w:color w:val="222222"/>
                <w:sz w:val="19"/>
              </w:rPr>
              <w:t>Make the report easier to edit and reuse.</w:t>
            </w:r>
          </w:p>
        </w:tc>
      </w:tr>
    </w:tbl>
    <w:p>
      <w:pPr>
        <w:pStyle w:val="Heading1"/>
      </w:pPr>
      <w:r>
        <w:t>5. Conclusion of the Practical</w:t>
      </w:r>
    </w:p>
    <w:p>
      <w:r>
        <w:t>Structured prompting helps users control the organization, presentation, length, and style of AI-generated content. By specifying clear constraints, users can create reports that are easier to read, evaluate, edit, and submit for academic or professional purposes. The generated content should still be reviewed for accuracy before use.</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Structured AI-Generated Report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6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7C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6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