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C91"/>
          <w:sz w:val="22"/>
        </w:rPr>
        <w:t>PROMPT ENGINEERING PRACTICAL</w:t>
      </w:r>
    </w:p>
    <w:p>
      <w:pPr>
        <w:pStyle w:val="Title"/>
        <w:jc w:val="center"/>
      </w:pPr>
      <w:r>
        <w:t>Zero-Shot, One-Shot and Few-Shot Prompting</w:t>
      </w:r>
    </w:p>
    <w:p>
      <w:pPr>
        <w:jc w:val="center"/>
      </w:pPr>
      <w:r>
        <w:rPr>
          <w:b/>
          <w:sz w:val="24"/>
        </w:rPr>
        <w:t>Task: Generate a Modern, Professional Poster on “AI and Technology”</w:t>
      </w:r>
    </w:p>
    <w:p>
      <w:pPr>
        <w:pStyle w:val="Heading1"/>
      </w:pPr>
      <w:r>
        <w:t>1. Aim</w:t>
      </w:r>
    </w:p>
    <w:p>
      <w:r>
        <w:t>To develop zero-shot, one-shot, and few-shot prompts for the same poster-generation task, then compare their generated outputs using consistent evaluation criteria.</w:t>
      </w:r>
    </w:p>
    <w:p>
      <w:pPr>
        <w:pStyle w:val="Heading1"/>
      </w:pPr>
      <w:r>
        <w:t>2. Tools Required</w:t>
      </w:r>
    </w:p>
    <w:p>
      <w:r>
        <w:t>An AI content/image-generation tool and a design platform such as Canva or Figma. Use the same AI tool, image dimensions, and output settings for all three prompts wherever possible.</w:t>
      </w:r>
    </w:p>
    <w:p>
      <w:pPr>
        <w:pStyle w:val="Heading1"/>
      </w:pPr>
      <w:r>
        <w:t>3. Task Description</w:t>
      </w:r>
    </w:p>
    <w:p>
      <w:r>
        <w:t>Generate a modern, professional poster titled “Artificial Intelligence and Technology.” The poster should explain AI’s role in modern life, show benefits and real-world applications, promote responsible AI use, and include a memorable closing slogan.</w:t>
      </w:r>
    </w:p>
    <w:p>
      <w:pPr>
        <w:pStyle w:val="Heading1"/>
      </w:pPr>
      <w:r>
        <w:t>4. Prompt Design</w:t>
      </w:r>
    </w:p>
    <w:p>
      <w:pPr>
        <w:pStyle w:val="Heading2"/>
      </w:pPr>
      <w:r>
        <w:t>A. Zero-shot Prompt</w:t>
      </w:r>
    </w:p>
    <w:p>
      <w:r>
        <w:t>Create a modern, professional poster on the topic “Artificial Intelligence and Technology.” Include a bold headline, a futuristic AI robot, and a smart-city background. Add sections highlighting the benefits of AI—innovation, efficiency, sustainability, and improved quality of life—and its applications in healthcare, education, transportation, industry, and smart cities. Include responsible AI principles such as data privacy, fairness, transparency, and ethical use. Use a navy-blue background with cyan and purple accents, clear typography, and a balanced layout. Add the slogan “Let’s Build a Smarter Tomorrow.”</w:t>
      </w:r>
    </w:p>
    <w:p>
      <w:r>
        <w:t>Why it is zero-shot: The prompt gives direct instructions but provides no example of an expected poster.</w:t>
      </w:r>
    </w:p>
    <w:p>
      <w:pPr>
        <w:pStyle w:val="Heading2"/>
      </w:pPr>
      <w:r>
        <w:t>B. One-shot Prompt</w:t>
      </w:r>
    </w:p>
    <w:p>
      <w:r>
        <w:t>You are designing an informational poster. First, consider this example structure:</w:t>
      </w:r>
    </w:p>
    <w:p>
      <w:pPr>
        <w:ind w:left="360"/>
      </w:pPr>
      <w:r>
        <w:rPr>
          <w:i/>
        </w:rPr>
        <w:t>Example — “GREEN ENERGY, BRIGHTER FUTURE”</w:t>
        <w:br/>
        <w:t>Introduction: Explain why renewable energy matters.</w:t>
        <w:br/>
        <w:t>Benefits: Sustainability, cost savings, and environmental protection.</w:t>
        <w:br/>
        <w:t>Applications: Solar power, wind energy, and electric vehicles.</w:t>
        <w:br/>
        <w:t>Call to action: “POWER TOMORROW, TODAY.”</w:t>
      </w:r>
    </w:p>
    <w:p>
      <w:r>
        <w:t>Now use the same organizational structure to create a modern, professional poster titled “ARTIFICIAL INTELLIGENCE AND TECHNOLOGY.” Include: (1) a short introduction explaining how AI transforms everyday life; (2) benefits such as innovation, efficiency, sustainability, and accessibility; (3) applications in healthcare, education, transportation, industry, and smart cities; (4) responsible AI principles, including privacy, fairness, transparency, and inclusion; and (5) the slogan “LET’S BUILD A SMARTER TOMORROW.” Use a futuristic AI illustration, navy-blue and cyan colors, professional typography, and a clear visual hierarchy.</w:t>
      </w:r>
    </w:p>
    <w:p>
      <w:r>
        <w:t>Why it is one-shot: It provides one example of the desired structure before asking for the target poster.</w:t>
      </w:r>
    </w:p>
    <w:p>
      <w:pPr>
        <w:pStyle w:val="Heading2"/>
      </w:pPr>
      <w:r>
        <w:t>C. Few-shot Prompt</w:t>
      </w:r>
    </w:p>
    <w:p>
      <w:r>
        <w:t>You are a professional poster designer. Study these examples and apply their design principles to a poster about Artificial Intelligence and Technology.</w:t>
      </w:r>
    </w:p>
    <w:p>
      <w:pPr>
        <w:pStyle w:val="ListBullet"/>
      </w:pPr>
      <w:r>
        <w:rPr>
          <w:b/>
        </w:rPr>
        <w:t xml:space="preserve">Example 1 — Cybersecurity Awareness: </w:t>
      </w:r>
      <w:r>
        <w:t>Headline: “STAY SAFE IN THE DIGITAL WORLD.” Key points: strong passwords, multifactor authentication, and phishing awareness. Design: dark background, bright blue icons, concise text, and a prominent call to action.</w:t>
      </w:r>
    </w:p>
    <w:p>
      <w:pPr>
        <w:pStyle w:val="ListBullet"/>
      </w:pPr>
      <w:r>
        <w:rPr>
          <w:b/>
        </w:rPr>
        <w:t xml:space="preserve">Example 2 — Environmental Sustainability: </w:t>
      </w:r>
      <w:r>
        <w:t>Headline: “A GREENER PLANET STARTS WITH US.” Key points: renewable energy, waste reduction, and conservation. Design: green and white colors, nature-inspired illustrations, and clearly separated sections.</w:t>
      </w:r>
    </w:p>
    <w:p>
      <w:pPr>
        <w:pStyle w:val="ListBullet"/>
      </w:pPr>
      <w:r>
        <w:rPr>
          <w:b/>
        </w:rPr>
        <w:t xml:space="preserve">Example 3 — Digital Education: </w:t>
      </w:r>
      <w:r>
        <w:t>Headline: “LEARN SMARTER WITH TECHNOLOGY.” Key points: personalized learning, digital resources, and interactive education. Design: modern typography, technology illustrations, and concise supporting text.</w:t>
      </w:r>
    </w:p>
    <w:p>
      <w:r>
        <w:t>Your task: Create a modern, professional poster titled “ARTIFICIAL INTELLIGENCE AND TECHNOLOGY.” Include an introduction to AI; four benefits (innovation, efficiency, sustainability, and accessibility); five applications (healthcare, education, transportation, industry, and smart cities); responsible AI principles (ethical use, data privacy, fairness, transparency, and human-centered design); and the slogan “LET’S BUILD A SMARTER TOMORROW.” Use a dark navy background with cyan, purple, and restrained green accents. Include a futuristic AI robot and smart-city visuals. Keep the layout readable and organized with concise text, aligned sections, and clear headings. Avoid overcrowding, repeated points, and unsupported statistics. Apply the examples’ principles of clarity, concise messaging, and organized sections without copying their topics.</w:t>
      </w:r>
    </w:p>
    <w:p>
      <w:r>
        <w:t>Why it is few-shot: It uses three examples to demonstrate different design and communication principles.</w:t>
      </w:r>
    </w:p>
    <w:p>
      <w:pPr>
        <w:pStyle w:val="Heading1"/>
      </w:pPr>
      <w:r>
        <w:t>5. Expected Generated Outputs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spacing w:after="20"/>
            </w:pPr>
            <w:r/>
            <w:r>
              <w:rPr>
                <w:b/>
                <w:color w:val="FFFFFF"/>
                <w:sz w:val="18"/>
              </w:rPr>
              <w:t>Prompt Type</w:t>
            </w:r>
          </w:p>
        </w:tc>
        <w:tc>
          <w:tcPr>
            <w:tcW w:type="dxa" w:w="3360"/>
            <w:vAlign w:val="center"/>
            <w:shd w:fill="163A5F"/>
          </w:tcPr>
          <w:p>
            <w:pPr>
              <w:spacing w:after="20"/>
            </w:pPr>
            <w:r/>
            <w:r>
              <w:rPr>
                <w:b/>
                <w:color w:val="FFFFFF"/>
                <w:sz w:val="18"/>
              </w:rPr>
              <w:t>Expected Output Characteristics</w:t>
            </w:r>
          </w:p>
        </w:tc>
        <w:tc>
          <w:tcPr>
            <w:tcW w:type="dxa" w:w="3360"/>
            <w:vAlign w:val="center"/>
            <w:shd w:fill="163A5F"/>
          </w:tcPr>
          <w:p>
            <w:pPr>
              <w:spacing w:after="20"/>
            </w:pPr>
            <w:r/>
            <w:r>
              <w:rPr>
                <w:b/>
                <w:color w:val="FFFFFF"/>
                <w:sz w:val="18"/>
              </w:rPr>
              <w:t>Likely Strength / Limitation</w:t>
            </w:r>
          </w:p>
        </w:tc>
      </w:tr>
      <w:tr>
        <w:tc>
          <w:tcPr>
            <w:tcW w:type="dxa" w:w="3360"/>
            <w:vAlign w:val="center"/>
          </w:tcPr>
          <w:p>
            <w:pPr>
              <w:spacing w:after="20"/>
            </w:pPr>
            <w:r/>
            <w:r>
              <w:rPr>
                <w:b w:val="0"/>
                <w:sz w:val="17"/>
              </w:rPr>
              <w:t>Zero-shot</w:t>
            </w:r>
          </w:p>
        </w:tc>
        <w:tc>
          <w:tcPr>
            <w:tcW w:type="dxa" w:w="3360"/>
            <w:vAlign w:val="center"/>
          </w:tcPr>
          <w:p>
            <w:pPr>
              <w:spacing w:after="20"/>
            </w:pPr>
            <w:r/>
            <w:r>
              <w:rPr>
                <w:b w:val="0"/>
                <w:sz w:val="17"/>
              </w:rPr>
              <w:t>A poster with a headline, AI visual, benefits, applications, responsible AI, and slogan. Layout and emphasis are chosen by the model.</w:t>
            </w:r>
          </w:p>
        </w:tc>
        <w:tc>
          <w:tcPr>
            <w:tcW w:type="dxa" w:w="3360"/>
            <w:vAlign w:val="center"/>
          </w:tcPr>
          <w:p>
            <w:pPr>
              <w:spacing w:after="20"/>
            </w:pPr>
            <w:r/>
            <w:r>
              <w:rPr>
                <w:b w:val="0"/>
                <w:sz w:val="17"/>
              </w:rPr>
              <w:t>Fast and flexible; structure may be less predictable.</w:t>
            </w:r>
          </w:p>
        </w:tc>
      </w:tr>
      <w:tr>
        <w:tc>
          <w:tcPr>
            <w:tcW w:type="dxa" w:w="3360"/>
            <w:vAlign w:val="center"/>
          </w:tcPr>
          <w:p>
            <w:pPr>
              <w:spacing w:after="20"/>
            </w:pPr>
            <w:r/>
            <w:r>
              <w:rPr>
                <w:b w:val="0"/>
                <w:sz w:val="17"/>
              </w:rPr>
              <w:t>One-shot</w:t>
            </w:r>
          </w:p>
        </w:tc>
        <w:tc>
          <w:tcPr>
            <w:tcW w:type="dxa" w:w="3360"/>
            <w:vAlign w:val="center"/>
          </w:tcPr>
          <w:p>
            <w:pPr>
              <w:spacing w:after="20"/>
            </w:pPr>
            <w:r/>
            <w:r>
              <w:rPr>
                <w:b w:val="0"/>
                <w:sz w:val="17"/>
              </w:rPr>
              <w:t>A poster following the example’s sequence: introduction, benefits, applications, and call to action.</w:t>
            </w:r>
          </w:p>
        </w:tc>
        <w:tc>
          <w:tcPr>
            <w:tcW w:type="dxa" w:w="3360"/>
            <w:vAlign w:val="center"/>
          </w:tcPr>
          <w:p>
            <w:pPr>
              <w:spacing w:after="20"/>
            </w:pPr>
            <w:r/>
            <w:r>
              <w:rPr>
                <w:b w:val="0"/>
                <w:sz w:val="17"/>
              </w:rPr>
              <w:t>Useful format guidance; may imitate the example too closely.</w:t>
            </w:r>
          </w:p>
        </w:tc>
      </w:tr>
      <w:tr>
        <w:tc>
          <w:tcPr>
            <w:tcW w:type="dxa" w:w="3360"/>
            <w:vAlign w:val="center"/>
          </w:tcPr>
          <w:p>
            <w:pPr>
              <w:spacing w:after="20"/>
            </w:pPr>
            <w:r/>
            <w:r>
              <w:rPr>
                <w:b w:val="0"/>
                <w:sz w:val="17"/>
              </w:rPr>
              <w:t>Few-shot</w:t>
            </w:r>
          </w:p>
        </w:tc>
        <w:tc>
          <w:tcPr>
            <w:tcW w:type="dxa" w:w="3360"/>
            <w:vAlign w:val="center"/>
          </w:tcPr>
          <w:p>
            <w:pPr>
              <w:spacing w:after="20"/>
            </w:pPr>
            <w:r/>
            <w:r>
              <w:rPr>
                <w:b w:val="0"/>
                <w:sz w:val="17"/>
              </w:rPr>
              <w:t>A poster combining clear sections, concise messaging, consistent visual hierarchy, and responsible AI content.</w:t>
            </w:r>
          </w:p>
        </w:tc>
        <w:tc>
          <w:tcPr>
            <w:tcW w:type="dxa" w:w="3360"/>
            <w:vAlign w:val="center"/>
          </w:tcPr>
          <w:p>
            <w:pPr>
              <w:spacing w:after="20"/>
            </w:pPr>
            <w:r/>
            <w:r>
              <w:rPr>
                <w:b w:val="0"/>
                <w:sz w:val="17"/>
              </w:rPr>
              <w:t>Detailed guidance; longer prompt and examples may constrain creativity.</w:t>
            </w:r>
          </w:p>
        </w:tc>
      </w:tr>
    </w:tbl>
    <w:p>
      <w:pPr>
        <w:pStyle w:val="Heading1"/>
      </w:pPr>
      <w:r>
        <w:t>6. Comparison of Prompting Techniques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07C91"/>
          </w:tcPr>
          <w:p>
            <w:pPr>
              <w:spacing w:after="20"/>
            </w:pPr>
            <w:r/>
            <w:r>
              <w:rPr>
                <w:b/>
                <w:color w:val="FFFFFF"/>
                <w:sz w:val="18"/>
              </w:rPr>
              <w:t>Criterion</w:t>
            </w:r>
          </w:p>
        </w:tc>
        <w:tc>
          <w:tcPr>
            <w:tcW w:type="dxa" w:w="2520"/>
            <w:vAlign w:val="center"/>
            <w:shd w:fill="007C91"/>
          </w:tcPr>
          <w:p>
            <w:pPr>
              <w:spacing w:after="20"/>
            </w:pPr>
            <w:r/>
            <w:r>
              <w:rPr>
                <w:b/>
                <w:color w:val="FFFFFF"/>
                <w:sz w:val="18"/>
              </w:rPr>
              <w:t>Zero-shot</w:t>
            </w:r>
          </w:p>
        </w:tc>
        <w:tc>
          <w:tcPr>
            <w:tcW w:type="dxa" w:w="2520"/>
            <w:vAlign w:val="center"/>
            <w:shd w:fill="007C91"/>
          </w:tcPr>
          <w:p>
            <w:pPr>
              <w:spacing w:after="20"/>
            </w:pPr>
            <w:r/>
            <w:r>
              <w:rPr>
                <w:b/>
                <w:color w:val="FFFFFF"/>
                <w:sz w:val="18"/>
              </w:rPr>
              <w:t>One-shot</w:t>
            </w:r>
          </w:p>
        </w:tc>
        <w:tc>
          <w:tcPr>
            <w:tcW w:type="dxa" w:w="2520"/>
            <w:vAlign w:val="center"/>
            <w:shd w:fill="007C91"/>
          </w:tcPr>
          <w:p>
            <w:pPr>
              <w:spacing w:after="20"/>
            </w:pPr>
            <w:r/>
            <w:r>
              <w:rPr>
                <w:b/>
                <w:color w:val="FFFFFF"/>
                <w:sz w:val="18"/>
              </w:rPr>
              <w:t>Few-shot</w:t>
            </w:r>
          </w:p>
        </w:tc>
      </w:tr>
      <w:tr>
        <w:tc>
          <w:tcPr>
            <w:tcW w:type="dxa" w:w="2520"/>
            <w:vAlign w:val="center"/>
          </w:tcPr>
          <w:p>
            <w:pPr>
              <w:spacing w:after="20"/>
            </w:pPr>
            <w:r/>
            <w:r>
              <w:rPr>
                <w:b w:val="0"/>
                <w:sz w:val="17"/>
              </w:rPr>
              <w:t>Number of examples</w:t>
            </w:r>
          </w:p>
        </w:tc>
        <w:tc>
          <w:tcPr>
            <w:tcW w:type="dxa" w:w="2520"/>
            <w:vAlign w:val="center"/>
          </w:tcPr>
          <w:p>
            <w:pPr>
              <w:spacing w:after="20"/>
            </w:pPr>
            <w:r/>
            <w:r>
              <w:rPr>
                <w:b w:val="0"/>
                <w:sz w:val="17"/>
              </w:rPr>
              <w:t>0</w:t>
            </w:r>
          </w:p>
        </w:tc>
        <w:tc>
          <w:tcPr>
            <w:tcW w:type="dxa" w:w="2520"/>
            <w:vAlign w:val="center"/>
          </w:tcPr>
          <w:p>
            <w:pPr>
              <w:spacing w:after="20"/>
            </w:pPr>
            <w:r/>
            <w:r>
              <w:rPr>
                <w:b w:val="0"/>
                <w:sz w:val="17"/>
              </w:rPr>
              <w:t>1</w:t>
            </w:r>
          </w:p>
        </w:tc>
        <w:tc>
          <w:tcPr>
            <w:tcW w:type="dxa" w:w="2520"/>
            <w:vAlign w:val="center"/>
          </w:tcPr>
          <w:p>
            <w:pPr>
              <w:spacing w:after="20"/>
            </w:pPr>
            <w:r/>
            <w:r>
              <w:rPr>
                <w:b w:val="0"/>
                <w:sz w:val="17"/>
              </w:rPr>
              <w:t>2 or more</w:t>
            </w:r>
          </w:p>
        </w:tc>
      </w:tr>
      <w:tr>
        <w:tc>
          <w:tcPr>
            <w:tcW w:type="dxa" w:w="2520"/>
            <w:vAlign w:val="center"/>
          </w:tcPr>
          <w:p>
            <w:pPr>
              <w:spacing w:after="20"/>
            </w:pPr>
            <w:r/>
            <w:r>
              <w:rPr>
                <w:b w:val="0"/>
                <w:sz w:val="17"/>
              </w:rPr>
              <w:t>Prompt complexity</w:t>
            </w:r>
          </w:p>
        </w:tc>
        <w:tc>
          <w:tcPr>
            <w:tcW w:type="dxa" w:w="2520"/>
            <w:vAlign w:val="center"/>
          </w:tcPr>
          <w:p>
            <w:pPr>
              <w:spacing w:after="20"/>
            </w:pPr>
            <w:r/>
            <w:r>
              <w:rPr>
                <w:b w:val="0"/>
                <w:sz w:val="17"/>
              </w:rPr>
              <w:t>Low</w:t>
            </w:r>
          </w:p>
        </w:tc>
        <w:tc>
          <w:tcPr>
            <w:tcW w:type="dxa" w:w="2520"/>
            <w:vAlign w:val="center"/>
          </w:tcPr>
          <w:p>
            <w:pPr>
              <w:spacing w:after="20"/>
            </w:pPr>
            <w:r/>
            <w:r>
              <w:rPr>
                <w:b w:val="0"/>
                <w:sz w:val="17"/>
              </w:rPr>
              <w:t>Medium</w:t>
            </w:r>
          </w:p>
        </w:tc>
        <w:tc>
          <w:tcPr>
            <w:tcW w:type="dxa" w:w="2520"/>
            <w:vAlign w:val="center"/>
          </w:tcPr>
          <w:p>
            <w:pPr>
              <w:spacing w:after="20"/>
            </w:pPr>
            <w:r/>
            <w:r>
              <w:rPr>
                <w:b w:val="0"/>
                <w:sz w:val="17"/>
              </w:rPr>
              <w:t>High</w:t>
            </w:r>
          </w:p>
        </w:tc>
      </w:tr>
      <w:tr>
        <w:tc>
          <w:tcPr>
            <w:tcW w:type="dxa" w:w="2520"/>
            <w:vAlign w:val="center"/>
          </w:tcPr>
          <w:p>
            <w:pPr>
              <w:spacing w:after="20"/>
            </w:pPr>
            <w:r/>
            <w:r>
              <w:rPr>
                <w:b w:val="0"/>
                <w:sz w:val="17"/>
              </w:rPr>
              <w:t>Instruction style</w:t>
            </w:r>
          </w:p>
        </w:tc>
        <w:tc>
          <w:tcPr>
            <w:tcW w:type="dxa" w:w="2520"/>
            <w:vAlign w:val="center"/>
          </w:tcPr>
          <w:p>
            <w:pPr>
              <w:spacing w:after="20"/>
            </w:pPr>
            <w:r/>
            <w:r>
              <w:rPr>
                <w:b w:val="0"/>
                <w:sz w:val="17"/>
              </w:rPr>
              <w:t>Direct instructions</w:t>
            </w:r>
          </w:p>
        </w:tc>
        <w:tc>
          <w:tcPr>
            <w:tcW w:type="dxa" w:w="2520"/>
            <w:vAlign w:val="center"/>
          </w:tcPr>
          <w:p>
            <w:pPr>
              <w:spacing w:after="20"/>
            </w:pPr>
            <w:r/>
            <w:r>
              <w:rPr>
                <w:b w:val="0"/>
                <w:sz w:val="17"/>
              </w:rPr>
              <w:t>Instructions + one example</w:t>
            </w:r>
          </w:p>
        </w:tc>
        <w:tc>
          <w:tcPr>
            <w:tcW w:type="dxa" w:w="2520"/>
            <w:vAlign w:val="center"/>
          </w:tcPr>
          <w:p>
            <w:pPr>
              <w:spacing w:after="20"/>
            </w:pPr>
            <w:r/>
            <w:r>
              <w:rPr>
                <w:b w:val="0"/>
                <w:sz w:val="17"/>
              </w:rPr>
              <w:t>Instructions + multiple examples</w:t>
            </w:r>
          </w:p>
        </w:tc>
      </w:tr>
      <w:tr>
        <w:tc>
          <w:tcPr>
            <w:tcW w:type="dxa" w:w="2520"/>
            <w:vAlign w:val="center"/>
          </w:tcPr>
          <w:p>
            <w:pPr>
              <w:spacing w:after="20"/>
            </w:pPr>
            <w:r/>
            <w:r>
              <w:rPr>
                <w:b w:val="0"/>
                <w:sz w:val="17"/>
              </w:rPr>
              <w:t>Layout consistency</w:t>
            </w:r>
          </w:p>
        </w:tc>
        <w:tc>
          <w:tcPr>
            <w:tcW w:type="dxa" w:w="2520"/>
            <w:vAlign w:val="center"/>
          </w:tcPr>
          <w:p>
            <w:pPr>
              <w:spacing w:after="20"/>
            </w:pPr>
            <w:r/>
            <w:r>
              <w:rPr>
                <w:b w:val="0"/>
                <w:sz w:val="17"/>
              </w:rPr>
              <w:t>May vary</w:t>
            </w:r>
          </w:p>
        </w:tc>
        <w:tc>
          <w:tcPr>
            <w:tcW w:type="dxa" w:w="2520"/>
            <w:vAlign w:val="center"/>
          </w:tcPr>
          <w:p>
            <w:pPr>
              <w:spacing w:after="20"/>
            </w:pPr>
            <w:r/>
            <w:r>
              <w:rPr>
                <w:b w:val="0"/>
                <w:sz w:val="17"/>
              </w:rPr>
              <w:t>Guided by one format</w:t>
            </w:r>
          </w:p>
        </w:tc>
        <w:tc>
          <w:tcPr>
            <w:tcW w:type="dxa" w:w="2520"/>
            <w:vAlign w:val="center"/>
          </w:tcPr>
          <w:p>
            <w:pPr>
              <w:spacing w:after="20"/>
            </w:pPr>
            <w:r/>
            <w:r>
              <w:rPr>
                <w:b w:val="0"/>
                <w:sz w:val="17"/>
              </w:rPr>
              <w:t>Guided by multiple principles</w:t>
            </w:r>
          </w:p>
        </w:tc>
      </w:tr>
      <w:tr>
        <w:tc>
          <w:tcPr>
            <w:tcW w:type="dxa" w:w="2520"/>
            <w:vAlign w:val="center"/>
          </w:tcPr>
          <w:p>
            <w:pPr>
              <w:spacing w:after="20"/>
            </w:pPr>
            <w:r/>
            <w:r>
              <w:rPr>
                <w:b w:val="0"/>
                <w:sz w:val="17"/>
              </w:rPr>
              <w:t>Content control</w:t>
            </w:r>
          </w:p>
        </w:tc>
        <w:tc>
          <w:tcPr>
            <w:tcW w:type="dxa" w:w="2520"/>
            <w:vAlign w:val="center"/>
          </w:tcPr>
          <w:p>
            <w:pPr>
              <w:spacing w:after="20"/>
            </w:pPr>
            <w:r/>
            <w:r>
              <w:rPr>
                <w:b w:val="0"/>
                <w:sz w:val="17"/>
              </w:rPr>
              <w:t>Moderate</w:t>
            </w:r>
          </w:p>
        </w:tc>
        <w:tc>
          <w:tcPr>
            <w:tcW w:type="dxa" w:w="2520"/>
            <w:vAlign w:val="center"/>
          </w:tcPr>
          <w:p>
            <w:pPr>
              <w:spacing w:after="20"/>
            </w:pPr>
            <w:r/>
            <w:r>
              <w:rPr>
                <w:b w:val="0"/>
                <w:sz w:val="17"/>
              </w:rPr>
              <w:t>Higher</w:t>
            </w:r>
          </w:p>
        </w:tc>
        <w:tc>
          <w:tcPr>
            <w:tcW w:type="dxa" w:w="2520"/>
            <w:vAlign w:val="center"/>
          </w:tcPr>
          <w:p>
            <w:pPr>
              <w:spacing w:after="20"/>
            </w:pPr>
            <w:r/>
            <w:r>
              <w:rPr>
                <w:b w:val="0"/>
                <w:sz w:val="17"/>
              </w:rPr>
              <w:t>More detailed</w:t>
            </w:r>
          </w:p>
        </w:tc>
      </w:tr>
      <w:tr>
        <w:tc>
          <w:tcPr>
            <w:tcW w:type="dxa" w:w="2520"/>
            <w:vAlign w:val="center"/>
          </w:tcPr>
          <w:p>
            <w:pPr>
              <w:spacing w:after="20"/>
            </w:pPr>
            <w:r/>
            <w:r>
              <w:rPr>
                <w:b w:val="0"/>
                <w:sz w:val="17"/>
              </w:rPr>
              <w:t>Creative freedom</w:t>
            </w:r>
          </w:p>
        </w:tc>
        <w:tc>
          <w:tcPr>
            <w:tcW w:type="dxa" w:w="2520"/>
            <w:vAlign w:val="center"/>
          </w:tcPr>
          <w:p>
            <w:pPr>
              <w:spacing w:after="20"/>
            </w:pPr>
            <w:r/>
            <w:r>
              <w:rPr>
                <w:b w:val="0"/>
                <w:sz w:val="17"/>
              </w:rPr>
              <w:t>Broad</w:t>
            </w:r>
          </w:p>
        </w:tc>
        <w:tc>
          <w:tcPr>
            <w:tcW w:type="dxa" w:w="2520"/>
            <w:vAlign w:val="center"/>
          </w:tcPr>
          <w:p>
            <w:pPr>
              <w:spacing w:after="20"/>
            </w:pPr>
            <w:r/>
            <w:r>
              <w:rPr>
                <w:b w:val="0"/>
                <w:sz w:val="17"/>
              </w:rPr>
              <w:t>Moderately guided</w:t>
            </w:r>
          </w:p>
        </w:tc>
        <w:tc>
          <w:tcPr>
            <w:tcW w:type="dxa" w:w="2520"/>
            <w:vAlign w:val="center"/>
          </w:tcPr>
          <w:p>
            <w:pPr>
              <w:spacing w:after="20"/>
            </w:pPr>
            <w:r/>
            <w:r>
              <w:rPr>
                <w:b w:val="0"/>
                <w:sz w:val="17"/>
              </w:rPr>
              <w:t>More constrained by examples</w:t>
            </w:r>
          </w:p>
        </w:tc>
      </w:tr>
      <w:tr>
        <w:tc>
          <w:tcPr>
            <w:tcW w:type="dxa" w:w="2520"/>
            <w:vAlign w:val="center"/>
          </w:tcPr>
          <w:p>
            <w:pPr>
              <w:spacing w:after="20"/>
            </w:pPr>
            <w:r/>
            <w:r>
              <w:rPr>
                <w:b w:val="0"/>
                <w:sz w:val="17"/>
              </w:rPr>
              <w:t>Best suited for</w:t>
            </w:r>
          </w:p>
        </w:tc>
        <w:tc>
          <w:tcPr>
            <w:tcW w:type="dxa" w:w="2520"/>
            <w:vAlign w:val="center"/>
          </w:tcPr>
          <w:p>
            <w:pPr>
              <w:spacing w:after="20"/>
            </w:pPr>
            <w:r/>
            <w:r>
              <w:rPr>
                <w:b w:val="0"/>
                <w:sz w:val="17"/>
              </w:rPr>
              <w:t>Quick ideation</w:t>
            </w:r>
          </w:p>
        </w:tc>
        <w:tc>
          <w:tcPr>
            <w:tcW w:type="dxa" w:w="2520"/>
            <w:vAlign w:val="center"/>
          </w:tcPr>
          <w:p>
            <w:pPr>
              <w:spacing w:after="20"/>
            </w:pPr>
            <w:r/>
            <w:r>
              <w:rPr>
                <w:b w:val="0"/>
                <w:sz w:val="17"/>
              </w:rPr>
              <w:t>Following a target format</w:t>
            </w:r>
          </w:p>
        </w:tc>
        <w:tc>
          <w:tcPr>
            <w:tcW w:type="dxa" w:w="2520"/>
            <w:vAlign w:val="center"/>
          </w:tcPr>
          <w:p>
            <w:pPr>
              <w:spacing w:after="20"/>
            </w:pPr>
            <w:r/>
            <w:r>
              <w:rPr>
                <w:b w:val="0"/>
                <w:sz w:val="17"/>
              </w:rPr>
              <w:t>Complex, structured requirements</w:t>
            </w:r>
          </w:p>
        </w:tc>
      </w:tr>
    </w:tbl>
    <w:p>
      <w:pPr>
        <w:pStyle w:val="Heading1"/>
      </w:pPr>
      <w:r>
        <w:t>7. Experimental Evaluation</w:t>
      </w:r>
    </w:p>
    <w:p>
      <w:r>
        <w:t>For a fair comparison, generate one poster from each prompt using the same AI tool, poster dimensions, and generation settings. Save the three outputs and score each using the rubric below. The scores should be filled in only after reviewing the actual generated posters.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A5F"/>
          </w:tcPr>
          <w:p>
            <w:pPr>
              <w:spacing w:after="20"/>
            </w:pPr>
            <w:r/>
            <w:r>
              <w:rPr>
                <w:b/>
                <w:color w:val="FFFFFF"/>
                <w:sz w:val="17"/>
              </w:rPr>
              <w:t>Evaluation Criterion</w:t>
            </w:r>
          </w:p>
        </w:tc>
        <w:tc>
          <w:tcPr>
            <w:tcW w:type="dxa" w:w="2520"/>
            <w:vAlign w:val="center"/>
            <w:shd w:fill="163A5F"/>
          </w:tcPr>
          <w:p>
            <w:pPr>
              <w:spacing w:after="20"/>
            </w:pPr>
            <w:r/>
            <w:r>
              <w:rPr>
                <w:b/>
                <w:color w:val="FFFFFF"/>
                <w:sz w:val="17"/>
              </w:rPr>
              <w:t>Zero-shot (1–5)</w:t>
            </w:r>
          </w:p>
        </w:tc>
        <w:tc>
          <w:tcPr>
            <w:tcW w:type="dxa" w:w="2520"/>
            <w:vAlign w:val="center"/>
            <w:shd w:fill="163A5F"/>
          </w:tcPr>
          <w:p>
            <w:pPr>
              <w:spacing w:after="20"/>
            </w:pPr>
            <w:r/>
            <w:r>
              <w:rPr>
                <w:b/>
                <w:color w:val="FFFFFF"/>
                <w:sz w:val="17"/>
              </w:rPr>
              <w:t>One-shot (1–5)</w:t>
            </w:r>
          </w:p>
        </w:tc>
        <w:tc>
          <w:tcPr>
            <w:tcW w:type="dxa" w:w="2520"/>
            <w:vAlign w:val="center"/>
            <w:shd w:fill="163A5F"/>
          </w:tcPr>
          <w:p>
            <w:pPr>
              <w:spacing w:after="20"/>
            </w:pPr>
            <w:r/>
            <w:r>
              <w:rPr>
                <w:b/>
                <w:color w:val="FFFFFF"/>
                <w:sz w:val="17"/>
              </w:rPr>
              <w:t>Few-shot (1–5)</w:t>
            </w:r>
          </w:p>
        </w:tc>
      </w:tr>
      <w:tr>
        <w:tc>
          <w:tcPr>
            <w:tcW w:type="dxa" w:w="2520"/>
            <w:vAlign w:val="center"/>
          </w:tcPr>
          <w:p>
            <w:pPr>
              <w:spacing w:after="20"/>
            </w:pPr>
            <w:r/>
            <w:r>
              <w:rPr>
                <w:b w:val="0"/>
                <w:sz w:val="17"/>
              </w:rPr>
              <w:t>Relevance to topic</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r>
      <w:tr>
        <w:tc>
          <w:tcPr>
            <w:tcW w:type="dxa" w:w="2520"/>
            <w:vAlign w:val="center"/>
          </w:tcPr>
          <w:p>
            <w:pPr>
              <w:spacing w:after="20"/>
            </w:pPr>
            <w:r/>
            <w:r>
              <w:rPr>
                <w:b w:val="0"/>
                <w:sz w:val="17"/>
              </w:rPr>
              <w:t>Content completeness</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r>
      <w:tr>
        <w:tc>
          <w:tcPr>
            <w:tcW w:type="dxa" w:w="2520"/>
            <w:vAlign w:val="center"/>
          </w:tcPr>
          <w:p>
            <w:pPr>
              <w:spacing w:after="20"/>
            </w:pPr>
            <w:r/>
            <w:r>
              <w:rPr>
                <w:b w:val="0"/>
                <w:sz w:val="17"/>
              </w:rPr>
              <w:t>Layout consistency</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r>
      <w:tr>
        <w:tc>
          <w:tcPr>
            <w:tcW w:type="dxa" w:w="2520"/>
            <w:vAlign w:val="center"/>
          </w:tcPr>
          <w:p>
            <w:pPr>
              <w:spacing w:after="20"/>
            </w:pPr>
            <w:r/>
            <w:r>
              <w:rPr>
                <w:b w:val="0"/>
                <w:sz w:val="17"/>
              </w:rPr>
              <w:t>Visual appeal</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r>
      <w:tr>
        <w:tc>
          <w:tcPr>
            <w:tcW w:type="dxa" w:w="2520"/>
            <w:vAlign w:val="center"/>
          </w:tcPr>
          <w:p>
            <w:pPr>
              <w:spacing w:after="20"/>
            </w:pPr>
            <w:r/>
            <w:r>
              <w:rPr>
                <w:b w:val="0"/>
                <w:sz w:val="17"/>
              </w:rPr>
              <w:t>Readability</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r>
      <w:tr>
        <w:tc>
          <w:tcPr>
            <w:tcW w:type="dxa" w:w="2520"/>
            <w:vAlign w:val="center"/>
          </w:tcPr>
          <w:p>
            <w:pPr>
              <w:spacing w:after="20"/>
            </w:pPr>
            <w:r/>
            <w:r>
              <w:rPr>
                <w:b w:val="0"/>
                <w:sz w:val="17"/>
              </w:rPr>
              <w:t>Responsible AI coverage</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c>
          <w:tcPr>
            <w:tcW w:type="dxa" w:w="2520"/>
            <w:vAlign w:val="center"/>
          </w:tcPr>
          <w:p>
            <w:pPr>
              <w:spacing w:after="20"/>
            </w:pPr>
            <w:r/>
            <w:r>
              <w:rPr>
                <w:b w:val="0"/>
                <w:sz w:val="17"/>
              </w:rPr>
              <w:t xml:space="preserve">_____ </w:t>
            </w:r>
          </w:p>
        </w:tc>
      </w:tr>
      <w:tr>
        <w:tc>
          <w:tcPr>
            <w:tcW w:type="dxa" w:w="2520"/>
            <w:vAlign w:val="center"/>
          </w:tcPr>
          <w:p>
            <w:pPr>
              <w:spacing w:after="20"/>
            </w:pPr>
            <w:r/>
            <w:r>
              <w:rPr>
                <w:b/>
                <w:sz w:val="17"/>
              </w:rPr>
              <w:t>Total out of 30</w:t>
            </w:r>
          </w:p>
        </w:tc>
        <w:tc>
          <w:tcPr>
            <w:tcW w:type="dxa" w:w="2520"/>
            <w:vAlign w:val="center"/>
          </w:tcPr>
          <w:p>
            <w:pPr>
              <w:spacing w:after="20"/>
            </w:pPr>
            <w:r/>
            <w:r>
              <w:rPr>
                <w:b/>
                <w:sz w:val="17"/>
              </w:rPr>
              <w:t xml:space="preserve">_____ </w:t>
            </w:r>
          </w:p>
        </w:tc>
        <w:tc>
          <w:tcPr>
            <w:tcW w:type="dxa" w:w="2520"/>
            <w:vAlign w:val="center"/>
          </w:tcPr>
          <w:p>
            <w:pPr>
              <w:spacing w:after="20"/>
            </w:pPr>
            <w:r/>
            <w:r>
              <w:rPr>
                <w:b/>
                <w:sz w:val="17"/>
              </w:rPr>
              <w:t xml:space="preserve">_____ </w:t>
            </w:r>
          </w:p>
        </w:tc>
        <w:tc>
          <w:tcPr>
            <w:tcW w:type="dxa" w:w="2520"/>
            <w:vAlign w:val="center"/>
          </w:tcPr>
          <w:p>
            <w:pPr>
              <w:spacing w:after="20"/>
            </w:pPr>
            <w:r/>
            <w:r>
              <w:rPr>
                <w:b/>
                <w:sz w:val="17"/>
              </w:rPr>
              <w:t xml:space="preserve">_____ </w:t>
            </w:r>
          </w:p>
        </w:tc>
      </w:tr>
    </w:tbl>
    <w:p>
      <w:pPr>
        <w:pStyle w:val="Heading2"/>
      </w:pPr>
      <w:r>
        <w:t>Scoring guide</w:t>
      </w:r>
    </w:p>
    <w:p>
      <w:r>
        <w:t>1 = Poor, 2 = Fair, 3 = Good, 4 = Very good, 5 = Excellent. Use the same criteria for all outputs. Do not report expected scores as measured results.</w:t>
      </w:r>
    </w:p>
    <w:p>
      <w:pPr>
        <w:pStyle w:val="Heading1"/>
      </w:pPr>
      <w:r>
        <w:t>8. Results and Discussion</w:t>
      </w:r>
    </w:p>
    <w:p>
      <w:r>
        <w:t>Record the actual observations after generating the posters. For example, note whether the poster includes all required applications, whether headings are easy to scan, whether text is readable at the intended size, and whether responsible AI principles are represented accurately. Compare the total scores, but also discuss important differences that a numerical score may not capture.</w:t>
      </w:r>
    </w:p>
    <w:p>
      <w:r>
        <w:t>Expected trend (hypothesis, not a measured result): zero-shot may offer more freedom and speed; one-shot may follow a demonstrated structure more reliably; few-shot may better combine multiple requirements. Actual results can differ depending on the model and the examples.</w:t>
      </w:r>
    </w:p>
    <w:p>
      <w:pPr>
        <w:pStyle w:val="Heading1"/>
      </w:pPr>
      <w:r>
        <w:t>9. Conclusion</w:t>
      </w:r>
    </w:p>
    <w:p>
      <w:r>
        <w:t>Zero-shot prompting is useful for quick generation with minimal instructions. One-shot prompting demonstrates a single example and helps guide structure. Few-shot prompting provides multiple examples that can communicate a wider range of style and organization requirements. For a detailed academic poster, few-shot prompting is a strong candidate because it gives the model more guidance; however, it does not guarantee the best result. The final choice should be based on the generated posters and the evaluation rubric.</w:t>
      </w:r>
    </w:p>
    <w:p>
      <w:pPr>
        <w:pStyle w:val="Heading1"/>
      </w:pPr>
      <w:r>
        <w:t>10. Submission Checklist</w:t>
      </w:r>
    </w:p>
    <w:p>
      <w:pPr>
        <w:pStyle w:val="ListBullet"/>
      </w:pPr>
      <w:r>
        <w:t>Generate and save one poster for each of the three prompts.</w:t>
      </w:r>
    </w:p>
    <w:p>
      <w:pPr>
        <w:pStyle w:val="ListBullet"/>
      </w:pPr>
      <w:r>
        <w:t>Use the same AI tool and output settings for a fair comparison.</w:t>
      </w:r>
    </w:p>
    <w:p>
      <w:pPr>
        <w:pStyle w:val="ListBullet"/>
      </w:pPr>
      <w:r>
        <w:t>Insert the three poster images into the final submission or attach them separately.</w:t>
      </w:r>
    </w:p>
    <w:p>
      <w:pPr>
        <w:pStyle w:val="ListBullet"/>
      </w:pPr>
      <w:r>
        <w:t>Complete the evaluation rubric using observed results.</w:t>
      </w:r>
    </w:p>
    <w:p>
      <w:pPr>
        <w:pStyle w:val="ListBullet"/>
      </w:pPr>
      <w:r>
        <w:t>Mention the AI tool used and any edits made in Canva or Figma.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Prompt Engineering Practical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