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241FE" w14:textId="77777777" w:rsidR="00983B3E" w:rsidRDefault="00983B3E" w:rsidP="00BE2207">
      <w:pPr>
        <w:spacing w:before="100" w:beforeAutospacing="1" w:after="100" w:afterAutospacing="1" w:line="240" w:lineRule="auto"/>
        <w:jc w:val="both"/>
        <w:outlineLvl w:val="0"/>
        <w:rPr>
          <w:rFonts w:ascii="Times New Roman" w:eastAsia="Times New Roman" w:hAnsi="Times New Roman" w:cs="Times New Roman"/>
          <w:b/>
          <w:bCs/>
          <w:kern w:val="36"/>
          <w:sz w:val="20"/>
          <w:szCs w:val="20"/>
        </w:rPr>
      </w:pPr>
      <w:r>
        <w:rPr>
          <w:rFonts w:ascii="Times New Roman" w:eastAsia="Times New Roman" w:hAnsi="Times New Roman" w:cs="Times New Roman"/>
          <w:b/>
          <w:bCs/>
          <w:kern w:val="36"/>
          <w:sz w:val="20"/>
          <w:szCs w:val="20"/>
        </w:rPr>
        <w:t>Event Driven Architecture:</w:t>
      </w:r>
    </w:p>
    <w:p w14:paraId="520A6C96" w14:textId="77777777" w:rsidR="00983B3E" w:rsidRDefault="00983B3E" w:rsidP="00BE2207">
      <w:pPr>
        <w:spacing w:before="100" w:beforeAutospacing="1" w:after="100" w:afterAutospacing="1" w:line="240" w:lineRule="auto"/>
        <w:jc w:val="both"/>
        <w:outlineLvl w:val="0"/>
        <w:rPr>
          <w:rFonts w:ascii="Times New Roman" w:eastAsia="Times New Roman" w:hAnsi="Times New Roman" w:cs="Times New Roman"/>
          <w:bCs/>
          <w:kern w:val="36"/>
          <w:sz w:val="20"/>
          <w:szCs w:val="20"/>
        </w:rPr>
      </w:pPr>
      <w:r w:rsidRPr="00983B3E">
        <w:rPr>
          <w:rFonts w:ascii="Times New Roman" w:eastAsia="Times New Roman" w:hAnsi="Times New Roman" w:cs="Times New Roman"/>
          <w:bCs/>
          <w:kern w:val="36"/>
          <w:sz w:val="20"/>
          <w:szCs w:val="20"/>
        </w:rPr>
        <w:t>The event-driven architecture pattern is a popular distributed asynchronous architecture pattern used to produce highly scalable applications</w:t>
      </w:r>
      <w:r>
        <w:rPr>
          <w:rFonts w:ascii="Times New Roman" w:eastAsia="Times New Roman" w:hAnsi="Times New Roman" w:cs="Times New Roman"/>
          <w:bCs/>
          <w:kern w:val="36"/>
          <w:sz w:val="20"/>
          <w:szCs w:val="20"/>
        </w:rPr>
        <w:t>.</w:t>
      </w:r>
      <w:r w:rsidRPr="00983B3E">
        <w:t xml:space="preserve"> </w:t>
      </w:r>
      <w:r w:rsidRPr="00CA2042">
        <w:rPr>
          <w:b/>
        </w:rPr>
        <w:t>T</w:t>
      </w:r>
      <w:r w:rsidRPr="00CA2042">
        <w:rPr>
          <w:rFonts w:ascii="Times New Roman" w:eastAsia="Times New Roman" w:hAnsi="Times New Roman" w:cs="Times New Roman"/>
          <w:b/>
          <w:bCs/>
          <w:kern w:val="36"/>
          <w:sz w:val="20"/>
          <w:szCs w:val="20"/>
        </w:rPr>
        <w:t>he event-driven architecture pattern consists of two main topologies, the mediator and the broker.</w:t>
      </w:r>
      <w:r>
        <w:rPr>
          <w:rFonts w:ascii="Times New Roman" w:eastAsia="Times New Roman" w:hAnsi="Times New Roman" w:cs="Times New Roman"/>
          <w:bCs/>
          <w:kern w:val="36"/>
          <w:sz w:val="20"/>
          <w:szCs w:val="20"/>
        </w:rPr>
        <w:t xml:space="preserve"> T</w:t>
      </w:r>
      <w:r w:rsidRPr="00983B3E">
        <w:rPr>
          <w:rFonts w:ascii="Times New Roman" w:eastAsia="Times New Roman" w:hAnsi="Times New Roman" w:cs="Times New Roman"/>
          <w:bCs/>
          <w:kern w:val="36"/>
          <w:sz w:val="20"/>
          <w:szCs w:val="20"/>
        </w:rPr>
        <w:t>he mediator topology is commonly used when you need to orchestrate multiple steps within an event through a central mediator, whereas the broker topology is used when you want to chain events together without the use of a central mediator. Because the architecture characteristics and implementation strategies differ between these two topologies, it is important to understand each one to know which is best suited for your particular situation.</w:t>
      </w:r>
    </w:p>
    <w:p w14:paraId="74F4A2FC" w14:textId="77777777" w:rsidR="00983B3E" w:rsidRDefault="00983B3E" w:rsidP="00BE2207">
      <w:pPr>
        <w:spacing w:before="100" w:beforeAutospacing="1" w:after="100" w:afterAutospacing="1" w:line="240" w:lineRule="auto"/>
        <w:jc w:val="both"/>
        <w:outlineLvl w:val="0"/>
        <w:rPr>
          <w:rFonts w:ascii="Times New Roman" w:eastAsia="Times New Roman" w:hAnsi="Times New Roman" w:cs="Times New Roman"/>
          <w:b/>
          <w:bCs/>
          <w:kern w:val="36"/>
          <w:sz w:val="20"/>
          <w:szCs w:val="20"/>
        </w:rPr>
      </w:pPr>
      <w:r w:rsidRPr="00983B3E">
        <w:rPr>
          <w:rFonts w:ascii="Times New Roman" w:eastAsia="Times New Roman" w:hAnsi="Times New Roman" w:cs="Times New Roman"/>
          <w:b/>
          <w:bCs/>
          <w:kern w:val="36"/>
          <w:sz w:val="20"/>
          <w:szCs w:val="20"/>
        </w:rPr>
        <w:t>Mediator Topology</w:t>
      </w:r>
    </w:p>
    <w:p w14:paraId="681D9E59" w14:textId="77777777" w:rsidR="00983B3E" w:rsidRDefault="00983B3E" w:rsidP="00BE2207">
      <w:pPr>
        <w:spacing w:before="100" w:beforeAutospacing="1" w:after="100" w:afterAutospacing="1" w:line="240" w:lineRule="auto"/>
        <w:jc w:val="both"/>
        <w:outlineLvl w:val="0"/>
        <w:rPr>
          <w:rFonts w:ascii="Times New Roman" w:eastAsia="Times New Roman" w:hAnsi="Times New Roman" w:cs="Times New Roman"/>
          <w:bCs/>
          <w:kern w:val="36"/>
          <w:sz w:val="20"/>
          <w:szCs w:val="20"/>
        </w:rPr>
      </w:pPr>
      <w:r w:rsidRPr="00983B3E">
        <w:rPr>
          <w:rFonts w:ascii="Times New Roman" w:eastAsia="Times New Roman" w:hAnsi="Times New Roman" w:cs="Times New Roman"/>
          <w:bCs/>
          <w:kern w:val="36"/>
          <w:sz w:val="20"/>
          <w:szCs w:val="20"/>
        </w:rPr>
        <w:t xml:space="preserve">There are four main types of architecture components within the mediator topology: </w:t>
      </w:r>
      <w:r w:rsidRPr="0034499E">
        <w:rPr>
          <w:rFonts w:ascii="Times New Roman" w:eastAsia="Times New Roman" w:hAnsi="Times New Roman" w:cs="Times New Roman"/>
          <w:bCs/>
          <w:kern w:val="36"/>
          <w:sz w:val="20"/>
          <w:szCs w:val="20"/>
          <w:highlight w:val="yellow"/>
        </w:rPr>
        <w:t>event queues, an event mediator, event channels, and event processors</w:t>
      </w:r>
      <w:r w:rsidRPr="00983B3E">
        <w:rPr>
          <w:rFonts w:ascii="Times New Roman" w:eastAsia="Times New Roman" w:hAnsi="Times New Roman" w:cs="Times New Roman"/>
          <w:bCs/>
          <w:kern w:val="36"/>
          <w:sz w:val="20"/>
          <w:szCs w:val="20"/>
        </w:rPr>
        <w:t>.</w:t>
      </w:r>
      <w:r w:rsidRPr="00983B3E">
        <w:t xml:space="preserve"> </w:t>
      </w:r>
      <w:r w:rsidRPr="00983B3E">
        <w:rPr>
          <w:rFonts w:ascii="Times New Roman" w:eastAsia="Times New Roman" w:hAnsi="Times New Roman" w:cs="Times New Roman"/>
          <w:bCs/>
          <w:kern w:val="36"/>
          <w:sz w:val="20"/>
          <w:szCs w:val="20"/>
        </w:rPr>
        <w:t>The event flow starts with a client sending an event to an event queue, which is used to transport the event to the event mediator. The event mediator receives the initial event and orchestrates that event by sending additional asynchronous events to event channels to execute each step of the process. Event processors, which listen on the event channels, receive the event from the event mediator and execute specific business logic to process the event</w:t>
      </w:r>
      <w:r>
        <w:rPr>
          <w:rFonts w:ascii="Times New Roman" w:eastAsia="Times New Roman" w:hAnsi="Times New Roman" w:cs="Times New Roman"/>
          <w:bCs/>
          <w:kern w:val="36"/>
          <w:sz w:val="20"/>
          <w:szCs w:val="20"/>
        </w:rPr>
        <w:t xml:space="preserve">. </w:t>
      </w:r>
      <w:r w:rsidRPr="0034499E">
        <w:rPr>
          <w:rFonts w:ascii="Times New Roman" w:eastAsia="Times New Roman" w:hAnsi="Times New Roman" w:cs="Times New Roman"/>
          <w:bCs/>
          <w:kern w:val="36"/>
          <w:sz w:val="20"/>
          <w:szCs w:val="20"/>
          <w:highlight w:val="yellow"/>
        </w:rPr>
        <w:t>The simplest and most common implementation of the event mediator is through open source integration hubs such as Spring Integration, Apache Camel, or Mule ESB</w:t>
      </w:r>
    </w:p>
    <w:p w14:paraId="53509F76" w14:textId="77777777" w:rsidR="00983B3E" w:rsidRDefault="00983B3E" w:rsidP="00983B3E">
      <w:pPr>
        <w:spacing w:before="100" w:beforeAutospacing="1" w:after="100" w:afterAutospacing="1" w:line="240" w:lineRule="auto"/>
        <w:jc w:val="center"/>
        <w:outlineLvl w:val="0"/>
        <w:rPr>
          <w:rFonts w:ascii="Times New Roman" w:eastAsia="Times New Roman" w:hAnsi="Times New Roman" w:cs="Times New Roman"/>
          <w:bCs/>
          <w:kern w:val="36"/>
          <w:sz w:val="20"/>
          <w:szCs w:val="20"/>
        </w:rPr>
      </w:pPr>
      <w:r>
        <w:rPr>
          <w:noProof/>
          <w:lang w:val="en-IN" w:eastAsia="en-IN"/>
        </w:rPr>
        <w:drawing>
          <wp:inline distT="0" distB="0" distL="0" distR="0" wp14:anchorId="0D8FDFF5" wp14:editId="638F756C">
            <wp:extent cx="3643952" cy="2806288"/>
            <wp:effectExtent l="0" t="0" r="0" b="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1633" cy="2812203"/>
                    </a:xfrm>
                    <a:prstGeom prst="rect">
                      <a:avLst/>
                    </a:prstGeom>
                    <a:noFill/>
                    <a:ln>
                      <a:noFill/>
                    </a:ln>
                  </pic:spPr>
                </pic:pic>
              </a:graphicData>
            </a:graphic>
          </wp:inline>
        </w:drawing>
      </w:r>
    </w:p>
    <w:p w14:paraId="5702579E" w14:textId="77777777" w:rsidR="00983B3E" w:rsidRPr="00983B3E" w:rsidRDefault="00983B3E" w:rsidP="00983B3E">
      <w:pPr>
        <w:spacing w:before="100" w:beforeAutospacing="1" w:after="100" w:afterAutospacing="1" w:line="240" w:lineRule="auto"/>
        <w:outlineLvl w:val="0"/>
        <w:rPr>
          <w:rFonts w:ascii="Times New Roman" w:eastAsia="Times New Roman" w:hAnsi="Times New Roman" w:cs="Times New Roman"/>
          <w:b/>
          <w:bCs/>
          <w:kern w:val="36"/>
          <w:sz w:val="20"/>
          <w:szCs w:val="20"/>
        </w:rPr>
      </w:pPr>
      <w:r w:rsidRPr="00983B3E">
        <w:rPr>
          <w:rFonts w:ascii="Times New Roman" w:eastAsia="Times New Roman" w:hAnsi="Times New Roman" w:cs="Times New Roman"/>
          <w:b/>
          <w:bCs/>
          <w:kern w:val="36"/>
          <w:sz w:val="20"/>
          <w:szCs w:val="20"/>
        </w:rPr>
        <w:t>Broker Topology</w:t>
      </w:r>
    </w:p>
    <w:p w14:paraId="0FE83BDE" w14:textId="77777777" w:rsidR="00983B3E" w:rsidRDefault="00983B3E" w:rsidP="00983B3E">
      <w:pPr>
        <w:spacing w:before="100" w:beforeAutospacing="1" w:after="100" w:afterAutospacing="1" w:line="240" w:lineRule="auto"/>
        <w:jc w:val="both"/>
        <w:outlineLvl w:val="0"/>
        <w:rPr>
          <w:rFonts w:ascii="Times New Roman" w:eastAsia="Times New Roman" w:hAnsi="Times New Roman" w:cs="Times New Roman"/>
          <w:bCs/>
          <w:kern w:val="36"/>
          <w:sz w:val="20"/>
          <w:szCs w:val="20"/>
        </w:rPr>
      </w:pPr>
      <w:r w:rsidRPr="00983B3E">
        <w:rPr>
          <w:rFonts w:ascii="Times New Roman" w:eastAsia="Times New Roman" w:hAnsi="Times New Roman" w:cs="Times New Roman"/>
          <w:bCs/>
          <w:kern w:val="36"/>
          <w:sz w:val="20"/>
          <w:szCs w:val="20"/>
        </w:rPr>
        <w:t xml:space="preserve">The broker topology differs from the mediator topology in that there is </w:t>
      </w:r>
      <w:r w:rsidRPr="00E20DC0">
        <w:rPr>
          <w:rFonts w:ascii="Times New Roman" w:eastAsia="Times New Roman" w:hAnsi="Times New Roman" w:cs="Times New Roman"/>
          <w:bCs/>
          <w:kern w:val="36"/>
          <w:sz w:val="20"/>
          <w:szCs w:val="20"/>
          <w:highlight w:val="yellow"/>
        </w:rPr>
        <w:t>no central event mediator</w:t>
      </w:r>
      <w:r w:rsidRPr="00983B3E">
        <w:rPr>
          <w:rFonts w:ascii="Times New Roman" w:eastAsia="Times New Roman" w:hAnsi="Times New Roman" w:cs="Times New Roman"/>
          <w:bCs/>
          <w:kern w:val="36"/>
          <w:sz w:val="20"/>
          <w:szCs w:val="20"/>
        </w:rPr>
        <w:t xml:space="preserve">; rather, the message flow is distributed across the event processor components in a chain-like fashion through a lightweight message broker (e.g., ActiveMQ, </w:t>
      </w:r>
      <w:proofErr w:type="spellStart"/>
      <w:r w:rsidRPr="00983B3E">
        <w:rPr>
          <w:rFonts w:ascii="Times New Roman" w:eastAsia="Times New Roman" w:hAnsi="Times New Roman" w:cs="Times New Roman"/>
          <w:bCs/>
          <w:kern w:val="36"/>
          <w:sz w:val="20"/>
          <w:szCs w:val="20"/>
        </w:rPr>
        <w:t>HornetQ</w:t>
      </w:r>
      <w:proofErr w:type="spellEnd"/>
      <w:r w:rsidRPr="00983B3E">
        <w:rPr>
          <w:rFonts w:ascii="Times New Roman" w:eastAsia="Times New Roman" w:hAnsi="Times New Roman" w:cs="Times New Roman"/>
          <w:bCs/>
          <w:kern w:val="36"/>
          <w:sz w:val="20"/>
          <w:szCs w:val="20"/>
        </w:rPr>
        <w:t>, etc.). This topology is useful when you have a relatively simple event processing flow and you do not want (or need) central event orchestration.</w:t>
      </w:r>
    </w:p>
    <w:p w14:paraId="5B4D639A" w14:textId="77777777" w:rsidR="00B563DF" w:rsidRPr="00B563DF" w:rsidRDefault="00B563DF" w:rsidP="00B563DF">
      <w:pPr>
        <w:rPr>
          <w:rFonts w:ascii="Times New Roman" w:eastAsia="Times New Roman" w:hAnsi="Times New Roman" w:cs="Times New Roman"/>
          <w:bCs/>
          <w:kern w:val="36"/>
          <w:sz w:val="20"/>
          <w:szCs w:val="20"/>
        </w:rPr>
      </w:pPr>
      <w:r w:rsidRPr="00B563DF">
        <w:rPr>
          <w:rFonts w:ascii="Times New Roman" w:eastAsia="Times New Roman" w:hAnsi="Times New Roman" w:cs="Times New Roman"/>
          <w:bCs/>
          <w:kern w:val="36"/>
          <w:sz w:val="20"/>
          <w:szCs w:val="20"/>
        </w:rPr>
        <w:t xml:space="preserve">There are two main types of architecture components within the broker topology: a </w:t>
      </w:r>
      <w:r w:rsidRPr="00446521">
        <w:rPr>
          <w:rFonts w:ascii="Times New Roman" w:eastAsia="Times New Roman" w:hAnsi="Times New Roman" w:cs="Times New Roman"/>
          <w:bCs/>
          <w:kern w:val="36"/>
          <w:sz w:val="20"/>
          <w:szCs w:val="20"/>
          <w:highlight w:val="yellow"/>
        </w:rPr>
        <w:t>broker component and an event processor component</w:t>
      </w:r>
      <w:r w:rsidRPr="00B563DF">
        <w:rPr>
          <w:rFonts w:ascii="Times New Roman" w:eastAsia="Times New Roman" w:hAnsi="Times New Roman" w:cs="Times New Roman"/>
          <w:bCs/>
          <w:kern w:val="36"/>
          <w:sz w:val="20"/>
          <w:szCs w:val="20"/>
        </w:rPr>
        <w:t>. The broker component can be centralized or federated and contains all of the event channels that are used within the event flow. The event channels contained within the broker component can be message queues, message topics, or a combination of both.</w:t>
      </w:r>
    </w:p>
    <w:p w14:paraId="42F2EE60" w14:textId="77777777" w:rsidR="00B563DF" w:rsidRPr="00983B3E" w:rsidRDefault="00B563DF" w:rsidP="00B563DF">
      <w:pPr>
        <w:spacing w:before="100" w:beforeAutospacing="1" w:after="100" w:afterAutospacing="1" w:line="240" w:lineRule="auto"/>
        <w:jc w:val="center"/>
        <w:outlineLvl w:val="0"/>
        <w:rPr>
          <w:rFonts w:ascii="Times New Roman" w:eastAsia="Times New Roman" w:hAnsi="Times New Roman" w:cs="Times New Roman"/>
          <w:bCs/>
          <w:kern w:val="36"/>
          <w:sz w:val="20"/>
          <w:szCs w:val="20"/>
        </w:rPr>
      </w:pPr>
      <w:r>
        <w:rPr>
          <w:noProof/>
          <w:lang w:val="en-IN" w:eastAsia="en-IN"/>
        </w:rPr>
        <w:lastRenderedPageBreak/>
        <w:drawing>
          <wp:inline distT="0" distB="0" distL="0" distR="0" wp14:anchorId="1198A2A7" wp14:editId="27A4A228">
            <wp:extent cx="4421875" cy="3595263"/>
            <wp:effectExtent l="0" t="0" r="0" b="5715"/>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8277" cy="3600468"/>
                    </a:xfrm>
                    <a:prstGeom prst="rect">
                      <a:avLst/>
                    </a:prstGeom>
                    <a:noFill/>
                    <a:ln>
                      <a:noFill/>
                    </a:ln>
                  </pic:spPr>
                </pic:pic>
              </a:graphicData>
            </a:graphic>
          </wp:inline>
        </w:drawing>
      </w:r>
    </w:p>
    <w:p w14:paraId="7CAFB422" w14:textId="77777777" w:rsidR="008C6732" w:rsidRPr="00BE2207" w:rsidRDefault="008C6732" w:rsidP="00BE2207">
      <w:pPr>
        <w:spacing w:before="100" w:beforeAutospacing="1" w:after="100" w:afterAutospacing="1" w:line="240" w:lineRule="auto"/>
        <w:jc w:val="both"/>
        <w:outlineLvl w:val="0"/>
        <w:rPr>
          <w:rFonts w:ascii="Times New Roman" w:eastAsia="Times New Roman" w:hAnsi="Times New Roman" w:cs="Times New Roman"/>
          <w:b/>
          <w:bCs/>
          <w:kern w:val="36"/>
          <w:sz w:val="20"/>
          <w:szCs w:val="20"/>
        </w:rPr>
      </w:pPr>
      <w:r w:rsidRPr="00BE2207">
        <w:rPr>
          <w:rFonts w:ascii="Times New Roman" w:eastAsia="Times New Roman" w:hAnsi="Times New Roman" w:cs="Times New Roman"/>
          <w:b/>
          <w:bCs/>
          <w:kern w:val="36"/>
          <w:sz w:val="20"/>
          <w:szCs w:val="20"/>
        </w:rPr>
        <w:t>Pattern: Saga</w:t>
      </w:r>
    </w:p>
    <w:p w14:paraId="7B9E85B1" w14:textId="77777777" w:rsidR="008C6732" w:rsidRPr="00BE2207" w:rsidRDefault="008C6732" w:rsidP="00BE2207">
      <w:pPr>
        <w:spacing w:before="100" w:beforeAutospacing="1" w:after="100" w:afterAutospacing="1" w:line="240" w:lineRule="auto"/>
        <w:jc w:val="both"/>
        <w:outlineLvl w:val="1"/>
        <w:rPr>
          <w:rFonts w:ascii="Times New Roman" w:eastAsia="Times New Roman" w:hAnsi="Times New Roman" w:cs="Times New Roman"/>
          <w:b/>
          <w:bCs/>
          <w:sz w:val="20"/>
          <w:szCs w:val="20"/>
        </w:rPr>
      </w:pPr>
      <w:r w:rsidRPr="00BE2207">
        <w:rPr>
          <w:rFonts w:ascii="Times New Roman" w:eastAsia="Times New Roman" w:hAnsi="Times New Roman" w:cs="Times New Roman"/>
          <w:b/>
          <w:bCs/>
          <w:sz w:val="20"/>
          <w:szCs w:val="20"/>
        </w:rPr>
        <w:t>Context</w:t>
      </w:r>
    </w:p>
    <w:p w14:paraId="0B7BD58F"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You have applied the </w:t>
      </w:r>
      <w:hyperlink r:id="rId8" w:history="1">
        <w:r w:rsidRPr="00BE2207">
          <w:rPr>
            <w:rFonts w:ascii="Times New Roman" w:eastAsia="Times New Roman" w:hAnsi="Times New Roman" w:cs="Times New Roman"/>
            <w:color w:val="0000FF"/>
            <w:sz w:val="20"/>
            <w:szCs w:val="20"/>
            <w:u w:val="single"/>
          </w:rPr>
          <w:t>Database per Service</w:t>
        </w:r>
      </w:hyperlink>
      <w:r w:rsidRPr="00BE2207">
        <w:rPr>
          <w:rFonts w:ascii="Times New Roman" w:eastAsia="Times New Roman" w:hAnsi="Times New Roman" w:cs="Times New Roman"/>
          <w:sz w:val="20"/>
          <w:szCs w:val="20"/>
        </w:rPr>
        <w:t xml:space="preserve"> pattern. Each service has its own database. Some business transactions, however, span multiple service so you need a mechanism to ensure data consistency across services. For example, lets imagine that you are building an e-commerce store where customers have a credit limit. The application must ensure that a new order will not exceed the customer’s credit limit. Since Orders and Customers are in different databases the application cannot simply use a local ACID transaction.</w:t>
      </w:r>
    </w:p>
    <w:p w14:paraId="28BC84F9" w14:textId="77777777" w:rsidR="008C6732" w:rsidRPr="00BE2207" w:rsidRDefault="008C6732" w:rsidP="00BE2207">
      <w:pPr>
        <w:spacing w:before="100" w:beforeAutospacing="1" w:after="100" w:afterAutospacing="1" w:line="240" w:lineRule="auto"/>
        <w:jc w:val="both"/>
        <w:outlineLvl w:val="1"/>
        <w:rPr>
          <w:rFonts w:ascii="Times New Roman" w:eastAsia="Times New Roman" w:hAnsi="Times New Roman" w:cs="Times New Roman"/>
          <w:b/>
          <w:bCs/>
          <w:sz w:val="20"/>
          <w:szCs w:val="20"/>
        </w:rPr>
      </w:pPr>
      <w:r w:rsidRPr="00BE2207">
        <w:rPr>
          <w:rFonts w:ascii="Times New Roman" w:eastAsia="Times New Roman" w:hAnsi="Times New Roman" w:cs="Times New Roman"/>
          <w:b/>
          <w:bCs/>
          <w:sz w:val="20"/>
          <w:szCs w:val="20"/>
        </w:rPr>
        <w:t>Problem</w:t>
      </w:r>
    </w:p>
    <w:p w14:paraId="63461CDF"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How to maintain data consistency across services?</w:t>
      </w:r>
    </w:p>
    <w:p w14:paraId="13CE7DBE" w14:textId="77777777" w:rsidR="008C6732" w:rsidRPr="00BE2207" w:rsidRDefault="008C6732" w:rsidP="00BE2207">
      <w:pPr>
        <w:spacing w:before="100" w:beforeAutospacing="1" w:after="100" w:afterAutospacing="1" w:line="240" w:lineRule="auto"/>
        <w:jc w:val="both"/>
        <w:outlineLvl w:val="1"/>
        <w:rPr>
          <w:rFonts w:ascii="Times New Roman" w:eastAsia="Times New Roman" w:hAnsi="Times New Roman" w:cs="Times New Roman"/>
          <w:b/>
          <w:bCs/>
          <w:sz w:val="20"/>
          <w:szCs w:val="20"/>
        </w:rPr>
      </w:pPr>
      <w:r w:rsidRPr="00BE2207">
        <w:rPr>
          <w:rFonts w:ascii="Times New Roman" w:eastAsia="Times New Roman" w:hAnsi="Times New Roman" w:cs="Times New Roman"/>
          <w:b/>
          <w:bCs/>
          <w:sz w:val="20"/>
          <w:szCs w:val="20"/>
        </w:rPr>
        <w:t>Forces</w:t>
      </w:r>
    </w:p>
    <w:p w14:paraId="73BA969F" w14:textId="77777777" w:rsidR="008C6732" w:rsidRPr="00BE2207" w:rsidRDefault="008C6732" w:rsidP="00BE2207">
      <w:pPr>
        <w:numPr>
          <w:ilvl w:val="0"/>
          <w:numId w:val="1"/>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2PC is not an option</w:t>
      </w:r>
    </w:p>
    <w:p w14:paraId="58313F3B" w14:textId="77777777" w:rsidR="008C6732" w:rsidRPr="00BE2207" w:rsidRDefault="008C6732" w:rsidP="00BE2207">
      <w:pPr>
        <w:spacing w:before="100" w:beforeAutospacing="1" w:after="100" w:afterAutospacing="1" w:line="240" w:lineRule="auto"/>
        <w:jc w:val="both"/>
        <w:outlineLvl w:val="1"/>
        <w:rPr>
          <w:rFonts w:ascii="Times New Roman" w:eastAsia="Times New Roman" w:hAnsi="Times New Roman" w:cs="Times New Roman"/>
          <w:b/>
          <w:bCs/>
          <w:sz w:val="20"/>
          <w:szCs w:val="20"/>
        </w:rPr>
      </w:pPr>
      <w:r w:rsidRPr="00BE2207">
        <w:rPr>
          <w:rFonts w:ascii="Times New Roman" w:eastAsia="Times New Roman" w:hAnsi="Times New Roman" w:cs="Times New Roman"/>
          <w:b/>
          <w:bCs/>
          <w:sz w:val="20"/>
          <w:szCs w:val="20"/>
        </w:rPr>
        <w:t>Solution</w:t>
      </w:r>
    </w:p>
    <w:p w14:paraId="7453A2CE"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Implement each business transaction that spans multiple services as a saga. </w:t>
      </w:r>
      <w:r w:rsidRPr="00952820">
        <w:rPr>
          <w:rFonts w:ascii="Times New Roman" w:eastAsia="Times New Roman" w:hAnsi="Times New Roman" w:cs="Times New Roman"/>
          <w:sz w:val="20"/>
          <w:szCs w:val="20"/>
          <w:highlight w:val="yellow"/>
        </w:rPr>
        <w:t>A saga is a sequence of local transactions</w:t>
      </w:r>
      <w:r w:rsidRPr="00BE2207">
        <w:rPr>
          <w:rFonts w:ascii="Times New Roman" w:eastAsia="Times New Roman" w:hAnsi="Times New Roman" w:cs="Times New Roman"/>
          <w:sz w:val="20"/>
          <w:szCs w:val="20"/>
        </w:rPr>
        <w:t xml:space="preserve">. </w:t>
      </w:r>
      <w:r w:rsidRPr="00952820">
        <w:rPr>
          <w:rFonts w:ascii="Times New Roman" w:eastAsia="Times New Roman" w:hAnsi="Times New Roman" w:cs="Times New Roman"/>
          <w:sz w:val="20"/>
          <w:szCs w:val="20"/>
          <w:highlight w:val="yellow"/>
        </w:rPr>
        <w:t>Each local transaction updates the database and publishes a message or event to trigger the next local transaction in the saga.</w:t>
      </w:r>
      <w:r w:rsidRPr="00BE2207">
        <w:rPr>
          <w:rFonts w:ascii="Times New Roman" w:eastAsia="Times New Roman" w:hAnsi="Times New Roman" w:cs="Times New Roman"/>
          <w:sz w:val="20"/>
          <w:szCs w:val="20"/>
        </w:rPr>
        <w:t xml:space="preserve"> If a local transaction fails because it violates a business </w:t>
      </w:r>
      <w:r w:rsidR="00952820" w:rsidRPr="00BE2207">
        <w:rPr>
          <w:rFonts w:ascii="Times New Roman" w:eastAsia="Times New Roman" w:hAnsi="Times New Roman" w:cs="Times New Roman"/>
          <w:sz w:val="20"/>
          <w:szCs w:val="20"/>
        </w:rPr>
        <w:t>rule,</w:t>
      </w:r>
      <w:r w:rsidRPr="00BE2207">
        <w:rPr>
          <w:rFonts w:ascii="Times New Roman" w:eastAsia="Times New Roman" w:hAnsi="Times New Roman" w:cs="Times New Roman"/>
          <w:sz w:val="20"/>
          <w:szCs w:val="20"/>
        </w:rPr>
        <w:t xml:space="preserve"> then the saga executes a series of compensating transactions that </w:t>
      </w:r>
      <w:r w:rsidRPr="00952820">
        <w:rPr>
          <w:rFonts w:ascii="Times New Roman" w:eastAsia="Times New Roman" w:hAnsi="Times New Roman" w:cs="Times New Roman"/>
          <w:sz w:val="20"/>
          <w:szCs w:val="20"/>
          <w:highlight w:val="yellow"/>
        </w:rPr>
        <w:t>undo</w:t>
      </w:r>
      <w:r w:rsidRPr="00BE2207">
        <w:rPr>
          <w:rFonts w:ascii="Times New Roman" w:eastAsia="Times New Roman" w:hAnsi="Times New Roman" w:cs="Times New Roman"/>
          <w:sz w:val="20"/>
          <w:szCs w:val="20"/>
        </w:rPr>
        <w:t xml:space="preserve"> the changes that were made by the preceding local transactions.</w:t>
      </w:r>
    </w:p>
    <w:p w14:paraId="4799BA03"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noProof/>
          <w:sz w:val="20"/>
          <w:szCs w:val="20"/>
          <w:lang w:val="en-IN" w:eastAsia="en-IN"/>
        </w:rPr>
        <w:lastRenderedPageBreak/>
        <w:drawing>
          <wp:inline distT="0" distB="0" distL="0" distR="0" wp14:anchorId="71EDA8ED" wp14:editId="4576887B">
            <wp:extent cx="5175199" cy="3880136"/>
            <wp:effectExtent l="0" t="0" r="6985" b="6350"/>
            <wp:docPr id="3" name="Picture 3" descr="https://microservices.io/i/data/sa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croservices.io/i/data/sag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9118" cy="3883075"/>
                    </a:xfrm>
                    <a:prstGeom prst="rect">
                      <a:avLst/>
                    </a:prstGeom>
                    <a:noFill/>
                    <a:ln>
                      <a:noFill/>
                    </a:ln>
                  </pic:spPr>
                </pic:pic>
              </a:graphicData>
            </a:graphic>
          </wp:inline>
        </w:drawing>
      </w:r>
    </w:p>
    <w:p w14:paraId="6F81E49F"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There are two ways of coordination sagas:</w:t>
      </w:r>
    </w:p>
    <w:p w14:paraId="652C984D" w14:textId="77777777" w:rsidR="008C6732" w:rsidRPr="00BE2207" w:rsidRDefault="008C6732" w:rsidP="00BE2207">
      <w:pPr>
        <w:numPr>
          <w:ilvl w:val="0"/>
          <w:numId w:val="2"/>
        </w:numPr>
        <w:spacing w:before="100" w:beforeAutospacing="1" w:after="100" w:afterAutospacing="1" w:line="240" w:lineRule="auto"/>
        <w:jc w:val="both"/>
        <w:rPr>
          <w:rFonts w:ascii="Times New Roman" w:eastAsia="Times New Roman" w:hAnsi="Times New Roman" w:cs="Times New Roman"/>
          <w:sz w:val="20"/>
          <w:szCs w:val="20"/>
        </w:rPr>
      </w:pPr>
      <w:r w:rsidRPr="00952820">
        <w:rPr>
          <w:rFonts w:ascii="Times New Roman" w:eastAsia="Times New Roman" w:hAnsi="Times New Roman" w:cs="Times New Roman"/>
          <w:b/>
          <w:sz w:val="20"/>
          <w:szCs w:val="20"/>
        </w:rPr>
        <w:t>Choreography</w:t>
      </w:r>
      <w:r w:rsidRPr="00BE2207">
        <w:rPr>
          <w:rFonts w:ascii="Times New Roman" w:eastAsia="Times New Roman" w:hAnsi="Times New Roman" w:cs="Times New Roman"/>
          <w:sz w:val="20"/>
          <w:szCs w:val="20"/>
        </w:rPr>
        <w:t xml:space="preserve"> - each local transaction publishes domain events that trigger local transactions in other services</w:t>
      </w:r>
    </w:p>
    <w:p w14:paraId="7ADBBB94" w14:textId="77777777" w:rsidR="008C6732" w:rsidRPr="00BE2207" w:rsidRDefault="008C6732" w:rsidP="00BE2207">
      <w:pPr>
        <w:numPr>
          <w:ilvl w:val="0"/>
          <w:numId w:val="2"/>
        </w:numPr>
        <w:spacing w:before="100" w:beforeAutospacing="1" w:after="100" w:afterAutospacing="1" w:line="240" w:lineRule="auto"/>
        <w:jc w:val="both"/>
        <w:rPr>
          <w:rFonts w:ascii="Times New Roman" w:eastAsia="Times New Roman" w:hAnsi="Times New Roman" w:cs="Times New Roman"/>
          <w:sz w:val="20"/>
          <w:szCs w:val="20"/>
        </w:rPr>
      </w:pPr>
      <w:r w:rsidRPr="00952820">
        <w:rPr>
          <w:rFonts w:ascii="Times New Roman" w:eastAsia="Times New Roman" w:hAnsi="Times New Roman" w:cs="Times New Roman"/>
          <w:b/>
          <w:sz w:val="20"/>
          <w:szCs w:val="20"/>
        </w:rPr>
        <w:t>Orchestration</w:t>
      </w:r>
      <w:r w:rsidRPr="00BE2207">
        <w:rPr>
          <w:rFonts w:ascii="Times New Roman" w:eastAsia="Times New Roman" w:hAnsi="Times New Roman" w:cs="Times New Roman"/>
          <w:sz w:val="20"/>
          <w:szCs w:val="20"/>
        </w:rPr>
        <w:t xml:space="preserve"> - an orchestrator (object) tells the participants what local transactions to execute</w:t>
      </w:r>
    </w:p>
    <w:p w14:paraId="5AB81566" w14:textId="77777777" w:rsidR="008C6732" w:rsidRPr="00BE2207" w:rsidRDefault="008C6732" w:rsidP="00BE2207">
      <w:pPr>
        <w:spacing w:before="100" w:beforeAutospacing="1" w:after="100" w:afterAutospacing="1" w:line="240" w:lineRule="auto"/>
        <w:jc w:val="both"/>
        <w:outlineLvl w:val="1"/>
        <w:rPr>
          <w:rFonts w:ascii="Times New Roman" w:eastAsia="Times New Roman" w:hAnsi="Times New Roman" w:cs="Times New Roman"/>
          <w:b/>
          <w:bCs/>
          <w:sz w:val="20"/>
          <w:szCs w:val="20"/>
        </w:rPr>
      </w:pPr>
      <w:r w:rsidRPr="00BE2207">
        <w:rPr>
          <w:rFonts w:ascii="Times New Roman" w:eastAsia="Times New Roman" w:hAnsi="Times New Roman" w:cs="Times New Roman"/>
          <w:b/>
          <w:bCs/>
          <w:sz w:val="20"/>
          <w:szCs w:val="20"/>
        </w:rPr>
        <w:t>Example: Choreography-based saga</w:t>
      </w:r>
    </w:p>
    <w:p w14:paraId="6319D4FA"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noProof/>
          <w:sz w:val="20"/>
          <w:szCs w:val="20"/>
          <w:lang w:val="en-IN" w:eastAsia="en-IN"/>
        </w:rPr>
        <w:lastRenderedPageBreak/>
        <w:drawing>
          <wp:inline distT="0" distB="0" distL="0" distR="0" wp14:anchorId="6F5E9E3D" wp14:editId="1BE975E9">
            <wp:extent cx="4381805" cy="3285284"/>
            <wp:effectExtent l="0" t="0" r="0" b="0"/>
            <wp:docPr id="2" name="Picture 2" descr="https://microservices.io/i/data/Saga_Choreography_Flow.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croservices.io/i/data/Saga_Choreography_Flow.00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0617" cy="3291891"/>
                    </a:xfrm>
                    <a:prstGeom prst="rect">
                      <a:avLst/>
                    </a:prstGeom>
                    <a:noFill/>
                    <a:ln>
                      <a:noFill/>
                    </a:ln>
                  </pic:spPr>
                </pic:pic>
              </a:graphicData>
            </a:graphic>
          </wp:inline>
        </w:drawing>
      </w:r>
    </w:p>
    <w:p w14:paraId="710C5C60"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An e-commerce application that uses this approach would create an order using a choreography-based saga that consists of the following steps:</w:t>
      </w:r>
    </w:p>
    <w:p w14:paraId="0240BBC0" w14:textId="77777777" w:rsidR="008C6732" w:rsidRPr="00BE2207" w:rsidRDefault="008C6732" w:rsidP="00BE2207">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The </w:t>
      </w:r>
      <w:r w:rsidRPr="00BE2207">
        <w:rPr>
          <w:rFonts w:ascii="Courier New" w:eastAsia="Times New Roman" w:hAnsi="Courier New" w:cs="Courier New"/>
          <w:sz w:val="20"/>
          <w:szCs w:val="20"/>
        </w:rPr>
        <w:t>Order Service</w:t>
      </w:r>
      <w:r w:rsidRPr="00BE2207">
        <w:rPr>
          <w:rFonts w:ascii="Times New Roman" w:eastAsia="Times New Roman" w:hAnsi="Times New Roman" w:cs="Times New Roman"/>
          <w:sz w:val="20"/>
          <w:szCs w:val="20"/>
        </w:rPr>
        <w:t xml:space="preserve"> creates an Order in a </w:t>
      </w:r>
      <w:r w:rsidRPr="00BE2207">
        <w:rPr>
          <w:rFonts w:ascii="Times New Roman" w:eastAsia="Times New Roman" w:hAnsi="Times New Roman" w:cs="Times New Roman"/>
          <w:i/>
          <w:iCs/>
          <w:sz w:val="20"/>
          <w:szCs w:val="20"/>
        </w:rPr>
        <w:t>pending</w:t>
      </w:r>
      <w:r w:rsidRPr="00BE2207">
        <w:rPr>
          <w:rFonts w:ascii="Times New Roman" w:eastAsia="Times New Roman" w:hAnsi="Times New Roman" w:cs="Times New Roman"/>
          <w:sz w:val="20"/>
          <w:szCs w:val="20"/>
        </w:rPr>
        <w:t xml:space="preserve"> state and publishes an </w:t>
      </w:r>
      <w:proofErr w:type="spellStart"/>
      <w:r w:rsidRPr="00BE2207">
        <w:rPr>
          <w:rFonts w:ascii="Courier New" w:eastAsia="Times New Roman" w:hAnsi="Courier New" w:cs="Courier New"/>
          <w:sz w:val="20"/>
          <w:szCs w:val="20"/>
        </w:rPr>
        <w:t>OrderCreated</w:t>
      </w:r>
      <w:proofErr w:type="spellEnd"/>
      <w:r w:rsidRPr="00BE2207">
        <w:rPr>
          <w:rFonts w:ascii="Times New Roman" w:eastAsia="Times New Roman" w:hAnsi="Times New Roman" w:cs="Times New Roman"/>
          <w:sz w:val="20"/>
          <w:szCs w:val="20"/>
        </w:rPr>
        <w:t xml:space="preserve"> event</w:t>
      </w:r>
    </w:p>
    <w:p w14:paraId="086F6562" w14:textId="77777777" w:rsidR="008C6732" w:rsidRPr="00BE2207" w:rsidRDefault="008C6732" w:rsidP="00BE2207">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The </w:t>
      </w:r>
      <w:r w:rsidRPr="00BE2207">
        <w:rPr>
          <w:rFonts w:ascii="Courier New" w:eastAsia="Times New Roman" w:hAnsi="Courier New" w:cs="Courier New"/>
          <w:sz w:val="20"/>
          <w:szCs w:val="20"/>
        </w:rPr>
        <w:t>Customer Service</w:t>
      </w:r>
      <w:r w:rsidRPr="00BE2207">
        <w:rPr>
          <w:rFonts w:ascii="Times New Roman" w:eastAsia="Times New Roman" w:hAnsi="Times New Roman" w:cs="Times New Roman"/>
          <w:sz w:val="20"/>
          <w:szCs w:val="20"/>
        </w:rPr>
        <w:t xml:space="preserve"> receives the event attempts to reserve credit for that Order. It publishes either a </w:t>
      </w:r>
      <w:r w:rsidRPr="00BE2207">
        <w:rPr>
          <w:rFonts w:ascii="Courier New" w:eastAsia="Times New Roman" w:hAnsi="Courier New" w:cs="Courier New"/>
          <w:sz w:val="20"/>
          <w:szCs w:val="20"/>
        </w:rPr>
        <w:t>Credit Reserved</w:t>
      </w:r>
      <w:r w:rsidRPr="00BE2207">
        <w:rPr>
          <w:rFonts w:ascii="Times New Roman" w:eastAsia="Times New Roman" w:hAnsi="Times New Roman" w:cs="Times New Roman"/>
          <w:sz w:val="20"/>
          <w:szCs w:val="20"/>
        </w:rPr>
        <w:t xml:space="preserve"> event or a </w:t>
      </w:r>
      <w:proofErr w:type="spellStart"/>
      <w:r w:rsidRPr="00BE2207">
        <w:rPr>
          <w:rFonts w:ascii="Courier New" w:eastAsia="Times New Roman" w:hAnsi="Courier New" w:cs="Courier New"/>
          <w:sz w:val="20"/>
          <w:szCs w:val="20"/>
        </w:rPr>
        <w:t>CreditLimitExceeded</w:t>
      </w:r>
      <w:proofErr w:type="spellEnd"/>
      <w:r w:rsidRPr="00BE2207">
        <w:rPr>
          <w:rFonts w:ascii="Times New Roman" w:eastAsia="Times New Roman" w:hAnsi="Times New Roman" w:cs="Times New Roman"/>
          <w:sz w:val="20"/>
          <w:szCs w:val="20"/>
        </w:rPr>
        <w:t xml:space="preserve"> event.</w:t>
      </w:r>
    </w:p>
    <w:p w14:paraId="34910FA9" w14:textId="77777777" w:rsidR="008C6732" w:rsidRPr="00BE2207" w:rsidRDefault="008C6732" w:rsidP="00BE2207">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The </w:t>
      </w:r>
      <w:r w:rsidRPr="00BE2207">
        <w:rPr>
          <w:rFonts w:ascii="Courier New" w:eastAsia="Times New Roman" w:hAnsi="Courier New" w:cs="Courier New"/>
          <w:sz w:val="20"/>
          <w:szCs w:val="20"/>
        </w:rPr>
        <w:t>Order Service</w:t>
      </w:r>
      <w:r w:rsidRPr="00BE2207">
        <w:rPr>
          <w:rFonts w:ascii="Times New Roman" w:eastAsia="Times New Roman" w:hAnsi="Times New Roman" w:cs="Times New Roman"/>
          <w:sz w:val="20"/>
          <w:szCs w:val="20"/>
        </w:rPr>
        <w:t xml:space="preserve"> receives the event and changes the state of the order to either </w:t>
      </w:r>
      <w:r w:rsidRPr="00BE2207">
        <w:rPr>
          <w:rFonts w:ascii="Times New Roman" w:eastAsia="Times New Roman" w:hAnsi="Times New Roman" w:cs="Times New Roman"/>
          <w:i/>
          <w:iCs/>
          <w:sz w:val="20"/>
          <w:szCs w:val="20"/>
        </w:rPr>
        <w:t>approved</w:t>
      </w:r>
      <w:r w:rsidRPr="00BE2207">
        <w:rPr>
          <w:rFonts w:ascii="Times New Roman" w:eastAsia="Times New Roman" w:hAnsi="Times New Roman" w:cs="Times New Roman"/>
          <w:sz w:val="20"/>
          <w:szCs w:val="20"/>
        </w:rPr>
        <w:t xml:space="preserve"> or </w:t>
      </w:r>
      <w:r w:rsidRPr="00BE2207">
        <w:rPr>
          <w:rFonts w:ascii="Times New Roman" w:eastAsia="Times New Roman" w:hAnsi="Times New Roman" w:cs="Times New Roman"/>
          <w:i/>
          <w:iCs/>
          <w:sz w:val="20"/>
          <w:szCs w:val="20"/>
        </w:rPr>
        <w:t>cancelled</w:t>
      </w:r>
    </w:p>
    <w:p w14:paraId="3C129390" w14:textId="77777777" w:rsidR="008C6732" w:rsidRPr="00BE2207" w:rsidRDefault="008C6732" w:rsidP="00BE2207">
      <w:pPr>
        <w:spacing w:before="100" w:beforeAutospacing="1" w:after="100" w:afterAutospacing="1" w:line="240" w:lineRule="auto"/>
        <w:jc w:val="both"/>
        <w:outlineLvl w:val="1"/>
        <w:rPr>
          <w:rFonts w:ascii="Times New Roman" w:eastAsia="Times New Roman" w:hAnsi="Times New Roman" w:cs="Times New Roman"/>
          <w:b/>
          <w:bCs/>
          <w:sz w:val="20"/>
          <w:szCs w:val="20"/>
        </w:rPr>
      </w:pPr>
      <w:r w:rsidRPr="00BE2207">
        <w:rPr>
          <w:rFonts w:ascii="Times New Roman" w:eastAsia="Times New Roman" w:hAnsi="Times New Roman" w:cs="Times New Roman"/>
          <w:b/>
          <w:bCs/>
          <w:sz w:val="20"/>
          <w:szCs w:val="20"/>
        </w:rPr>
        <w:t>Example: Orchestration-based saga</w:t>
      </w:r>
    </w:p>
    <w:p w14:paraId="2FB3C95A"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noProof/>
          <w:sz w:val="20"/>
          <w:szCs w:val="20"/>
          <w:lang w:val="en-IN" w:eastAsia="en-IN"/>
        </w:rPr>
        <w:lastRenderedPageBreak/>
        <w:drawing>
          <wp:inline distT="0" distB="0" distL="0" distR="0" wp14:anchorId="665D26E9" wp14:editId="1EAAAC7C">
            <wp:extent cx="5784889" cy="4338667"/>
            <wp:effectExtent l="0" t="0" r="6350" b="5080"/>
            <wp:docPr id="1" name="Picture 1" descr="https://microservices.io/i/data/Saga_Orchestration_Flow.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data/Saga_Orchestration_Flow.001.jpe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87467" cy="4340600"/>
                    </a:xfrm>
                    <a:prstGeom prst="rect">
                      <a:avLst/>
                    </a:prstGeom>
                  </pic:spPr>
                </pic:pic>
              </a:graphicData>
            </a:graphic>
          </wp:inline>
        </w:drawing>
      </w:r>
    </w:p>
    <w:p w14:paraId="1F404F2C"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An e-commerce application that uses this approach would create an order using an orchestration-based saga that consists of the following steps:</w:t>
      </w:r>
    </w:p>
    <w:p w14:paraId="012A1DC9" w14:textId="77777777" w:rsidR="008C6732" w:rsidRPr="00BE2207" w:rsidRDefault="008C6732" w:rsidP="00BE2207">
      <w:pPr>
        <w:numPr>
          <w:ilvl w:val="0"/>
          <w:numId w:val="4"/>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The </w:t>
      </w:r>
      <w:r w:rsidRPr="00BE2207">
        <w:rPr>
          <w:rFonts w:ascii="Courier New" w:eastAsia="Times New Roman" w:hAnsi="Courier New" w:cs="Courier New"/>
          <w:sz w:val="20"/>
          <w:szCs w:val="20"/>
        </w:rPr>
        <w:t>Order Service</w:t>
      </w:r>
      <w:r w:rsidRPr="00BE2207">
        <w:rPr>
          <w:rFonts w:ascii="Times New Roman" w:eastAsia="Times New Roman" w:hAnsi="Times New Roman" w:cs="Times New Roman"/>
          <w:sz w:val="20"/>
          <w:szCs w:val="20"/>
        </w:rPr>
        <w:t xml:space="preserve"> creates an Order in a </w:t>
      </w:r>
      <w:r w:rsidRPr="00BE2207">
        <w:rPr>
          <w:rFonts w:ascii="Times New Roman" w:eastAsia="Times New Roman" w:hAnsi="Times New Roman" w:cs="Times New Roman"/>
          <w:i/>
          <w:iCs/>
          <w:sz w:val="20"/>
          <w:szCs w:val="20"/>
        </w:rPr>
        <w:t>pending</w:t>
      </w:r>
      <w:r w:rsidRPr="00BE2207">
        <w:rPr>
          <w:rFonts w:ascii="Times New Roman" w:eastAsia="Times New Roman" w:hAnsi="Times New Roman" w:cs="Times New Roman"/>
          <w:sz w:val="20"/>
          <w:szCs w:val="20"/>
        </w:rPr>
        <w:t xml:space="preserve"> state and creates a </w:t>
      </w:r>
      <w:proofErr w:type="spellStart"/>
      <w:r w:rsidRPr="00BE2207">
        <w:rPr>
          <w:rFonts w:ascii="Courier New" w:eastAsia="Times New Roman" w:hAnsi="Courier New" w:cs="Courier New"/>
          <w:sz w:val="20"/>
          <w:szCs w:val="20"/>
        </w:rPr>
        <w:t>CreateOrderSaga</w:t>
      </w:r>
      <w:proofErr w:type="spellEnd"/>
    </w:p>
    <w:p w14:paraId="47C5507B" w14:textId="77777777" w:rsidR="008C6732" w:rsidRPr="00BE2207" w:rsidRDefault="008C6732" w:rsidP="00BE2207">
      <w:pPr>
        <w:numPr>
          <w:ilvl w:val="0"/>
          <w:numId w:val="4"/>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The </w:t>
      </w:r>
      <w:proofErr w:type="spellStart"/>
      <w:r w:rsidRPr="00BE2207">
        <w:rPr>
          <w:rFonts w:ascii="Courier New" w:eastAsia="Times New Roman" w:hAnsi="Courier New" w:cs="Courier New"/>
          <w:sz w:val="20"/>
          <w:szCs w:val="20"/>
        </w:rPr>
        <w:t>CreateOrderSaga</w:t>
      </w:r>
      <w:proofErr w:type="spellEnd"/>
      <w:r w:rsidRPr="00BE2207">
        <w:rPr>
          <w:rFonts w:ascii="Times New Roman" w:eastAsia="Times New Roman" w:hAnsi="Times New Roman" w:cs="Times New Roman"/>
          <w:sz w:val="20"/>
          <w:szCs w:val="20"/>
        </w:rPr>
        <w:t xml:space="preserve"> sends a </w:t>
      </w:r>
      <w:proofErr w:type="spellStart"/>
      <w:r w:rsidRPr="00BE2207">
        <w:rPr>
          <w:rFonts w:ascii="Courier New" w:eastAsia="Times New Roman" w:hAnsi="Courier New" w:cs="Courier New"/>
          <w:sz w:val="20"/>
          <w:szCs w:val="20"/>
        </w:rPr>
        <w:t>ReserveCredit</w:t>
      </w:r>
      <w:proofErr w:type="spellEnd"/>
      <w:r w:rsidRPr="00BE2207">
        <w:rPr>
          <w:rFonts w:ascii="Times New Roman" w:eastAsia="Times New Roman" w:hAnsi="Times New Roman" w:cs="Times New Roman"/>
          <w:sz w:val="20"/>
          <w:szCs w:val="20"/>
        </w:rPr>
        <w:t xml:space="preserve"> command to the </w:t>
      </w:r>
      <w:r w:rsidRPr="00BE2207">
        <w:rPr>
          <w:rFonts w:ascii="Courier New" w:eastAsia="Times New Roman" w:hAnsi="Courier New" w:cs="Courier New"/>
          <w:sz w:val="20"/>
          <w:szCs w:val="20"/>
        </w:rPr>
        <w:t>Customer Service</w:t>
      </w:r>
    </w:p>
    <w:p w14:paraId="77AD5BD1" w14:textId="77777777" w:rsidR="008C6732" w:rsidRPr="00BE2207" w:rsidRDefault="008C6732" w:rsidP="00BE2207">
      <w:pPr>
        <w:numPr>
          <w:ilvl w:val="0"/>
          <w:numId w:val="4"/>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The </w:t>
      </w:r>
      <w:r w:rsidRPr="00BE2207">
        <w:rPr>
          <w:rFonts w:ascii="Courier New" w:eastAsia="Times New Roman" w:hAnsi="Courier New" w:cs="Courier New"/>
          <w:sz w:val="20"/>
          <w:szCs w:val="20"/>
        </w:rPr>
        <w:t>Customer Service</w:t>
      </w:r>
      <w:r w:rsidRPr="00BE2207">
        <w:rPr>
          <w:rFonts w:ascii="Times New Roman" w:eastAsia="Times New Roman" w:hAnsi="Times New Roman" w:cs="Times New Roman"/>
          <w:sz w:val="20"/>
          <w:szCs w:val="20"/>
        </w:rPr>
        <w:t xml:space="preserve"> attempts to reserve credit for that Order and sends back a reply</w:t>
      </w:r>
    </w:p>
    <w:p w14:paraId="50A86420" w14:textId="77777777" w:rsidR="008C6732" w:rsidRPr="00BE2207" w:rsidRDefault="008C6732" w:rsidP="00BE2207">
      <w:pPr>
        <w:numPr>
          <w:ilvl w:val="0"/>
          <w:numId w:val="4"/>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The </w:t>
      </w:r>
      <w:proofErr w:type="spellStart"/>
      <w:r w:rsidRPr="00BE2207">
        <w:rPr>
          <w:rFonts w:ascii="Courier New" w:eastAsia="Times New Roman" w:hAnsi="Courier New" w:cs="Courier New"/>
          <w:sz w:val="20"/>
          <w:szCs w:val="20"/>
        </w:rPr>
        <w:t>CreateOrderSaga</w:t>
      </w:r>
      <w:proofErr w:type="spellEnd"/>
      <w:r w:rsidRPr="00BE2207">
        <w:rPr>
          <w:rFonts w:ascii="Times New Roman" w:eastAsia="Times New Roman" w:hAnsi="Times New Roman" w:cs="Times New Roman"/>
          <w:sz w:val="20"/>
          <w:szCs w:val="20"/>
        </w:rPr>
        <w:t xml:space="preserve"> receives the reply and sends either an </w:t>
      </w:r>
      <w:proofErr w:type="spellStart"/>
      <w:r w:rsidRPr="00BE2207">
        <w:rPr>
          <w:rFonts w:ascii="Courier New" w:eastAsia="Times New Roman" w:hAnsi="Courier New" w:cs="Courier New"/>
          <w:sz w:val="20"/>
          <w:szCs w:val="20"/>
        </w:rPr>
        <w:t>ApproveOrder</w:t>
      </w:r>
      <w:proofErr w:type="spellEnd"/>
      <w:r w:rsidRPr="00BE2207">
        <w:rPr>
          <w:rFonts w:ascii="Times New Roman" w:eastAsia="Times New Roman" w:hAnsi="Times New Roman" w:cs="Times New Roman"/>
          <w:sz w:val="20"/>
          <w:szCs w:val="20"/>
        </w:rPr>
        <w:t xml:space="preserve"> or </w:t>
      </w:r>
      <w:proofErr w:type="spellStart"/>
      <w:r w:rsidRPr="00BE2207">
        <w:rPr>
          <w:rFonts w:ascii="Courier New" w:eastAsia="Times New Roman" w:hAnsi="Courier New" w:cs="Courier New"/>
          <w:sz w:val="20"/>
          <w:szCs w:val="20"/>
        </w:rPr>
        <w:t>RejectOrder</w:t>
      </w:r>
      <w:proofErr w:type="spellEnd"/>
      <w:r w:rsidRPr="00BE2207">
        <w:rPr>
          <w:rFonts w:ascii="Times New Roman" w:eastAsia="Times New Roman" w:hAnsi="Times New Roman" w:cs="Times New Roman"/>
          <w:sz w:val="20"/>
          <w:szCs w:val="20"/>
        </w:rPr>
        <w:t xml:space="preserve"> command to the </w:t>
      </w:r>
      <w:r w:rsidRPr="00BE2207">
        <w:rPr>
          <w:rFonts w:ascii="Courier New" w:eastAsia="Times New Roman" w:hAnsi="Courier New" w:cs="Courier New"/>
          <w:sz w:val="20"/>
          <w:szCs w:val="20"/>
        </w:rPr>
        <w:t>Order Service</w:t>
      </w:r>
    </w:p>
    <w:p w14:paraId="6715FB8F" w14:textId="77777777" w:rsidR="008C6732" w:rsidRPr="00BE2207" w:rsidRDefault="008C6732" w:rsidP="00BE2207">
      <w:pPr>
        <w:numPr>
          <w:ilvl w:val="0"/>
          <w:numId w:val="4"/>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The </w:t>
      </w:r>
      <w:r w:rsidRPr="00BE2207">
        <w:rPr>
          <w:rFonts w:ascii="Courier New" w:eastAsia="Times New Roman" w:hAnsi="Courier New" w:cs="Courier New"/>
          <w:sz w:val="20"/>
          <w:szCs w:val="20"/>
        </w:rPr>
        <w:t>Order Service</w:t>
      </w:r>
      <w:r w:rsidRPr="00BE2207">
        <w:rPr>
          <w:rFonts w:ascii="Times New Roman" w:eastAsia="Times New Roman" w:hAnsi="Times New Roman" w:cs="Times New Roman"/>
          <w:sz w:val="20"/>
          <w:szCs w:val="20"/>
        </w:rPr>
        <w:t xml:space="preserve"> changes the state of the order to either </w:t>
      </w:r>
      <w:r w:rsidRPr="00BE2207">
        <w:rPr>
          <w:rFonts w:ascii="Times New Roman" w:eastAsia="Times New Roman" w:hAnsi="Times New Roman" w:cs="Times New Roman"/>
          <w:i/>
          <w:iCs/>
          <w:sz w:val="20"/>
          <w:szCs w:val="20"/>
        </w:rPr>
        <w:t>approved</w:t>
      </w:r>
      <w:r w:rsidRPr="00BE2207">
        <w:rPr>
          <w:rFonts w:ascii="Times New Roman" w:eastAsia="Times New Roman" w:hAnsi="Times New Roman" w:cs="Times New Roman"/>
          <w:sz w:val="20"/>
          <w:szCs w:val="20"/>
        </w:rPr>
        <w:t xml:space="preserve"> or </w:t>
      </w:r>
      <w:r w:rsidRPr="00BE2207">
        <w:rPr>
          <w:rFonts w:ascii="Times New Roman" w:eastAsia="Times New Roman" w:hAnsi="Times New Roman" w:cs="Times New Roman"/>
          <w:i/>
          <w:iCs/>
          <w:sz w:val="20"/>
          <w:szCs w:val="20"/>
        </w:rPr>
        <w:t>cancelled</w:t>
      </w:r>
    </w:p>
    <w:p w14:paraId="51609848" w14:textId="77777777" w:rsidR="008C6732" w:rsidRPr="00BE2207" w:rsidRDefault="008C6732" w:rsidP="00BE2207">
      <w:pPr>
        <w:spacing w:before="100" w:beforeAutospacing="1" w:after="100" w:afterAutospacing="1" w:line="240" w:lineRule="auto"/>
        <w:jc w:val="both"/>
        <w:outlineLvl w:val="1"/>
        <w:rPr>
          <w:rFonts w:ascii="Times New Roman" w:eastAsia="Times New Roman" w:hAnsi="Times New Roman" w:cs="Times New Roman"/>
          <w:b/>
          <w:bCs/>
          <w:sz w:val="20"/>
          <w:szCs w:val="20"/>
        </w:rPr>
      </w:pPr>
      <w:r w:rsidRPr="00BE2207">
        <w:rPr>
          <w:rFonts w:ascii="Times New Roman" w:eastAsia="Times New Roman" w:hAnsi="Times New Roman" w:cs="Times New Roman"/>
          <w:b/>
          <w:bCs/>
          <w:sz w:val="20"/>
          <w:szCs w:val="20"/>
        </w:rPr>
        <w:t>Resulting context</w:t>
      </w:r>
    </w:p>
    <w:p w14:paraId="01BEDB40"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This pattern has the following benefits:</w:t>
      </w:r>
    </w:p>
    <w:p w14:paraId="11EDD89B" w14:textId="77777777" w:rsidR="008C6732" w:rsidRPr="00BE2207" w:rsidRDefault="008C6732" w:rsidP="00BE2207">
      <w:pPr>
        <w:numPr>
          <w:ilvl w:val="0"/>
          <w:numId w:val="5"/>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It enables an application to maintain data consistency across multiple services without using distributed transactions</w:t>
      </w:r>
    </w:p>
    <w:p w14:paraId="6C9B682F"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This solution has the following drawbacks:</w:t>
      </w:r>
    </w:p>
    <w:p w14:paraId="20F8B48F" w14:textId="77777777" w:rsidR="008C6732" w:rsidRPr="00BE2207" w:rsidRDefault="008C6732" w:rsidP="00BE2207">
      <w:pPr>
        <w:numPr>
          <w:ilvl w:val="0"/>
          <w:numId w:val="6"/>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The programming model is more complex. For example, a developer must design compensating transactions that explicitly undo changes made earlier in a saga.</w:t>
      </w:r>
    </w:p>
    <w:p w14:paraId="00339191" w14:textId="77777777" w:rsidR="008C6732" w:rsidRPr="00BE2207" w:rsidRDefault="008C6732" w:rsidP="00BE2207">
      <w:p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There are also the following issues to address:</w:t>
      </w:r>
    </w:p>
    <w:p w14:paraId="55642351" w14:textId="77777777" w:rsidR="008C6732" w:rsidRPr="00BE2207" w:rsidRDefault="008C6732" w:rsidP="00BE2207">
      <w:pPr>
        <w:numPr>
          <w:ilvl w:val="0"/>
          <w:numId w:val="7"/>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lastRenderedPageBreak/>
        <w:t xml:space="preserve">In order to be reliable, a service must atomically update its database </w:t>
      </w:r>
      <w:r w:rsidRPr="00BE2207">
        <w:rPr>
          <w:rFonts w:ascii="Times New Roman" w:eastAsia="Times New Roman" w:hAnsi="Times New Roman" w:cs="Times New Roman"/>
          <w:i/>
          <w:iCs/>
          <w:sz w:val="20"/>
          <w:szCs w:val="20"/>
        </w:rPr>
        <w:t>and</w:t>
      </w:r>
      <w:r w:rsidRPr="00BE2207">
        <w:rPr>
          <w:rFonts w:ascii="Times New Roman" w:eastAsia="Times New Roman" w:hAnsi="Times New Roman" w:cs="Times New Roman"/>
          <w:sz w:val="20"/>
          <w:szCs w:val="20"/>
        </w:rPr>
        <w:t xml:space="preserve"> publish an event. It cannot use the traditional mechanism of a distributed transaction that spans the database and the message broker. Instead, it must use one of the patterns listed below.</w:t>
      </w:r>
    </w:p>
    <w:p w14:paraId="7DABCABE" w14:textId="77777777" w:rsidR="008C6732" w:rsidRPr="00BE2207" w:rsidRDefault="008C6732" w:rsidP="00BE2207">
      <w:pPr>
        <w:spacing w:before="100" w:beforeAutospacing="1" w:after="100" w:afterAutospacing="1" w:line="240" w:lineRule="auto"/>
        <w:jc w:val="both"/>
        <w:outlineLvl w:val="1"/>
        <w:rPr>
          <w:rFonts w:ascii="Times New Roman" w:eastAsia="Times New Roman" w:hAnsi="Times New Roman" w:cs="Times New Roman"/>
          <w:b/>
          <w:bCs/>
          <w:sz w:val="20"/>
          <w:szCs w:val="20"/>
        </w:rPr>
      </w:pPr>
      <w:r w:rsidRPr="00BE2207">
        <w:rPr>
          <w:rFonts w:ascii="Times New Roman" w:eastAsia="Times New Roman" w:hAnsi="Times New Roman" w:cs="Times New Roman"/>
          <w:b/>
          <w:bCs/>
          <w:sz w:val="20"/>
          <w:szCs w:val="20"/>
        </w:rPr>
        <w:t>Related patterns</w:t>
      </w:r>
    </w:p>
    <w:p w14:paraId="428DCDF7" w14:textId="77777777" w:rsidR="008C6732" w:rsidRPr="00BE2207" w:rsidRDefault="008C6732" w:rsidP="00BE2207">
      <w:pPr>
        <w:numPr>
          <w:ilvl w:val="0"/>
          <w:numId w:val="8"/>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The </w:t>
      </w:r>
      <w:hyperlink r:id="rId12" w:history="1">
        <w:r w:rsidRPr="00BE2207">
          <w:rPr>
            <w:rFonts w:ascii="Times New Roman" w:eastAsia="Times New Roman" w:hAnsi="Times New Roman" w:cs="Times New Roman"/>
            <w:color w:val="0000FF"/>
            <w:sz w:val="20"/>
            <w:szCs w:val="20"/>
            <w:u w:val="single"/>
          </w:rPr>
          <w:t>Database per Service pattern</w:t>
        </w:r>
      </w:hyperlink>
      <w:r w:rsidRPr="00BE2207">
        <w:rPr>
          <w:rFonts w:ascii="Times New Roman" w:eastAsia="Times New Roman" w:hAnsi="Times New Roman" w:cs="Times New Roman"/>
          <w:sz w:val="20"/>
          <w:szCs w:val="20"/>
        </w:rPr>
        <w:t xml:space="preserve"> creates the need for this pattern</w:t>
      </w:r>
    </w:p>
    <w:p w14:paraId="552348C8" w14:textId="77777777" w:rsidR="008C6732" w:rsidRPr="00BE2207" w:rsidRDefault="008C6732" w:rsidP="00BE2207">
      <w:pPr>
        <w:numPr>
          <w:ilvl w:val="0"/>
          <w:numId w:val="8"/>
        </w:numPr>
        <w:spacing w:before="100" w:beforeAutospacing="1" w:after="100" w:afterAutospacing="1" w:line="240" w:lineRule="auto"/>
        <w:jc w:val="both"/>
        <w:rPr>
          <w:rFonts w:ascii="Times New Roman" w:eastAsia="Times New Roman" w:hAnsi="Times New Roman" w:cs="Times New Roman"/>
          <w:sz w:val="20"/>
          <w:szCs w:val="20"/>
        </w:rPr>
      </w:pPr>
      <w:r w:rsidRPr="00BE2207">
        <w:rPr>
          <w:rFonts w:ascii="Times New Roman" w:eastAsia="Times New Roman" w:hAnsi="Times New Roman" w:cs="Times New Roman"/>
          <w:sz w:val="20"/>
          <w:szCs w:val="20"/>
        </w:rPr>
        <w:t xml:space="preserve">The following patterns are ways to </w:t>
      </w:r>
      <w:r w:rsidRPr="00BE2207">
        <w:rPr>
          <w:rFonts w:ascii="Times New Roman" w:eastAsia="Times New Roman" w:hAnsi="Times New Roman" w:cs="Times New Roman"/>
          <w:i/>
          <w:iCs/>
          <w:sz w:val="20"/>
          <w:szCs w:val="20"/>
        </w:rPr>
        <w:t>atomically</w:t>
      </w:r>
      <w:r w:rsidRPr="00BE2207">
        <w:rPr>
          <w:rFonts w:ascii="Times New Roman" w:eastAsia="Times New Roman" w:hAnsi="Times New Roman" w:cs="Times New Roman"/>
          <w:sz w:val="20"/>
          <w:szCs w:val="20"/>
        </w:rPr>
        <w:t xml:space="preserve"> update state </w:t>
      </w:r>
      <w:r w:rsidRPr="00BE2207">
        <w:rPr>
          <w:rFonts w:ascii="Times New Roman" w:eastAsia="Times New Roman" w:hAnsi="Times New Roman" w:cs="Times New Roman"/>
          <w:i/>
          <w:iCs/>
          <w:sz w:val="20"/>
          <w:szCs w:val="20"/>
        </w:rPr>
        <w:t>and</w:t>
      </w:r>
      <w:r w:rsidRPr="00BE2207">
        <w:rPr>
          <w:rFonts w:ascii="Times New Roman" w:eastAsia="Times New Roman" w:hAnsi="Times New Roman" w:cs="Times New Roman"/>
          <w:sz w:val="20"/>
          <w:szCs w:val="20"/>
        </w:rPr>
        <w:t xml:space="preserve"> publish events: </w:t>
      </w:r>
    </w:p>
    <w:p w14:paraId="45AC0882" w14:textId="77777777" w:rsidR="008C6732" w:rsidRPr="00BE2207" w:rsidRDefault="00446521" w:rsidP="00BE2207">
      <w:pPr>
        <w:numPr>
          <w:ilvl w:val="1"/>
          <w:numId w:val="8"/>
        </w:numPr>
        <w:spacing w:before="100" w:beforeAutospacing="1" w:after="100" w:afterAutospacing="1" w:line="240" w:lineRule="auto"/>
        <w:jc w:val="both"/>
        <w:rPr>
          <w:rFonts w:ascii="Times New Roman" w:eastAsia="Times New Roman" w:hAnsi="Times New Roman" w:cs="Times New Roman"/>
          <w:sz w:val="20"/>
          <w:szCs w:val="20"/>
        </w:rPr>
      </w:pPr>
      <w:hyperlink r:id="rId13" w:history="1">
        <w:r w:rsidR="008C6732" w:rsidRPr="00BE2207">
          <w:rPr>
            <w:rFonts w:ascii="Times New Roman" w:eastAsia="Times New Roman" w:hAnsi="Times New Roman" w:cs="Times New Roman"/>
            <w:color w:val="0000FF"/>
            <w:sz w:val="20"/>
            <w:szCs w:val="20"/>
            <w:u w:val="single"/>
          </w:rPr>
          <w:t>Event sourcing</w:t>
        </w:r>
      </w:hyperlink>
    </w:p>
    <w:p w14:paraId="73CF339F" w14:textId="77777777" w:rsidR="008C6732" w:rsidRPr="00BE2207" w:rsidRDefault="00446521" w:rsidP="00BE2207">
      <w:pPr>
        <w:numPr>
          <w:ilvl w:val="1"/>
          <w:numId w:val="8"/>
        </w:numPr>
        <w:spacing w:before="100" w:beforeAutospacing="1" w:after="100" w:afterAutospacing="1" w:line="240" w:lineRule="auto"/>
        <w:jc w:val="both"/>
        <w:rPr>
          <w:rFonts w:ascii="Times New Roman" w:eastAsia="Times New Roman" w:hAnsi="Times New Roman" w:cs="Times New Roman"/>
          <w:sz w:val="20"/>
          <w:szCs w:val="20"/>
        </w:rPr>
      </w:pPr>
      <w:hyperlink r:id="rId14" w:history="1">
        <w:r w:rsidR="008C6732" w:rsidRPr="00BE2207">
          <w:rPr>
            <w:rFonts w:ascii="Times New Roman" w:eastAsia="Times New Roman" w:hAnsi="Times New Roman" w:cs="Times New Roman"/>
            <w:color w:val="0000FF"/>
            <w:sz w:val="20"/>
            <w:szCs w:val="20"/>
            <w:u w:val="single"/>
          </w:rPr>
          <w:t>Application events</w:t>
        </w:r>
      </w:hyperlink>
    </w:p>
    <w:p w14:paraId="6EFC5724" w14:textId="77777777" w:rsidR="008C6732" w:rsidRPr="00BE2207" w:rsidRDefault="00446521" w:rsidP="00BE2207">
      <w:pPr>
        <w:numPr>
          <w:ilvl w:val="1"/>
          <w:numId w:val="8"/>
        </w:numPr>
        <w:spacing w:before="100" w:beforeAutospacing="1" w:after="100" w:afterAutospacing="1" w:line="240" w:lineRule="auto"/>
        <w:jc w:val="both"/>
        <w:rPr>
          <w:rFonts w:ascii="Times New Roman" w:eastAsia="Times New Roman" w:hAnsi="Times New Roman" w:cs="Times New Roman"/>
          <w:sz w:val="20"/>
          <w:szCs w:val="20"/>
        </w:rPr>
      </w:pPr>
      <w:hyperlink r:id="rId15" w:history="1">
        <w:r w:rsidR="008C6732" w:rsidRPr="00BE2207">
          <w:rPr>
            <w:rFonts w:ascii="Times New Roman" w:eastAsia="Times New Roman" w:hAnsi="Times New Roman" w:cs="Times New Roman"/>
            <w:color w:val="0000FF"/>
            <w:sz w:val="20"/>
            <w:szCs w:val="20"/>
            <w:u w:val="single"/>
          </w:rPr>
          <w:t>Database triggers</w:t>
        </w:r>
      </w:hyperlink>
    </w:p>
    <w:p w14:paraId="61A7EDFF" w14:textId="77777777" w:rsidR="008C6732" w:rsidRPr="00BE2207" w:rsidRDefault="00446521" w:rsidP="00BE2207">
      <w:pPr>
        <w:numPr>
          <w:ilvl w:val="1"/>
          <w:numId w:val="8"/>
        </w:numPr>
        <w:spacing w:before="100" w:beforeAutospacing="1" w:after="100" w:afterAutospacing="1" w:line="240" w:lineRule="auto"/>
        <w:jc w:val="both"/>
        <w:rPr>
          <w:rFonts w:ascii="Times New Roman" w:eastAsia="Times New Roman" w:hAnsi="Times New Roman" w:cs="Times New Roman"/>
          <w:sz w:val="20"/>
          <w:szCs w:val="20"/>
        </w:rPr>
      </w:pPr>
      <w:hyperlink r:id="rId16" w:history="1">
        <w:r w:rsidR="008C6732" w:rsidRPr="00BE2207">
          <w:rPr>
            <w:rFonts w:ascii="Times New Roman" w:eastAsia="Times New Roman" w:hAnsi="Times New Roman" w:cs="Times New Roman"/>
            <w:color w:val="0000FF"/>
            <w:sz w:val="20"/>
            <w:szCs w:val="20"/>
            <w:u w:val="single"/>
          </w:rPr>
          <w:t>Transaction log tailing</w:t>
        </w:r>
      </w:hyperlink>
    </w:p>
    <w:p w14:paraId="02623B76" w14:textId="77777777" w:rsidR="007C0C54" w:rsidRPr="00BE2207" w:rsidRDefault="00215A6D" w:rsidP="00BE2207">
      <w:pPr>
        <w:jc w:val="both"/>
        <w:rPr>
          <w:sz w:val="20"/>
          <w:szCs w:val="20"/>
        </w:rPr>
      </w:pPr>
      <w:r w:rsidRPr="00446521">
        <w:rPr>
          <w:rStyle w:val="Emphasis"/>
          <w:highlight w:val="yellow"/>
        </w:rPr>
        <w:t>Feign</w:t>
      </w:r>
      <w:r w:rsidRPr="00446521">
        <w:rPr>
          <w:highlight w:val="yellow"/>
        </w:rPr>
        <w:t xml:space="preserve"> aims at simplifying </w:t>
      </w:r>
      <w:r w:rsidRPr="00446521">
        <w:rPr>
          <w:rStyle w:val="Emphasis"/>
          <w:highlight w:val="yellow"/>
        </w:rPr>
        <w:t>HTTP API</w:t>
      </w:r>
      <w:r w:rsidRPr="00446521">
        <w:rPr>
          <w:highlight w:val="yellow"/>
        </w:rPr>
        <w:t xml:space="preserve"> clients</w:t>
      </w:r>
      <w:r>
        <w:t>. Simply put, the developer needs only to declare and annotate an interface while the actual implementation will be provisioned at runtime.</w:t>
      </w:r>
    </w:p>
    <w:sectPr w:rsidR="007C0C54" w:rsidRPr="00BE2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95A1F"/>
    <w:multiLevelType w:val="multilevel"/>
    <w:tmpl w:val="4898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066ED1"/>
    <w:multiLevelType w:val="multilevel"/>
    <w:tmpl w:val="176A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62458"/>
    <w:multiLevelType w:val="multilevel"/>
    <w:tmpl w:val="10C2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AF7C18"/>
    <w:multiLevelType w:val="multilevel"/>
    <w:tmpl w:val="ECE4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174F0A"/>
    <w:multiLevelType w:val="multilevel"/>
    <w:tmpl w:val="15CC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C410FD"/>
    <w:multiLevelType w:val="multilevel"/>
    <w:tmpl w:val="C01C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F84AAF"/>
    <w:multiLevelType w:val="multilevel"/>
    <w:tmpl w:val="E312E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DD42A9"/>
    <w:multiLevelType w:val="multilevel"/>
    <w:tmpl w:val="269A5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7"/>
  </w:num>
  <w:num w:numId="4">
    <w:abstractNumId w:val="0"/>
  </w:num>
  <w:num w:numId="5">
    <w:abstractNumId w:val="3"/>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013"/>
    <w:rsid w:val="0006290E"/>
    <w:rsid w:val="00121798"/>
    <w:rsid w:val="00215A6D"/>
    <w:rsid w:val="00253DA5"/>
    <w:rsid w:val="0034499E"/>
    <w:rsid w:val="00446521"/>
    <w:rsid w:val="007C0C54"/>
    <w:rsid w:val="008C6732"/>
    <w:rsid w:val="00952820"/>
    <w:rsid w:val="00983B3E"/>
    <w:rsid w:val="00B563DF"/>
    <w:rsid w:val="00BE2207"/>
    <w:rsid w:val="00CA2042"/>
    <w:rsid w:val="00D65013"/>
    <w:rsid w:val="00E20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CA44C"/>
  <w15:chartTrackingRefBased/>
  <w15:docId w15:val="{24026000-15C1-4E18-B346-F3493EC1F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67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67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73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673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C67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C6732"/>
    <w:rPr>
      <w:color w:val="0000FF"/>
      <w:u w:val="single"/>
    </w:rPr>
  </w:style>
  <w:style w:type="character" w:styleId="HTMLCode">
    <w:name w:val="HTML Code"/>
    <w:basedOn w:val="DefaultParagraphFont"/>
    <w:uiPriority w:val="99"/>
    <w:semiHidden/>
    <w:unhideWhenUsed/>
    <w:rsid w:val="008C6732"/>
    <w:rPr>
      <w:rFonts w:ascii="Courier New" w:eastAsia="Times New Roman" w:hAnsi="Courier New" w:cs="Courier New"/>
      <w:sz w:val="20"/>
      <w:szCs w:val="20"/>
    </w:rPr>
  </w:style>
  <w:style w:type="character" w:styleId="Emphasis">
    <w:name w:val="Emphasis"/>
    <w:basedOn w:val="DefaultParagraphFont"/>
    <w:uiPriority w:val="20"/>
    <w:qFormat/>
    <w:rsid w:val="008C67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17798">
      <w:bodyDiv w:val="1"/>
      <w:marLeft w:val="0"/>
      <w:marRight w:val="0"/>
      <w:marTop w:val="0"/>
      <w:marBottom w:val="0"/>
      <w:divBdr>
        <w:top w:val="none" w:sz="0" w:space="0" w:color="auto"/>
        <w:left w:val="none" w:sz="0" w:space="0" w:color="auto"/>
        <w:bottom w:val="none" w:sz="0" w:space="0" w:color="auto"/>
        <w:right w:val="none" w:sz="0" w:space="0" w:color="auto"/>
      </w:divBdr>
    </w:div>
    <w:div w:id="330063665">
      <w:bodyDiv w:val="1"/>
      <w:marLeft w:val="0"/>
      <w:marRight w:val="0"/>
      <w:marTop w:val="0"/>
      <w:marBottom w:val="0"/>
      <w:divBdr>
        <w:top w:val="none" w:sz="0" w:space="0" w:color="auto"/>
        <w:left w:val="none" w:sz="0" w:space="0" w:color="auto"/>
        <w:bottom w:val="none" w:sz="0" w:space="0" w:color="auto"/>
        <w:right w:val="none" w:sz="0" w:space="0" w:color="auto"/>
      </w:divBdr>
    </w:div>
    <w:div w:id="396897254">
      <w:bodyDiv w:val="1"/>
      <w:marLeft w:val="0"/>
      <w:marRight w:val="0"/>
      <w:marTop w:val="0"/>
      <w:marBottom w:val="0"/>
      <w:divBdr>
        <w:top w:val="none" w:sz="0" w:space="0" w:color="auto"/>
        <w:left w:val="none" w:sz="0" w:space="0" w:color="auto"/>
        <w:bottom w:val="none" w:sz="0" w:space="0" w:color="auto"/>
        <w:right w:val="none" w:sz="0" w:space="0" w:color="auto"/>
      </w:divBdr>
    </w:div>
    <w:div w:id="680082354">
      <w:bodyDiv w:val="1"/>
      <w:marLeft w:val="0"/>
      <w:marRight w:val="0"/>
      <w:marTop w:val="0"/>
      <w:marBottom w:val="0"/>
      <w:divBdr>
        <w:top w:val="none" w:sz="0" w:space="0" w:color="auto"/>
        <w:left w:val="none" w:sz="0" w:space="0" w:color="auto"/>
        <w:bottom w:val="none" w:sz="0" w:space="0" w:color="auto"/>
        <w:right w:val="none" w:sz="0" w:space="0" w:color="auto"/>
      </w:divBdr>
    </w:div>
    <w:div w:id="135426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croservices.io/patterns/data/database-per-service.html" TargetMode="External"/><Relationship Id="rId13" Type="http://schemas.openxmlformats.org/officeDocument/2006/relationships/hyperlink" Target="https://microservices.io/patterns/data/event-sourcing.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microservices.io/patterns/data/database-per-service.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icroservices.io/patterns/data/transaction-log-tailing.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microservices.io/patterns/data/database-triggers.html"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microservices.io/patterns/data/application-ev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33846-B353-43C2-8F25-88F9B32F5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6</Pages>
  <Words>955</Words>
  <Characters>5449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Sachan</dc:creator>
  <cp:keywords/>
  <dc:description/>
  <cp:lastModifiedBy>Neeraj Sachan</cp:lastModifiedBy>
  <cp:revision>13</cp:revision>
  <dcterms:created xsi:type="dcterms:W3CDTF">2018-09-25T12:25:00Z</dcterms:created>
  <dcterms:modified xsi:type="dcterms:W3CDTF">2023-07-27T15:29:00Z</dcterms:modified>
</cp:coreProperties>
</file>