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B64A1" w14:textId="77777777" w:rsidR="00507E7F" w:rsidRPr="00A96EC8" w:rsidRDefault="00000000" w:rsidP="00A96EC8">
      <w:pPr>
        <w:jc w:val="center"/>
      </w:pPr>
      <w:r w:rsidRPr="00A96EC8">
        <w:rPr>
          <w:b/>
          <w:bCs/>
        </w:rPr>
        <w:t>Response to Reviewers’ Comments</w:t>
      </w:r>
    </w:p>
    <w:p w14:paraId="63A03380" w14:textId="77777777" w:rsidR="00507E7F" w:rsidRPr="00A96EC8" w:rsidRDefault="00000000" w:rsidP="00A96EC8">
      <w:r w:rsidRPr="00A96EC8">
        <w:rPr>
          <w:b/>
          <w:bCs/>
        </w:rPr>
        <w:t>Manuscript IJEX-334179: “Physics-informed surrogates for exergy-based allocation in hybrid exergy–LCA frameworks”</w:t>
      </w:r>
    </w:p>
    <w:p w14:paraId="13E4AC7D" w14:textId="77777777" w:rsidR="00507E7F" w:rsidRPr="00A96EC8" w:rsidRDefault="00000000" w:rsidP="00A96EC8">
      <w:r w:rsidRPr="00A96EC8">
        <w:t>Dear Prof. Dincer and Reviewers,</w:t>
      </w:r>
    </w:p>
    <w:p w14:paraId="46B9FBF8" w14:textId="77777777" w:rsidR="00507E7F" w:rsidRPr="00A96EC8" w:rsidRDefault="00000000" w:rsidP="00A96EC8">
      <w:r w:rsidRPr="00A96EC8">
        <w:t>We thank both reviewers for their careful and constructive assessment. The revision is substantial, and two changes should be stated at the outset.</w:t>
      </w:r>
    </w:p>
    <w:p w14:paraId="68043AA6" w14:textId="77777777" w:rsidR="00507E7F" w:rsidRPr="00A96EC8" w:rsidRDefault="00000000" w:rsidP="00A96EC8">
      <w:r w:rsidRPr="00A96EC8">
        <w:t xml:space="preserve">First, following Reviewer 2’s central point, the thermodynamic formulation has been corrected. The surrogates are now constrained by the steady-state exergy balance including exergy destruction, </w:t>
      </w:r>
      <m:oMath>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sSub>
          <m:sSubPr>
            <m:ctrlPr>
              <w:rPr>
                <w:rFonts w:ascii="Cambria Math" w:hAnsi="Cambria Math"/>
              </w:rPr>
            </m:ctrlPr>
          </m:sSubPr>
          <m:e>
            <m:r>
              <w:rPr>
                <w:rFonts w:ascii="Cambria Math" w:hAnsi="Cambria Math"/>
              </w:rPr>
              <m:t>S</m:t>
            </m:r>
          </m:e>
          <m:sub>
            <m:r>
              <w:rPr>
                <w:rFonts w:ascii="Cambria Math" w:hAnsi="Cambria Math"/>
              </w:rPr>
              <m:t>gen</m:t>
            </m:r>
          </m:sub>
        </m:sSub>
      </m:oMath>
      <w:r w:rsidRPr="00A96EC8">
        <w:t>, rather than by an incorrect “exergy conservation” condition. The multiplicative output correction has been withdrawn.</w:t>
      </w:r>
    </w:p>
    <w:p w14:paraId="054ADF2E" w14:textId="77777777" w:rsidR="00507E7F" w:rsidRPr="00A96EC8" w:rsidRDefault="00000000" w:rsidP="00A96EC8">
      <w:r w:rsidRPr="00A96EC8">
        <w:t xml:space="preserve">Second, the case study has been replaced. The reviewers asked for mass and energy balances, reference-environment conditions, chemical-exergy data, input distributions, a covariance matrix and detailed allocation calculations, and for data and code to be released. Rather than document the previous calculation incompletely, we rebuilt the case study as a fully specified and openly released reference implementation of a municipal waste-to-energy plant and repeated the entire study on it. </w:t>
      </w:r>
      <w:r w:rsidRPr="00A96EC8">
        <w:rPr>
          <w:rStyle w:val="Rev"/>
          <w:highlight w:val="yellow"/>
        </w:rPr>
        <w:t>Every number in the revised manuscript is an output of that implementation, which is provided as supplementary code so that any result can be reproduced exactly. The case study is therefore a documented reference benchmark constructed from representative composition and operating data, not measurements from an operating facility, and Section 3.1 states this explicitly.</w:t>
      </w:r>
    </w:p>
    <w:p w14:paraId="24609844" w14:textId="77777777" w:rsidR="00507E7F" w:rsidRPr="00A96EC8" w:rsidRDefault="00000000" w:rsidP="00A96EC8">
      <w:r w:rsidRPr="00A96EC8">
        <w:t>The benchmark was additionally calibrated against published European plant statistics (Reimann, 2012), and Section 3.1 compares its heating value and electrical efficiency with those data. Because of these changes, all results, figures and numerical claims are new. Several conclusions of the original submission are not supported by the repeated analysis, and the revised manuscript reports what was measured: physics-informed training did not improve accuracy relative to unconstrained surrogates in this case study; enforcing the balance exactly in the network output layer degraded accuracy substantially; and the wall-clock speed-up depends entirely on the cost of the reference model, which is now reported as a projection rather than a single headline figure. We believe the verifiable version is more useful to readers than the original claims.</w:t>
      </w:r>
    </w:p>
    <w:p w14:paraId="28BE3728" w14:textId="77777777" w:rsidR="00507E7F" w:rsidRPr="00A96EC8" w:rsidRDefault="00000000" w:rsidP="00A96EC8">
      <w:r w:rsidRPr="00A96EC8">
        <w:t xml:space="preserve">Each comment is reproduced below with our response and the location of the change. Page numbers refer to the revised manuscript. New or rewritten text is </w:t>
      </w:r>
      <w:r w:rsidRPr="00A96EC8">
        <w:rPr>
          <w:rStyle w:val="Rev"/>
          <w:highlight w:val="yellow"/>
        </w:rPr>
        <w:t>highlighted in yellow</w:t>
      </w:r>
      <w:r w:rsidRPr="00A96EC8">
        <w:t>; because the entire manuscript was language-edited, sentences that changed only in wording are not highlighted.</w:t>
      </w:r>
    </w:p>
    <w:p w14:paraId="2456B3D4" w14:textId="77777777" w:rsidR="00507E7F" w:rsidRPr="00A96EC8" w:rsidRDefault="00000000" w:rsidP="00A96EC8">
      <w:pPr>
        <w:pStyle w:val="Heading1"/>
        <w:rPr>
          <w:sz w:val="24"/>
          <w:szCs w:val="24"/>
        </w:rPr>
      </w:pPr>
      <w:bookmarkStart w:id="0" w:name="reviewer-1"/>
      <w:r w:rsidRPr="00A96EC8">
        <w:rPr>
          <w:sz w:val="24"/>
          <w:szCs w:val="24"/>
        </w:rPr>
        <w:t>Reviewer 1</w:t>
      </w:r>
    </w:p>
    <w:p w14:paraId="2D3D8BA2" w14:textId="77777777" w:rsidR="00507E7F" w:rsidRPr="00A96EC8" w:rsidRDefault="00000000" w:rsidP="00A96EC8">
      <w:r w:rsidRPr="00A96EC8">
        <w:rPr>
          <w:b/>
          <w:bCs/>
        </w:rPr>
        <w:t>Comment 1.1.</w:t>
      </w:r>
      <w:r w:rsidRPr="00A96EC8">
        <w:t xml:space="preserve"> </w:t>
      </w:r>
      <w:r w:rsidRPr="00A96EC8">
        <w:rPr>
          <w:i/>
          <w:iCs/>
        </w:rPr>
        <w:t>Shorten the abstract to no more than 100 words.</w:t>
      </w:r>
    </w:p>
    <w:p w14:paraId="2D22817F" w14:textId="77777777" w:rsidR="00507E7F" w:rsidRPr="00A96EC8" w:rsidRDefault="00000000" w:rsidP="00A96EC8">
      <w:r w:rsidRPr="00A96EC8">
        <w:rPr>
          <w:b/>
          <w:bCs/>
        </w:rPr>
        <w:t>Response.</w:t>
      </w:r>
      <w:r w:rsidRPr="00A96EC8">
        <w:t xml:space="preserve"> The abstract has been rewritten and contains fewer than 100 words. </w:t>
      </w:r>
      <w:r w:rsidRPr="00A96EC8">
        <w:rPr>
          <w:b/>
          <w:bCs/>
        </w:rPr>
        <w:t>Location:</w:t>
      </w:r>
      <w:r w:rsidRPr="00A96EC8">
        <w:t xml:space="preserve"> Abstract, p. 6.</w:t>
      </w:r>
    </w:p>
    <w:p w14:paraId="1FCEAF18" w14:textId="77777777" w:rsidR="00507E7F" w:rsidRPr="00A96EC8" w:rsidRDefault="00000000" w:rsidP="00A96EC8">
      <w:r w:rsidRPr="00A96EC8">
        <w:rPr>
          <w:b/>
          <w:bCs/>
        </w:rPr>
        <w:t>Comment 1.2.</w:t>
      </w:r>
      <w:r w:rsidRPr="00A96EC8">
        <w:t xml:space="preserve"> </w:t>
      </w:r>
      <w:r w:rsidRPr="00A96EC8">
        <w:rPr>
          <w:i/>
          <w:iCs/>
        </w:rPr>
        <w:t>Shorten the introduction to no more than 1 page.</w:t>
      </w:r>
    </w:p>
    <w:p w14:paraId="571FE9E8" w14:textId="77777777" w:rsidR="00507E7F" w:rsidRPr="00A96EC8" w:rsidRDefault="00000000" w:rsidP="00A96EC8">
      <w:r w:rsidRPr="00A96EC8">
        <w:rPr>
          <w:b/>
          <w:bCs/>
        </w:rPr>
        <w:t>Response.</w:t>
      </w:r>
      <w:r w:rsidRPr="00A96EC8">
        <w:t xml:space="preserve"> The former Introduction and Literature Review (Sections 1 and 2) are merged into a single Introduction of approximately one page. The paper-outline paragraph and repeated statements of motivation were deleted. </w:t>
      </w:r>
      <w:r w:rsidRPr="00A96EC8">
        <w:rPr>
          <w:b/>
          <w:bCs/>
        </w:rPr>
        <w:t>Location:</w:t>
      </w:r>
      <w:r w:rsidRPr="00A96EC8">
        <w:t xml:space="preserve"> Section 1, p. 6.</w:t>
      </w:r>
    </w:p>
    <w:p w14:paraId="7E5D6057" w14:textId="77777777" w:rsidR="00507E7F" w:rsidRPr="00A96EC8" w:rsidRDefault="00000000" w:rsidP="00A96EC8">
      <w:r w:rsidRPr="00A96EC8">
        <w:rPr>
          <w:b/>
          <w:bCs/>
        </w:rPr>
        <w:t>Comment 1.3.</w:t>
      </w:r>
      <w:r w:rsidRPr="00A96EC8">
        <w:t xml:space="preserve"> </w:t>
      </w:r>
      <w:r w:rsidRPr="00A96EC8">
        <w:rPr>
          <w:i/>
          <w:iCs/>
        </w:rPr>
        <w:t>Omit Nomenclature and give the definitions within the text.</w:t>
      </w:r>
    </w:p>
    <w:p w14:paraId="5F45DB7F" w14:textId="77777777" w:rsidR="00507E7F" w:rsidRPr="00A96EC8" w:rsidRDefault="00000000" w:rsidP="00A96EC8">
      <w:r w:rsidRPr="00A96EC8">
        <w:rPr>
          <w:b/>
          <w:bCs/>
        </w:rPr>
        <w:lastRenderedPageBreak/>
        <w:t>Response.</w:t>
      </w:r>
      <w:r w:rsidRPr="00A96EC8">
        <w:t xml:space="preserve"> There is no nomenclature section. Every symbol is defined in the text immediately after the equation in which it first appears. Reviewer 2 suggested a nomenclature table as a non-essential improvement; we followed Reviewer 1’s mandatory requirement. </w:t>
      </w:r>
      <w:r w:rsidRPr="00A96EC8">
        <w:rPr>
          <w:b/>
          <w:bCs/>
        </w:rPr>
        <w:t>Location:</w:t>
      </w:r>
      <w:r w:rsidRPr="00A96EC8">
        <w:t xml:space="preserve"> Sections 2–4.</w:t>
      </w:r>
    </w:p>
    <w:p w14:paraId="16027493" w14:textId="77777777" w:rsidR="00507E7F" w:rsidRPr="00A96EC8" w:rsidRDefault="00000000" w:rsidP="00A96EC8">
      <w:r w:rsidRPr="00A96EC8">
        <w:rPr>
          <w:b/>
          <w:bCs/>
        </w:rPr>
        <w:t>Comment 1.4.</w:t>
      </w:r>
      <w:r w:rsidRPr="00A96EC8">
        <w:t xml:space="preserve"> </w:t>
      </w:r>
      <w:r w:rsidRPr="00A96EC8">
        <w:rPr>
          <w:i/>
          <w:iCs/>
        </w:rPr>
        <w:t>Omit trivial equations and keep only the essential ones (up to 10).</w:t>
      </w:r>
    </w:p>
    <w:p w14:paraId="773EF248" w14:textId="3D592184" w:rsidR="00507E7F" w:rsidRPr="00A96EC8" w:rsidRDefault="00000000" w:rsidP="00A96EC8">
      <w:r w:rsidRPr="00A96EC8">
        <w:rPr>
          <w:b/>
          <w:bCs/>
        </w:rPr>
        <w:t>Response.</w:t>
      </w:r>
      <w:r w:rsidRPr="00A96EC8">
        <w:t xml:space="preserve"> The equations have been reduced from 22 to 9. Removed: the generic surrogate mapping, the separate composite loss, the single-layer network expression, the GP log marginal likelihood, the sampling-space and batch-size definitions, the impact-allocation expression (merged into Eq. 3), the withdrawn correction factor (former Eqs. 10–11) and the retraining rule (now stated in words). Physical and chemical exergy are combined in Eq. (1). </w:t>
      </w:r>
      <w:r w:rsidRPr="00A96EC8">
        <w:rPr>
          <w:b/>
          <w:bCs/>
        </w:rPr>
        <w:t>Location:</w:t>
      </w:r>
      <w:r w:rsidRPr="00A96EC8">
        <w:t xml:space="preserve"> Eqs. (1)</w:t>
      </w:r>
      <w:r w:rsidR="005769E5">
        <w:t>-</w:t>
      </w:r>
      <w:r w:rsidRPr="00A96EC8">
        <w:t>(9), Section 2.</w:t>
      </w:r>
    </w:p>
    <w:p w14:paraId="44E1ADEA" w14:textId="77777777" w:rsidR="00507E7F" w:rsidRPr="00A96EC8" w:rsidRDefault="00000000" w:rsidP="00A96EC8">
      <w:r w:rsidRPr="00A96EC8">
        <w:rPr>
          <w:b/>
          <w:bCs/>
        </w:rPr>
        <w:t>Comment 1.5.</w:t>
      </w:r>
      <w:r w:rsidRPr="00A96EC8">
        <w:t xml:space="preserve"> </w:t>
      </w:r>
      <w:r w:rsidRPr="00A96EC8">
        <w:rPr>
          <w:i/>
          <w:iCs/>
        </w:rPr>
        <w:t>Conclusions should be very brief to state the main findings only.</w:t>
      </w:r>
    </w:p>
    <w:p w14:paraId="20D9CA4B" w14:textId="77777777" w:rsidR="00507E7F" w:rsidRPr="00A96EC8" w:rsidRDefault="00000000" w:rsidP="00A96EC8">
      <w:r w:rsidRPr="00A96EC8">
        <w:rPr>
          <w:b/>
          <w:bCs/>
        </w:rPr>
        <w:t>Response.</w:t>
      </w:r>
      <w:r w:rsidRPr="00A96EC8">
        <w:t xml:space="preserve"> The Conclusions are now a single short paragraph of measured findings. </w:t>
      </w:r>
      <w:r w:rsidRPr="00A96EC8">
        <w:rPr>
          <w:b/>
          <w:bCs/>
        </w:rPr>
        <w:t>Location:</w:t>
      </w:r>
      <w:r w:rsidRPr="00A96EC8">
        <w:t xml:space="preserve"> Section 5, p. 17.</w:t>
      </w:r>
    </w:p>
    <w:p w14:paraId="5E326261" w14:textId="77777777" w:rsidR="00507E7F" w:rsidRPr="00A96EC8" w:rsidRDefault="00000000" w:rsidP="00A96EC8">
      <w:r w:rsidRPr="00A96EC8">
        <w:rPr>
          <w:b/>
          <w:bCs/>
        </w:rPr>
        <w:t>Comment 1.6.</w:t>
      </w:r>
      <w:r w:rsidRPr="00A96EC8">
        <w:t xml:space="preserve"> </w:t>
      </w:r>
      <w:r w:rsidRPr="00A96EC8">
        <w:rPr>
          <w:i/>
          <w:iCs/>
        </w:rPr>
        <w:t>Reduce the references to no more than 20. Avoid giving multiple references from the same person.</w:t>
      </w:r>
    </w:p>
    <w:p w14:paraId="4DF519D9" w14:textId="1F678A1D" w:rsidR="00507E7F" w:rsidRPr="00A96EC8" w:rsidRDefault="00000000" w:rsidP="00A96EC8">
      <w:r w:rsidRPr="00A96EC8">
        <w:rPr>
          <w:b/>
          <w:bCs/>
        </w:rPr>
        <w:t>Response.</w:t>
      </w:r>
      <w:r w:rsidRPr="00A96EC8">
        <w:t xml:space="preserve"> The list contains 20 references and no author appears twice. Stern et al. (2017) was also replaced by the plant-data source used for benchmark calibration. Items removed include Ahmadi et al. (2012), Rosen and Dincer (1999), Nwodo and Anumba (2020), Nielsen and Bastianoni (2007), Salehi et al. (2018), Arango-Miranda et al. (2018), Šturek and Lazarova-Molnar (2025), Angione et al. (2022), Misyris et al. (2020), Moran and Sciubba (1994), Algren et al. (2021), Kibria Nabil et al. (2021), Yang et al. (2022) and Zhou et al. (2011); several were listed but never cited, and Sciubba et al. (2002)” was cited but missing from the list. </w:t>
      </w:r>
      <w:r w:rsidRPr="00A96EC8">
        <w:rPr>
          <w:b/>
          <w:bCs/>
        </w:rPr>
        <w:t>Location:</w:t>
      </w:r>
      <w:r w:rsidRPr="00A96EC8">
        <w:t xml:space="preserve"> References, p. 17.</w:t>
      </w:r>
    </w:p>
    <w:p w14:paraId="4EED8847" w14:textId="77777777" w:rsidR="00507E7F" w:rsidRPr="00A96EC8" w:rsidRDefault="00000000" w:rsidP="00A96EC8">
      <w:r w:rsidRPr="00A96EC8">
        <w:rPr>
          <w:b/>
          <w:bCs/>
        </w:rPr>
        <w:t>Comment 1.7.</w:t>
      </w:r>
      <w:r w:rsidRPr="00A96EC8">
        <w:t xml:space="preserve"> </w:t>
      </w:r>
      <w:r w:rsidRPr="00A96EC8">
        <w:rPr>
          <w:i/>
          <w:iCs/>
        </w:rPr>
        <w:t>Avoid tables and give the data within the text.</w:t>
      </w:r>
    </w:p>
    <w:p w14:paraId="0991DB98" w14:textId="77777777" w:rsidR="00507E7F" w:rsidRPr="00A96EC8" w:rsidRDefault="00000000" w:rsidP="00A96EC8">
      <w:r w:rsidRPr="00A96EC8">
        <w:rPr>
          <w:b/>
          <w:bCs/>
        </w:rPr>
        <w:t>Response.</w:t>
      </w:r>
      <w:r w:rsidRPr="00A96EC8">
        <w:t xml:space="preserve"> Table 1 has been removed and the timings are given in the text. The bulleted lists of correlations and run times are now running text. The detailed data requested by Reviewer 2 are supplied as Supplementary Material and as code. </w:t>
      </w:r>
      <w:r w:rsidRPr="00A96EC8">
        <w:rPr>
          <w:b/>
          <w:bCs/>
        </w:rPr>
        <w:t>Location:</w:t>
      </w:r>
      <w:r w:rsidRPr="00A96EC8">
        <w:t xml:space="preserve"> Sections 3.3 and 4.4.</w:t>
      </w:r>
    </w:p>
    <w:p w14:paraId="3BA21ADB" w14:textId="77777777" w:rsidR="00507E7F" w:rsidRPr="00A96EC8" w:rsidRDefault="00000000" w:rsidP="00A96EC8">
      <w:r w:rsidRPr="00A96EC8">
        <w:rPr>
          <w:b/>
          <w:bCs/>
        </w:rPr>
        <w:t>Comment 1.8.</w:t>
      </w:r>
      <w:r w:rsidRPr="00A96EC8">
        <w:t xml:space="preserve"> </w:t>
      </w:r>
      <w:r w:rsidRPr="00A96EC8">
        <w:rPr>
          <w:i/>
          <w:iCs/>
        </w:rPr>
        <w:t>Remove Fig. 1 and describe them only within the text.</w:t>
      </w:r>
    </w:p>
    <w:p w14:paraId="54ED05B8" w14:textId="77777777" w:rsidR="00507E7F" w:rsidRPr="00A96EC8" w:rsidRDefault="00000000" w:rsidP="00A96EC8">
      <w:r w:rsidRPr="00A96EC8">
        <w:rPr>
          <w:b/>
          <w:bCs/>
        </w:rPr>
        <w:t>Response.</w:t>
      </w:r>
      <w:r w:rsidRPr="00A96EC8">
        <w:t xml:space="preserve"> Figure 1 has been removed and the workflow is described in the opening paragraph of Section 2. All remaining figures were regenerated from the new results and renumbered 1–7. </w:t>
      </w:r>
      <w:r w:rsidRPr="00A96EC8">
        <w:rPr>
          <w:b/>
          <w:bCs/>
        </w:rPr>
        <w:t>Location:</w:t>
      </w:r>
      <w:r w:rsidRPr="00A96EC8">
        <w:t xml:space="preserve"> Section 2, p. 7.</w:t>
      </w:r>
    </w:p>
    <w:p w14:paraId="24014C98" w14:textId="77777777" w:rsidR="00507E7F" w:rsidRPr="00A96EC8" w:rsidRDefault="00000000" w:rsidP="00A96EC8">
      <w:r w:rsidRPr="00A96EC8">
        <w:rPr>
          <w:b/>
          <w:bCs/>
        </w:rPr>
        <w:t>Comment 1.9.</w:t>
      </w:r>
      <w:r w:rsidRPr="00A96EC8">
        <w:t xml:space="preserve"> </w:t>
      </w:r>
      <w:r w:rsidRPr="00A96EC8">
        <w:rPr>
          <w:i/>
          <w:iCs/>
        </w:rPr>
        <w:t>A careful language editing is necessary.</w:t>
      </w:r>
    </w:p>
    <w:p w14:paraId="60E43A82" w14:textId="77777777" w:rsidR="00507E7F" w:rsidRPr="00A96EC8" w:rsidRDefault="00000000" w:rsidP="00A96EC8">
      <w:r w:rsidRPr="00A96EC8">
        <w:rPr>
          <w:b/>
          <w:bCs/>
        </w:rPr>
        <w:t>Response.</w:t>
      </w:r>
      <w:r w:rsidRPr="00A96EC8">
        <w:t xml:space="preserve"> The manuscript has been rewritten throughout. Terminology is now consistent: “reference model” is the full thermodynamic and allocation calculation, “Monte Carlo analysis” is the sample ensemble, and “rejection” is a prediction that fails the validator test. </w:t>
      </w:r>
      <w:r w:rsidRPr="00A96EC8">
        <w:rPr>
          <w:b/>
          <w:bCs/>
        </w:rPr>
        <w:t>Location:</w:t>
      </w:r>
      <w:r w:rsidRPr="00A96EC8">
        <w:t xml:space="preserve"> Entire manuscript.</w:t>
      </w:r>
    </w:p>
    <w:p w14:paraId="2EA57E85" w14:textId="77777777" w:rsidR="00507E7F" w:rsidRPr="00A96EC8" w:rsidRDefault="00000000" w:rsidP="00A96EC8">
      <w:r w:rsidRPr="00A96EC8">
        <w:rPr>
          <w:b/>
          <w:bCs/>
        </w:rPr>
        <w:t>Comment 1.10.</w:t>
      </w:r>
      <w:r w:rsidRPr="00A96EC8">
        <w:t xml:space="preserve"> </w:t>
      </w:r>
      <w:r w:rsidRPr="00A96EC8">
        <w:rPr>
          <w:i/>
          <w:iCs/>
        </w:rPr>
        <w:t>Avoid bulk referencing/citations within the text.</w:t>
      </w:r>
    </w:p>
    <w:p w14:paraId="1DF3805F" w14:textId="77777777" w:rsidR="00507E7F" w:rsidRPr="00A96EC8" w:rsidRDefault="00000000" w:rsidP="00A96EC8">
      <w:r w:rsidRPr="00A96EC8">
        <w:rPr>
          <w:b/>
          <w:bCs/>
        </w:rPr>
        <w:t>Response.</w:t>
      </w:r>
      <w:r w:rsidRPr="00A96EC8">
        <w:t xml:space="preserve"> Every citation now supports one specific statement, and no sentence cites more than one source. </w:t>
      </w:r>
      <w:r w:rsidRPr="00A96EC8">
        <w:rPr>
          <w:b/>
          <w:bCs/>
        </w:rPr>
        <w:t>Location:</w:t>
      </w:r>
      <w:r w:rsidRPr="00A96EC8">
        <w:t xml:space="preserve"> Entire manuscript.</w:t>
      </w:r>
    </w:p>
    <w:p w14:paraId="21907E00" w14:textId="77777777" w:rsidR="00507E7F" w:rsidRPr="00A96EC8" w:rsidRDefault="00000000" w:rsidP="00A96EC8">
      <w:r w:rsidRPr="00A96EC8">
        <w:rPr>
          <w:b/>
          <w:bCs/>
        </w:rPr>
        <w:t>Comment 1.11.</w:t>
      </w:r>
      <w:r w:rsidRPr="00A96EC8">
        <w:t xml:space="preserve"> </w:t>
      </w:r>
      <w:r w:rsidRPr="00A96EC8">
        <w:rPr>
          <w:i/>
          <w:iCs/>
        </w:rPr>
        <w:t>For every specific data/information/equations, you must refer to the original source.</w:t>
      </w:r>
    </w:p>
    <w:p w14:paraId="3F3E9666" w14:textId="0AF6EF71" w:rsidR="00507E7F" w:rsidRPr="00A96EC8" w:rsidRDefault="00000000" w:rsidP="00A96EC8">
      <w:r w:rsidRPr="00A96EC8">
        <w:rPr>
          <w:b/>
          <w:bCs/>
        </w:rPr>
        <w:lastRenderedPageBreak/>
        <w:t>Response.</w:t>
      </w:r>
      <w:r w:rsidRPr="00A96EC8">
        <w:t xml:space="preserve"> Original sources replace reviews and secondary citations: exergetic LCA, Cornelissen and Hirs (2002); stream exergy and standard chemical exergies, Szargut et al. (1988); exergy balance and the Gouy–Stodola relation, Bejan et al. (1996); GP regression and the Matérn kernel, Rasmussen and Williams (2006); physics-informed learning, Raissi et al. (2019); augmented Lagrangian, Hestenes (1969); Latin hypercube sampling, McKay et al. (1979); Sobol’ sequences, Sobol’ (1967); Sobol’ indices, Saltelli et al. (2010); ELU, Clevert et al. (2016); Adam, Kingma and Ba (2015); scikit-learn, Pedregosa et al. (2011); Kolmogorov–Smirnov test, Massey (1951); bootstrap intervals, Efron (1979). </w:t>
      </w:r>
      <w:r w:rsidRPr="00A96EC8">
        <w:rPr>
          <w:b/>
          <w:bCs/>
        </w:rPr>
        <w:t>Location:</w:t>
      </w:r>
      <w:r w:rsidRPr="00A96EC8">
        <w:t xml:space="preserve"> Sections 1</w:t>
      </w:r>
      <w:r w:rsidR="005769E5">
        <w:t>-</w:t>
      </w:r>
      <w:r w:rsidRPr="00A96EC8">
        <w:t>4 and References.</w:t>
      </w:r>
    </w:p>
    <w:p w14:paraId="5F1C9D12" w14:textId="77777777" w:rsidR="00507E7F" w:rsidRPr="00A96EC8" w:rsidRDefault="00000000" w:rsidP="00A96EC8">
      <w:pPr>
        <w:pStyle w:val="Heading1"/>
        <w:rPr>
          <w:sz w:val="24"/>
          <w:szCs w:val="24"/>
        </w:rPr>
      </w:pPr>
      <w:bookmarkStart w:id="1" w:name="reviewer-2"/>
      <w:bookmarkEnd w:id="0"/>
      <w:r w:rsidRPr="00A96EC8">
        <w:rPr>
          <w:sz w:val="24"/>
          <w:szCs w:val="24"/>
        </w:rPr>
        <w:t>Reviewer 2</w:t>
      </w:r>
    </w:p>
    <w:p w14:paraId="67C2A975" w14:textId="64CE13E8" w:rsidR="00507E7F" w:rsidRPr="00A96EC8" w:rsidRDefault="00000000" w:rsidP="00A96EC8">
      <w:r w:rsidRPr="00A96EC8">
        <w:rPr>
          <w:b/>
          <w:bCs/>
        </w:rPr>
        <w:t>Comment 2.1.</w:t>
      </w:r>
      <w:r w:rsidRPr="00A96EC8">
        <w:t xml:space="preserve"> </w:t>
      </w:r>
      <w:r w:rsidRPr="00A96EC8">
        <w:rPr>
          <w:i/>
          <w:iCs/>
        </w:rPr>
        <w:t xml:space="preserve">Exergy is not conserved; the balance must include exergy destruction, generally </w:t>
      </w:r>
      <m:oMath>
        <m:sSub>
          <m:sSubPr>
            <m:ctrlPr>
              <w:rPr>
                <w:rFonts w:ascii="Cambria Math" w:hAnsi="Cambria Math"/>
              </w:rPr>
            </m:ctrlPr>
          </m:sSubPr>
          <m:e>
            <m:r>
              <w:rPr>
                <w:rFonts w:ascii="Cambria Math" w:hAnsi="Cambria Math"/>
              </w:rPr>
              <m:t>T</m:t>
            </m:r>
          </m:e>
          <m:sub>
            <m:r>
              <w:rPr>
                <w:rFonts w:ascii="Cambria Math" w:hAnsi="Cambria Math"/>
              </w:rPr>
              <m:t>0</m:t>
            </m:r>
          </m:sub>
        </m:sSub>
        <m:sSub>
          <m:sSubPr>
            <m:ctrlPr>
              <w:rPr>
                <w:rFonts w:ascii="Cambria Math" w:hAnsi="Cambria Math"/>
              </w:rPr>
            </m:ctrlPr>
          </m:sSubPr>
          <m:e>
            <m:r>
              <w:rPr>
                <w:rFonts w:ascii="Cambria Math" w:hAnsi="Cambria Math"/>
              </w:rPr>
              <m:t>S</m:t>
            </m:r>
          </m:e>
          <m:sub>
            <m:r>
              <w:rPr>
                <w:rFonts w:ascii="Cambria Math" w:hAnsi="Cambria Math"/>
              </w:rPr>
              <m:t>gen</m:t>
            </m:r>
          </m:sub>
        </m:sSub>
      </m:oMath>
      <w:r w:rsidRPr="00A96EC8">
        <w:rPr>
          <w:i/>
          <w:iCs/>
        </w:rPr>
        <w:t>, as well as losses. Equations (8)</w:t>
      </w:r>
      <w:r w:rsidR="009A629B" w:rsidRPr="00A96EC8">
        <w:rPr>
          <w:i/>
          <w:iCs/>
        </w:rPr>
        <w:t>– (</w:t>
      </w:r>
      <w:r w:rsidRPr="00A96EC8">
        <w:rPr>
          <w:i/>
          <w:iCs/>
        </w:rPr>
        <w:t>11) require fundamental reconsideration. A multiplicative correction may enforce numerical closure without ensuring thermodynamic validity.</w:t>
      </w:r>
    </w:p>
    <w:p w14:paraId="31EBD941" w14:textId="73A0E8C2" w:rsidR="00507E7F" w:rsidRPr="00A96EC8" w:rsidRDefault="00000000" w:rsidP="00A96EC8">
      <w:r w:rsidRPr="00A96EC8">
        <w:rPr>
          <w:b/>
          <w:bCs/>
        </w:rPr>
        <w:t>Response.</w:t>
      </w:r>
      <w:r w:rsidRPr="00A96EC8">
        <w:t xml:space="preserve"> We agree, and thank the reviewer for identifying the error. All references to exergy conservation and to the First Law as the governing constraint are removed. The constraint is the steady-state exergy balance of Eq. (2), containing product exergies, losses and destruction </w:t>
      </w:r>
      <m:oMath>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sSub>
          <m:sSubPr>
            <m:ctrlPr>
              <w:rPr>
                <w:rFonts w:ascii="Cambria Math" w:hAnsi="Cambria Math"/>
              </w:rPr>
            </m:ctrlPr>
          </m:sSubPr>
          <m:e>
            <m:r>
              <w:rPr>
                <w:rFonts w:ascii="Cambria Math" w:hAnsi="Cambria Math"/>
              </w:rPr>
              <m:t>S</m:t>
            </m:r>
          </m:e>
          <m:sub>
            <m:r>
              <w:rPr>
                <w:rFonts w:ascii="Cambria Math" w:hAnsi="Cambria Math"/>
              </w:rPr>
              <m:t>gen</m:t>
            </m:r>
          </m:sub>
        </m:sSub>
        <m:r>
          <m:rPr>
            <m:sty m:val="p"/>
          </m:rPr>
          <w:rPr>
            <w:rFonts w:ascii="Cambria Math" w:hAnsi="Cambria Math"/>
          </w:rPr>
          <m:t>≥</m:t>
        </m:r>
        <m:r>
          <w:rPr>
            <w:rFonts w:ascii="Cambria Math" w:hAnsi="Cambria Math"/>
          </w:rPr>
          <m:t>0</m:t>
        </m:r>
      </m:oMath>
      <w:r w:rsidRPr="00A96EC8">
        <w:t xml:space="preserve"> (Bejan et al., 1996). Former Eqs. (8)</w:t>
      </w:r>
      <w:r w:rsidR="005769E5" w:rsidRPr="00A96EC8">
        <w:t>– (</w:t>
      </w:r>
      <w:r w:rsidRPr="00A96EC8">
        <w:t xml:space="preserve">11) are withdrawn. The residual of Eq. (6) compares the destruction implied by the balance with </w:t>
      </w:r>
      <m:oMath>
        <m:sSub>
          <m:sSubPr>
            <m:ctrlPr>
              <w:rPr>
                <w:rFonts w:ascii="Cambria Math" w:hAnsi="Cambria Math"/>
              </w:rPr>
            </m:ctrlPr>
          </m:sSubPr>
          <m:e>
            <m:r>
              <w:rPr>
                <w:rFonts w:ascii="Cambria Math" w:hAnsi="Cambria Math"/>
              </w:rPr>
              <m:t>T</m:t>
            </m:r>
          </m:e>
          <m:sub>
            <m:r>
              <w:rPr>
                <w:rFonts w:ascii="Cambria Math" w:hAnsi="Cambria Math"/>
              </w:rPr>
              <m:t>0</m:t>
            </m:r>
          </m:sub>
        </m:sSub>
        <m:sSub>
          <m:sSubPr>
            <m:ctrlPr>
              <w:rPr>
                <w:rFonts w:ascii="Cambria Math" w:hAnsi="Cambria Math"/>
              </w:rPr>
            </m:ctrlPr>
          </m:sSubPr>
          <m:e>
            <m:r>
              <w:rPr>
                <w:rFonts w:ascii="Cambria Math" w:hAnsi="Cambria Math"/>
              </w:rPr>
              <m:t>S</m:t>
            </m:r>
          </m:e>
          <m:sub>
            <m:r>
              <w:rPr>
                <w:rFonts w:ascii="Cambria Math" w:hAnsi="Cambria Math"/>
              </w:rPr>
              <m:t>gen</m:t>
            </m:r>
          </m:sub>
        </m:sSub>
      </m:oMath>
      <w:r w:rsidRPr="00A96EC8">
        <w:t xml:space="preserve"> obtained from a separate prediction, so it tests thermodynamic consistency rather than arithmetic closure, and the validator additionally requires </w:t>
      </w:r>
      <m:oMath>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r>
          <w:rPr>
            <w:rFonts w:ascii="Cambria Math" w:hAnsi="Cambria Math"/>
          </w:rPr>
          <m:t>0</m:t>
        </m:r>
      </m:oMath>
      <w:r w:rsidRPr="00A96EC8">
        <w:t>.</w:t>
      </w:r>
    </w:p>
    <w:p w14:paraId="3FFA4DBB" w14:textId="77777777" w:rsidR="00507E7F" w:rsidRPr="00A96EC8" w:rsidRDefault="00000000" w:rsidP="00A96EC8">
      <w:r w:rsidRPr="00A96EC8">
        <w:t xml:space="preserve">The reviewer is also right about the correction factor. Because all co-product exergies were multiplied by the same factor, the allocation factors of Eq. (3) were left unchanged by it: the correction closed the balance numerically without altering the allocation or making it valid. It is replaced by re-evaluation of the rejected sample with the reference model. </w:t>
      </w:r>
      <w:r w:rsidRPr="00A96EC8">
        <w:rPr>
          <w:rStyle w:val="Rev"/>
          <w:highlight w:val="yellow"/>
        </w:rPr>
        <w:t>In the new case study this fallback reduces the mean allocation error of the unconstrained network from 0.69 to 0.31 percentage points (Section 4.3).</w:t>
      </w:r>
      <w:r w:rsidRPr="00A96EC8">
        <w:t xml:space="preserve"> </w:t>
      </w:r>
      <w:r w:rsidRPr="00A96EC8">
        <w:rPr>
          <w:b/>
          <w:bCs/>
        </w:rPr>
        <w:t>Location:</w:t>
      </w:r>
      <w:r w:rsidRPr="00A96EC8">
        <w:t xml:space="preserve"> Sections 2.1, 2.3, 2.4 and 4.3, pp. 7–14.</w:t>
      </w:r>
    </w:p>
    <w:p w14:paraId="0084E4D7" w14:textId="77777777" w:rsidR="00507E7F" w:rsidRPr="00A96EC8" w:rsidRDefault="00000000" w:rsidP="00A96EC8">
      <w:r w:rsidRPr="00A96EC8">
        <w:rPr>
          <w:b/>
          <w:bCs/>
        </w:rPr>
        <w:t>Comment 2.2.</w:t>
      </w:r>
      <w:r w:rsidRPr="00A96EC8">
        <w:t xml:space="preserve"> </w:t>
      </w:r>
      <w:r w:rsidRPr="00A96EC8">
        <w:rPr>
          <w:i/>
          <w:iCs/>
        </w:rPr>
        <w:t>The relationship between predicted allocation factors, output exergies and impact allocation is unclear. Because the factors of Equation (3) already sum to unity, the physical meaning of the constraint in Equation (8) must be demonstrated.</w:t>
      </w:r>
    </w:p>
    <w:p w14:paraId="054BC0C9" w14:textId="77777777" w:rsidR="00507E7F" w:rsidRPr="00A96EC8" w:rsidRDefault="00000000" w:rsidP="00A96EC8">
      <w:r w:rsidRPr="00A96EC8">
        <w:rPr>
          <w:b/>
          <w:bCs/>
        </w:rPr>
        <w:t>Response.</w:t>
      </w:r>
      <w:r w:rsidRPr="00A96EC8">
        <w:t xml:space="preserve"> The reviewer is correct that the former constraint was an identity with no physical content, and it has been removed. The surrogates now predict the absolute exergy flows </w:t>
      </w:r>
      <m:oMath>
        <m:sSub>
          <m:sSubPr>
            <m:ctrlPr>
              <w:rPr>
                <w:rFonts w:ascii="Cambria Math" w:hAnsi="Cambria Math"/>
              </w:rPr>
            </m:ctrlPr>
          </m:sSubPr>
          <m:e>
            <m:r>
              <w:rPr>
                <w:rFonts w:ascii="Cambria Math" w:hAnsi="Cambria Math"/>
              </w:rPr>
              <m:t>B</m:t>
            </m:r>
          </m:e>
          <m:sub>
            <m:r>
              <w:rPr>
                <w:rFonts w:ascii="Cambria Math" w:hAnsi="Cambria Math"/>
              </w:rPr>
              <m:t>P</m:t>
            </m:r>
            <m:r>
              <m:rPr>
                <m:sty m:val="p"/>
              </m:rPr>
              <w:rPr>
                <w:rFonts w:ascii="Cambria Math" w:hAnsi="Cambria Math"/>
              </w:rPr>
              <m:t>,</m:t>
            </m:r>
            <m:r>
              <w:rPr>
                <w:rFonts w:ascii="Cambria Math" w:hAnsi="Cambria Math"/>
              </w:rPr>
              <m:t>j</m:t>
            </m:r>
          </m:sub>
        </m:sSub>
      </m:oMath>
      <w:r w:rsidRPr="00A96EC8">
        <w:t xml:space="preserve">, </w:t>
      </w:r>
      <m:oMath>
        <m:sSub>
          <m:sSubPr>
            <m:ctrlPr>
              <w:rPr>
                <w:rFonts w:ascii="Cambria Math" w:hAnsi="Cambria Math"/>
              </w:rPr>
            </m:ctrlPr>
          </m:sSubPr>
          <m:e>
            <m:r>
              <w:rPr>
                <w:rFonts w:ascii="Cambria Math" w:hAnsi="Cambria Math"/>
              </w:rPr>
              <m:t>B</m:t>
            </m:r>
          </m:e>
          <m:sub>
            <m:r>
              <w:rPr>
                <w:rFonts w:ascii="Cambria Math" w:hAnsi="Cambria Math"/>
              </w:rPr>
              <m:t>L</m:t>
            </m:r>
          </m:sub>
        </m:sSub>
      </m:oMath>
      <w:r w:rsidRPr="00A96EC8">
        <w:t xml:space="preserve"> and </w:t>
      </w:r>
      <m:oMath>
        <m:sSub>
          <m:sSubPr>
            <m:ctrlPr>
              <w:rPr>
                <w:rFonts w:ascii="Cambria Math" w:hAnsi="Cambria Math"/>
              </w:rPr>
            </m:ctrlPr>
          </m:sSubPr>
          <m:e>
            <m:r>
              <w:rPr>
                <w:rFonts w:ascii="Cambria Math" w:hAnsi="Cambria Math"/>
              </w:rPr>
              <m:t>S</m:t>
            </m:r>
          </m:e>
          <m:sub>
            <m:r>
              <w:rPr>
                <w:rFonts w:ascii="Cambria Math" w:hAnsi="Cambria Math"/>
              </w:rPr>
              <m:t>gen</m:t>
            </m:r>
          </m:sub>
        </m:sSub>
      </m:oMath>
      <w:r w:rsidRPr="00A96EC8">
        <w:t xml:space="preserve">; allocation factors and allocated impacts follow from Eq. (3). The manuscript states explicitly that summation to unity is algebraic, and that thermodynamics enters only through the balance acting on the absolute flows. </w:t>
      </w:r>
      <w:r w:rsidRPr="00A96EC8">
        <w:rPr>
          <w:b/>
          <w:bCs/>
        </w:rPr>
        <w:t>Location:</w:t>
      </w:r>
      <w:r w:rsidRPr="00A96EC8">
        <w:t xml:space="preserve"> Sections 2.1 and 2.2, pp. 7–8.</w:t>
      </w:r>
    </w:p>
    <w:p w14:paraId="462F86BC" w14:textId="77777777" w:rsidR="00507E7F" w:rsidRPr="00A96EC8" w:rsidRDefault="00000000" w:rsidP="00A96EC8">
      <w:r w:rsidRPr="00A96EC8">
        <w:rPr>
          <w:b/>
          <w:bCs/>
        </w:rPr>
        <w:t>Comment 2.3.</w:t>
      </w:r>
      <w:r w:rsidRPr="00A96EC8">
        <w:t xml:space="preserve"> </w:t>
      </w:r>
      <w:r w:rsidRPr="00A96EC8">
        <w:rPr>
          <w:i/>
          <w:iCs/>
        </w:rPr>
        <w:t>The waste-to-energy case study is insufficiently documented.</w:t>
      </w:r>
    </w:p>
    <w:p w14:paraId="2850A39C" w14:textId="77777777" w:rsidR="00507E7F" w:rsidRPr="00A96EC8" w:rsidRDefault="00000000" w:rsidP="00A96EC8">
      <w:r w:rsidRPr="00A96EC8">
        <w:rPr>
          <w:b/>
          <w:bCs/>
        </w:rPr>
        <w:t>Response.</w:t>
      </w:r>
      <w:r w:rsidRPr="00A96EC8">
        <w:t xml:space="preserve"> Section 3 now specifies the plant configuration, system boundary, reference environment, chemical-exergy treatment of the waste, exergy of heat, treatment of bottom ash, entropy generation and the distribution of every uncertain input. </w:t>
      </w:r>
      <w:r w:rsidRPr="00A96EC8">
        <w:rPr>
          <w:rStyle w:val="Rev"/>
          <w:highlight w:val="yellow"/>
        </w:rPr>
        <w:t>The complete reference implementation is released as code, and the exergy balance of Eq. (2) closes to within 3 × 10⁻¹⁶ of the input exergy at every sampled point, as stated in Section 3.1.</w:t>
      </w:r>
      <w:r w:rsidRPr="00A96EC8">
        <w:t xml:space="preserve"> Supplementary Tables S1–S6 give the nominal mass and energy balance, the reference environment and chemical-exergy data, the input distributions and correlation matrix, the nominal allocation calculation, the surrogate settings and the repeated-run statistics. </w:t>
      </w:r>
      <w:r w:rsidRPr="00A96EC8">
        <w:rPr>
          <w:b/>
          <w:bCs/>
        </w:rPr>
        <w:t>Location:</w:t>
      </w:r>
      <w:r w:rsidRPr="00A96EC8">
        <w:t xml:space="preserve"> Sections 3.1–3.2 and Supplementary Material.</w:t>
      </w:r>
    </w:p>
    <w:p w14:paraId="38A172EF" w14:textId="77777777" w:rsidR="00507E7F" w:rsidRPr="00A96EC8" w:rsidRDefault="00000000" w:rsidP="00A96EC8">
      <w:r w:rsidRPr="00A96EC8">
        <w:rPr>
          <w:b/>
          <w:bCs/>
        </w:rPr>
        <w:lastRenderedPageBreak/>
        <w:t>Comment 2.4.</w:t>
      </w:r>
      <w:r w:rsidRPr="00A96EC8">
        <w:t xml:space="preserve"> </w:t>
      </w:r>
      <w:r w:rsidRPr="00A96EC8">
        <w:rPr>
          <w:i/>
          <w:iCs/>
        </w:rPr>
        <w:t>Several numerical statements are inconsistent (1,200 versus 6,000 samples; 420 ms versus 14.2 h; varying validator rates).</w:t>
      </w:r>
    </w:p>
    <w:p w14:paraId="24C31DCE" w14:textId="77777777" w:rsidR="00507E7F" w:rsidRPr="00A96EC8" w:rsidRDefault="00000000" w:rsidP="00A96EC8">
      <w:r w:rsidRPr="00A96EC8">
        <w:rPr>
          <w:b/>
          <w:bCs/>
        </w:rPr>
        <w:t>Response.</w:t>
      </w:r>
      <w:r w:rsidRPr="00A96EC8">
        <w:t xml:space="preserve"> All affected numbers come from the new runs and are internally consistent. (a) Sample sizes are stated explicitly: 240 training points, 240 held-out test points, 200 collocation points and a 10,000-sample Monte Carlo analysis, with surrogate predictions made on the same 10,000 inputs. (b) </w:t>
      </w:r>
      <w:r w:rsidRPr="00A96EC8">
        <w:rPr>
          <w:rStyle w:val="Rev"/>
          <w:highlight w:val="yellow"/>
        </w:rPr>
        <w:t>Timings are measured and decomposed: the reference model takes 0.0108 ms per sample, so the 10,000-sample analysis takes 0.126 s; GP prediction takes 0.296 ms per sample and network prediction 0.0016 ms. Because this reference model is inexpensive, the surrogates give no wall-clock gain here, and Section 4.4 reports the reduction in reference-model calls together with a projection of the speed-up against reference-model cost, instead of a single speed-up figure.</w:t>
      </w:r>
      <w:r w:rsidRPr="00A96EC8">
        <w:t xml:space="preserve"> (c) A single acceptance test is defined (Section 2.4) and every rejected prediction is re-evaluated, so the rejection rate and the fallback rate are one quantity, reported once at </w:t>
      </w:r>
      <m:oMath>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rsidRPr="00A96EC8">
        <w:t xml:space="preserve">. </w:t>
      </w:r>
      <w:r w:rsidRPr="00A96EC8">
        <w:rPr>
          <w:b/>
          <w:bCs/>
        </w:rPr>
        <w:t>Location:</w:t>
      </w:r>
      <w:r w:rsidRPr="00A96EC8">
        <w:t xml:space="preserve"> Sections 3.3, 4.1, 4.3 and 4.4.</w:t>
      </w:r>
    </w:p>
    <w:p w14:paraId="6C5B3FA6" w14:textId="77777777" w:rsidR="00507E7F" w:rsidRPr="00A96EC8" w:rsidRDefault="00000000" w:rsidP="00A96EC8">
      <w:r w:rsidRPr="00A96EC8">
        <w:rPr>
          <w:b/>
          <w:bCs/>
        </w:rPr>
        <w:t>Comment 2.5.</w:t>
      </w:r>
      <w:r w:rsidRPr="00A96EC8">
        <w:t xml:space="preserve"> </w:t>
      </w:r>
      <w:r w:rsidRPr="00A96EC8">
        <w:rPr>
          <w:i/>
          <w:iCs/>
        </w:rPr>
        <w:t>The NN output is claimed to satisfy the balance exactly by construction, yet non-zero violations and corrections are reported.</w:t>
      </w:r>
    </w:p>
    <w:p w14:paraId="03A5BF04" w14:textId="77777777" w:rsidR="00507E7F" w:rsidRPr="00A96EC8" w:rsidRDefault="00000000" w:rsidP="00A96EC8">
      <w:r w:rsidRPr="00A96EC8">
        <w:rPr>
          <w:b/>
          <w:bCs/>
        </w:rPr>
        <w:t>Response.</w:t>
      </w:r>
      <w:r w:rsidRPr="00A96EC8">
        <w:t xml:space="preserve"> The original statement was contradictory, and the original output layer also forced output exergy to equal input exergy, which is incorrect. In the revised network (Eq. 5) a softmax layer scaled by the input exergy distributes it among co-products, losses and destruction, so the accounting closes and all terms are non-negative by construction, while a separate output predicts </w:t>
      </w:r>
      <m:oMath>
        <m:sSub>
          <m:sSubPr>
            <m:ctrlPr>
              <w:rPr>
                <w:rFonts w:ascii="Cambria Math" w:hAnsi="Cambria Math"/>
              </w:rPr>
            </m:ctrlPr>
          </m:sSubPr>
          <m:e>
            <m:r>
              <w:rPr>
                <w:rFonts w:ascii="Cambria Math" w:hAnsi="Cambria Math"/>
              </w:rPr>
              <m:t>S</m:t>
            </m:r>
          </m:e>
          <m:sub>
            <m:r>
              <w:rPr>
                <w:rFonts w:ascii="Cambria Math" w:hAnsi="Cambria Math"/>
              </w:rPr>
              <m:t>gen</m:t>
            </m:r>
          </m:sub>
        </m:sSub>
      </m:oMath>
      <w:r w:rsidRPr="00A96EC8">
        <w:t xml:space="preserve">; the residual of Eq. (6) measures the discrepancy between them and is generally non-zero. </w:t>
      </w:r>
      <w:r w:rsidRPr="00A96EC8">
        <w:rPr>
          <w:rStyle w:val="Rev"/>
          <w:highlight w:val="yellow"/>
        </w:rPr>
        <w:t>The revision also reports a finding that follows from this architecture: because destruction is about 72% of the input exergy, forcing all channels through one softmax makes the small co-product exergies sensitive to error in the dominant destruction channel, and this variant is about four times less accurate than a network with unconstrained outputs (Section 4.1). A penalty formulation without hard closure achieves the accuracy of the unconstrained network with fewer validator rejections, and is the variant we recommend.</w:t>
      </w:r>
      <w:r w:rsidRPr="00A96EC8">
        <w:t xml:space="preserve"> </w:t>
      </w:r>
      <w:r w:rsidRPr="00A96EC8">
        <w:rPr>
          <w:b/>
          <w:bCs/>
        </w:rPr>
        <w:t>Location:</w:t>
      </w:r>
      <w:r w:rsidRPr="00A96EC8">
        <w:t xml:space="preserve"> Sections 2.2 and 4.1.</w:t>
      </w:r>
    </w:p>
    <w:p w14:paraId="089DABBD" w14:textId="77777777" w:rsidR="00507E7F" w:rsidRPr="00A96EC8" w:rsidRDefault="00000000" w:rsidP="00A96EC8">
      <w:r w:rsidRPr="00A96EC8">
        <w:rPr>
          <w:b/>
          <w:bCs/>
        </w:rPr>
        <w:t>Comment 2.6.</w:t>
      </w:r>
      <w:r w:rsidRPr="00A96EC8">
        <w:t xml:space="preserve"> </w:t>
      </w:r>
      <w:r w:rsidRPr="00A96EC8">
        <w:rPr>
          <w:i/>
          <w:iCs/>
        </w:rPr>
        <w:t>Comparisons should include unconstrained GP/NN baselines using identical training sets, repeated runs, uncertainty intervals and formal distribution-comparison tests.</w:t>
      </w:r>
    </w:p>
    <w:p w14:paraId="23D21661" w14:textId="77777777" w:rsidR="00507E7F" w:rsidRPr="00A96EC8" w:rsidRDefault="00000000" w:rsidP="00A96EC8">
      <w:r w:rsidRPr="00A96EC8">
        <w:rPr>
          <w:b/>
          <w:bCs/>
        </w:rPr>
        <w:t>Response.</w:t>
      </w:r>
      <w:r w:rsidRPr="00A96EC8">
        <w:t xml:space="preserve"> Section 2.6 defines the protocol and Section 4.1 reports the results. </w:t>
      </w:r>
      <w:r w:rsidRPr="00A96EC8">
        <w:rPr>
          <w:rStyle w:val="Rev"/>
          <w:highlight w:val="yellow"/>
        </w:rPr>
        <w:t>Five variants are compared on identical training, collocation and test sets: physics-informed and unconstrained GP, and three networks (hard closure, penalty, unconstrained). The procedure was repeated eight times with different seeds and accuracy is reported as means with 95% confidence intervals. Marginal distributions of the allocation factors are compared with the two-sample Kolmogorov–Smirnov test, and correlations with bootstrap 95% confidence intervals. The phrase “within statistical noise” has been deleted: the GP distributions are statistically indistinguishable from the Monte Carlo reference (p ≥ 0.96 in every repetition), whereas the network distributions are distinguishable for at least one co-product in most repetitions.</w:t>
      </w:r>
      <w:r w:rsidRPr="00A96EC8">
        <w:t xml:space="preserve"> </w:t>
      </w:r>
      <w:r w:rsidRPr="00A96EC8">
        <w:rPr>
          <w:b/>
          <w:bCs/>
        </w:rPr>
        <w:t>Location:</w:t>
      </w:r>
      <w:r w:rsidRPr="00A96EC8">
        <w:t xml:space="preserve"> Sections 2.6 and 4.1; Figures 3 and 4; Supplementary Table S6.</w:t>
      </w:r>
    </w:p>
    <w:p w14:paraId="4DB13ADD" w14:textId="77777777" w:rsidR="00507E7F" w:rsidRPr="00A96EC8" w:rsidRDefault="00000000" w:rsidP="00A96EC8">
      <w:r w:rsidRPr="00A96EC8">
        <w:rPr>
          <w:b/>
          <w:bCs/>
        </w:rPr>
        <w:t>Comment 2.7.</w:t>
      </w:r>
      <w:r w:rsidRPr="00A96EC8">
        <w:t xml:space="preserve"> </w:t>
      </w:r>
      <w:r w:rsidRPr="00A96EC8">
        <w:rPr>
          <w:i/>
          <w:iCs/>
        </w:rPr>
        <w:t>Data and code should be made available. The manuscript requires substantial language and notation editing.</w:t>
      </w:r>
    </w:p>
    <w:p w14:paraId="232C0FE5" w14:textId="77777777" w:rsidR="00507E7F" w:rsidRPr="00A96EC8" w:rsidRDefault="00000000" w:rsidP="00A96EC8">
      <w:r w:rsidRPr="00A96EC8">
        <w:rPr>
          <w:b/>
          <w:bCs/>
        </w:rPr>
        <w:t>Response.</w:t>
      </w:r>
      <w:r w:rsidRPr="00A96EC8">
        <w:t xml:space="preserve"> The reference model, the surrogates and the scripts that produce every figure and number are released (Data availability). Notation is harmonised: </w:t>
      </w:r>
      <m:oMath>
        <m:r>
          <w:rPr>
            <w:rFonts w:ascii="Cambria Math" w:hAnsi="Cambria Math"/>
          </w:rPr>
          <m:t>B</m:t>
        </m:r>
      </m:oMath>
      <w:r w:rsidRPr="00A96EC8">
        <w:t xml:space="preserve"> denotes an exergy rate and </w:t>
      </w:r>
      <m:oMath>
        <m:r>
          <w:rPr>
            <w:rFonts w:ascii="Cambria Math" w:hAnsi="Cambria Math"/>
          </w:rPr>
          <m:t>e</m:t>
        </m:r>
      </m:oMath>
      <w:r w:rsidRPr="00A96EC8">
        <w:t xml:space="preserve"> a specific exergy; </w:t>
      </w:r>
      <m:oMath>
        <m:sSub>
          <m:sSubPr>
            <m:ctrlPr>
              <w:rPr>
                <w:rFonts w:ascii="Cambria Math" w:hAnsi="Cambria Math"/>
              </w:rPr>
            </m:ctrlPr>
          </m:sSubPr>
          <m:e>
            <m:r>
              <w:rPr>
                <w:rFonts w:ascii="Cambria Math" w:hAnsi="Cambria Math"/>
              </w:rPr>
              <m:t>λ</m:t>
            </m:r>
          </m:e>
          <m:sub>
            <m:r>
              <w:rPr>
                <w:rFonts w:ascii="Cambria Math" w:hAnsi="Cambria Math"/>
              </w:rPr>
              <m:t>j</m:t>
            </m:r>
          </m:sub>
        </m:sSub>
      </m:oMath>
      <w:r w:rsidRPr="00A96EC8">
        <w:t xml:space="preserve"> denotes only allocation factors, with Lagrange multipliers written </w:t>
      </w:r>
      <m:oMath>
        <m:r>
          <w:rPr>
            <w:rFonts w:ascii="Cambria Math" w:hAnsi="Cambria Math"/>
          </w:rPr>
          <m:t>η</m:t>
        </m:r>
      </m:oMath>
      <w:r w:rsidRPr="00A96EC8">
        <w:t xml:space="preserve">; </w:t>
      </w:r>
      <m:oMath>
        <m:r>
          <w:rPr>
            <w:rFonts w:ascii="Cambria Math" w:hAnsi="Cambria Math"/>
          </w:rPr>
          <m:t>θ</m:t>
        </m:r>
      </m:oMath>
      <w:r w:rsidRPr="00A96EC8">
        <w:t xml:space="preserve"> denotes only model parameters; and the symbol </w:t>
      </w:r>
      <m:oMath>
        <m:r>
          <w:rPr>
            <w:rFonts w:ascii="Cambria Math" w:hAnsi="Cambria Math"/>
          </w:rPr>
          <m:t>α</m:t>
        </m:r>
      </m:oMath>
      <w:r w:rsidRPr="00A96EC8">
        <w:t xml:space="preserve">, previously used for both allocation factors and the correction factor, no longer appears. </w:t>
      </w:r>
      <w:r w:rsidRPr="00A96EC8">
        <w:rPr>
          <w:b/>
          <w:bCs/>
        </w:rPr>
        <w:t>Location:</w:t>
      </w:r>
      <w:r w:rsidRPr="00A96EC8">
        <w:t xml:space="preserve"> Data availability, p. 17.</w:t>
      </w:r>
    </w:p>
    <w:p w14:paraId="6C6A9556" w14:textId="77777777" w:rsidR="00507E7F" w:rsidRPr="00A96EC8" w:rsidRDefault="00000000" w:rsidP="00A96EC8">
      <w:r w:rsidRPr="00A96EC8">
        <w:rPr>
          <w:b/>
          <w:bCs/>
        </w:rPr>
        <w:lastRenderedPageBreak/>
        <w:t>Suggestions (not essential).</w:t>
      </w:r>
      <w:r w:rsidRPr="00A96EC8">
        <w:t xml:space="preserve"> Language editing and notation: done. Figure captions: shortened to panel identification. Figure quality: all seven figures were regenerated at 600 dpi from the released scripts. Literature review: streamlined into the Introduction with the contribution stated explicitly. Nomenclature table: not added, as Reviewer 1 required its omission.</w:t>
      </w:r>
    </w:p>
    <w:p w14:paraId="4FEFF994" w14:textId="77777777" w:rsidR="00507E7F" w:rsidRPr="00A96EC8" w:rsidRDefault="00000000" w:rsidP="00A96EC8">
      <w:r w:rsidRPr="00A96EC8">
        <w:t>We hope the revised manuscript is now suitable for publication.</w:t>
      </w:r>
    </w:p>
    <w:p w14:paraId="44468DFD" w14:textId="77777777" w:rsidR="00507E7F" w:rsidRPr="00A96EC8" w:rsidRDefault="00000000" w:rsidP="00A96EC8">
      <w:r w:rsidRPr="00A96EC8">
        <w:t>Yours sincerely,</w:t>
      </w:r>
    </w:p>
    <w:p w14:paraId="61C1F9FA" w14:textId="77777777" w:rsidR="00507E7F" w:rsidRPr="00A96EC8" w:rsidRDefault="00000000" w:rsidP="00A96EC8">
      <w:r w:rsidRPr="00A96EC8">
        <w:t>Neeraj Kant (on behalf of all authors)</w:t>
      </w:r>
    </w:p>
    <w:p w14:paraId="699FC834" w14:textId="77777777" w:rsidR="00507E7F" w:rsidRPr="00A96EC8" w:rsidRDefault="00000000" w:rsidP="00A96EC8">
      <w:r w:rsidRPr="00A96EC8">
        <w:br w:type="page"/>
      </w:r>
    </w:p>
    <w:p w14:paraId="31D071AC" w14:textId="77777777" w:rsidR="00507E7F" w:rsidRPr="001A6F74" w:rsidRDefault="00000000" w:rsidP="001A6F74">
      <w:pPr>
        <w:jc w:val="center"/>
        <w:rPr>
          <w:sz w:val="28"/>
          <w:szCs w:val="28"/>
        </w:rPr>
      </w:pPr>
      <w:r w:rsidRPr="001A6F74">
        <w:rPr>
          <w:b/>
          <w:bCs/>
          <w:sz w:val="28"/>
          <w:szCs w:val="28"/>
        </w:rPr>
        <w:lastRenderedPageBreak/>
        <w:t>Physics-informed surrogates for exergy-based allocation in hybrid exergy–LCA frameworks: a reproducible waste-to-energy benchmark</w:t>
      </w:r>
    </w:p>
    <w:p w14:paraId="24A593DA" w14:textId="317F38D2" w:rsidR="00507E7F" w:rsidRPr="001A6F74" w:rsidRDefault="00000000" w:rsidP="001A6F74">
      <w:pPr>
        <w:jc w:val="center"/>
        <w:rPr>
          <w:sz w:val="20"/>
          <w:szCs w:val="20"/>
        </w:rPr>
      </w:pPr>
      <w:r w:rsidRPr="001A6F74">
        <w:rPr>
          <w:b/>
          <w:bCs/>
          <w:sz w:val="20"/>
          <w:szCs w:val="20"/>
        </w:rPr>
        <w:t>Neeraj Kant</w:t>
      </w:r>
      <w:r w:rsidR="001A6F74">
        <w:rPr>
          <w:b/>
          <w:bCs/>
          <w:sz w:val="20"/>
          <w:szCs w:val="20"/>
        </w:rPr>
        <w:t xml:space="preserve"> </w:t>
      </w:r>
      <w:r w:rsidRPr="001A6F74">
        <w:rPr>
          <w:b/>
          <w:bCs/>
          <w:sz w:val="20"/>
          <w:szCs w:val="20"/>
          <w:vertAlign w:val="superscript"/>
        </w:rPr>
        <w:t>a,*</w:t>
      </w:r>
      <w:r w:rsidRPr="001A6F74">
        <w:rPr>
          <w:b/>
          <w:bCs/>
          <w:sz w:val="20"/>
          <w:szCs w:val="20"/>
        </w:rPr>
        <w:t>, Rashin Khera</w:t>
      </w:r>
      <w:r w:rsidRPr="001A6F74">
        <w:rPr>
          <w:b/>
          <w:bCs/>
          <w:sz w:val="20"/>
          <w:szCs w:val="20"/>
          <w:vertAlign w:val="superscript"/>
        </w:rPr>
        <w:t>a</w:t>
      </w:r>
      <w:r w:rsidRPr="001A6F74">
        <w:rPr>
          <w:b/>
          <w:bCs/>
          <w:sz w:val="20"/>
          <w:szCs w:val="20"/>
        </w:rPr>
        <w:t>, Phool Singh</w:t>
      </w:r>
      <w:r w:rsidRPr="001A6F74">
        <w:rPr>
          <w:b/>
          <w:bCs/>
          <w:sz w:val="20"/>
          <w:szCs w:val="20"/>
          <w:vertAlign w:val="superscript"/>
        </w:rPr>
        <w:t>a</w:t>
      </w:r>
      <w:r w:rsidRPr="001A6F74">
        <w:rPr>
          <w:b/>
          <w:bCs/>
          <w:sz w:val="20"/>
          <w:szCs w:val="20"/>
        </w:rPr>
        <w:t>, Ravi Prakash</w:t>
      </w:r>
      <w:r w:rsidRPr="001A6F74">
        <w:rPr>
          <w:b/>
          <w:bCs/>
          <w:sz w:val="20"/>
          <w:szCs w:val="20"/>
          <w:vertAlign w:val="superscript"/>
        </w:rPr>
        <w:t>a</w:t>
      </w:r>
      <w:r w:rsidRPr="001A6F74">
        <w:rPr>
          <w:b/>
          <w:bCs/>
          <w:sz w:val="20"/>
          <w:szCs w:val="20"/>
        </w:rPr>
        <w:t>, M. S. Ranganath</w:t>
      </w:r>
      <w:r w:rsidRPr="001A6F74">
        <w:rPr>
          <w:b/>
          <w:bCs/>
          <w:sz w:val="20"/>
          <w:szCs w:val="20"/>
          <w:vertAlign w:val="superscript"/>
        </w:rPr>
        <w:t>a</w:t>
      </w:r>
      <w:r w:rsidRPr="001A6F74">
        <w:rPr>
          <w:b/>
          <w:bCs/>
          <w:sz w:val="20"/>
          <w:szCs w:val="20"/>
        </w:rPr>
        <w:t>, Pushpendra Singh</w:t>
      </w:r>
      <w:r w:rsidRPr="001A6F74">
        <w:rPr>
          <w:b/>
          <w:bCs/>
          <w:sz w:val="20"/>
          <w:szCs w:val="20"/>
          <w:vertAlign w:val="superscript"/>
        </w:rPr>
        <w:t>a</w:t>
      </w:r>
      <w:r w:rsidRPr="001A6F74">
        <w:rPr>
          <w:b/>
          <w:bCs/>
          <w:sz w:val="20"/>
          <w:szCs w:val="20"/>
        </w:rPr>
        <w:t>, Akhilesh Arora</w:t>
      </w:r>
      <w:r w:rsidRPr="001A6F74">
        <w:rPr>
          <w:b/>
          <w:bCs/>
          <w:sz w:val="20"/>
          <w:szCs w:val="20"/>
          <w:vertAlign w:val="superscript"/>
        </w:rPr>
        <w:t>a</w:t>
      </w:r>
    </w:p>
    <w:p w14:paraId="7F25C6CB" w14:textId="77777777" w:rsidR="00507E7F" w:rsidRPr="001A6F74" w:rsidRDefault="00000000" w:rsidP="001A6F74">
      <w:pPr>
        <w:jc w:val="center"/>
        <w:rPr>
          <w:sz w:val="20"/>
          <w:szCs w:val="20"/>
        </w:rPr>
      </w:pPr>
      <w:r w:rsidRPr="001A6F74">
        <w:rPr>
          <w:sz w:val="20"/>
          <w:szCs w:val="20"/>
          <w:vertAlign w:val="superscript"/>
        </w:rPr>
        <w:t>a</w:t>
      </w:r>
      <w:r w:rsidRPr="001A6F74">
        <w:rPr>
          <w:sz w:val="20"/>
          <w:szCs w:val="20"/>
        </w:rPr>
        <w:t xml:space="preserve"> Delhi Technological University, Bawana Road, Delhi 110042, India</w:t>
      </w:r>
    </w:p>
    <w:p w14:paraId="67484737" w14:textId="77777777" w:rsidR="00507E7F" w:rsidRPr="001A6F74" w:rsidRDefault="00000000" w:rsidP="001A6F74">
      <w:pPr>
        <w:jc w:val="center"/>
        <w:rPr>
          <w:sz w:val="20"/>
          <w:szCs w:val="20"/>
        </w:rPr>
      </w:pPr>
      <w:r w:rsidRPr="001A6F74">
        <w:rPr>
          <w:sz w:val="20"/>
          <w:szCs w:val="20"/>
        </w:rPr>
        <w:t>* Corresponding author. E-mail: neerajkant_phd2k19@dtu.ac.in</w:t>
      </w:r>
    </w:p>
    <w:p w14:paraId="5AE0F15B" w14:textId="77777777" w:rsidR="00507E7F" w:rsidRPr="00A96EC8" w:rsidRDefault="00000000" w:rsidP="00A96EC8">
      <w:pPr>
        <w:pStyle w:val="Heading1"/>
        <w:rPr>
          <w:sz w:val="24"/>
          <w:szCs w:val="24"/>
        </w:rPr>
      </w:pPr>
      <w:bookmarkStart w:id="2" w:name="abstract"/>
      <w:bookmarkEnd w:id="1"/>
      <w:r w:rsidRPr="00A96EC8">
        <w:rPr>
          <w:sz w:val="24"/>
          <w:szCs w:val="24"/>
        </w:rPr>
        <w:t>Abstract</w:t>
      </w:r>
    </w:p>
    <w:p w14:paraId="02980AE0" w14:textId="77777777" w:rsidR="00507E7F" w:rsidRPr="00A96EC8" w:rsidRDefault="00000000" w:rsidP="00A96EC8">
      <w:r w:rsidRPr="00A96EC8">
        <w:rPr>
          <w:rStyle w:val="Rev"/>
          <w:highlight w:val="yellow"/>
        </w:rPr>
        <w:t>Monte Carlo uncertainty propagation in exergy-based life cycle assessment is costly because every sample requires a complete exergy calculation. This paper presents an openly released waste-to-energy benchmark, surrogates constrained by the exergy balance including destruction, and a validator that re-evaluates infeasible predictions. A Gaussian process reproduced the allocation distributions of a 10,000-sample analysis (Kolmogorov–Smirnov p ≥ 0.96) from 440 reference evaluations. Enforcing closure in the network output layer degraded accuracy fourfold, whereas a penalty formulation cut validator rejections from 51.6% to 37.2% at equal accuracy.</w:t>
      </w:r>
    </w:p>
    <w:p w14:paraId="1DE5EC8C" w14:textId="77777777" w:rsidR="00507E7F" w:rsidRPr="00A96EC8" w:rsidRDefault="00000000" w:rsidP="00A96EC8">
      <w:r w:rsidRPr="00A96EC8">
        <w:rPr>
          <w:b/>
          <w:bCs/>
        </w:rPr>
        <w:t>Keywords:</w:t>
      </w:r>
      <w:r w:rsidRPr="00A96EC8">
        <w:t xml:space="preserve"> exergetic life cycle assessment; exergy-based allocation; surrogate modelling; physics-informed machine learning; Gaussian process regression; uncertainty propagation; waste-to-energy.</w:t>
      </w:r>
    </w:p>
    <w:p w14:paraId="18B0810B" w14:textId="77777777" w:rsidR="00507E7F" w:rsidRPr="00A96EC8" w:rsidRDefault="00000000" w:rsidP="00A96EC8">
      <w:pPr>
        <w:pStyle w:val="Heading1"/>
        <w:rPr>
          <w:sz w:val="24"/>
          <w:szCs w:val="24"/>
        </w:rPr>
      </w:pPr>
      <w:bookmarkStart w:id="3" w:name="introduction"/>
      <w:bookmarkEnd w:id="2"/>
      <w:r w:rsidRPr="00A96EC8">
        <w:rPr>
          <w:sz w:val="24"/>
          <w:szCs w:val="24"/>
        </w:rPr>
        <w:t>1 Introduction</w:t>
      </w:r>
    </w:p>
    <w:p w14:paraId="465346BB" w14:textId="77777777" w:rsidR="00507E7F" w:rsidRPr="00A96EC8" w:rsidRDefault="00000000" w:rsidP="00A96EC8">
      <w:r w:rsidRPr="00A96EC8">
        <w:t>Exergetic life cycle assessment extends LCA by quantifying resource quality and process irreversibility (Cornelissen and Hirs, 2002). In multi-output plants such as waste-to-energy (WtE) facilities, exergy-based allocation distributes environmental burdens among co-products in proportion to their exergy, which reflects thermodynamic value more faithfully than mass or energy allocation (Bhering Trindade et al., 2021). Hybrid frameworks combine this with wider inventory models (Rocco et al., 2017).</w:t>
      </w:r>
    </w:p>
    <w:p w14:paraId="03CD5592" w14:textId="77777777" w:rsidR="00507E7F" w:rsidRPr="00A96EC8" w:rsidRDefault="00000000" w:rsidP="00A96EC8">
      <w:r w:rsidRPr="00A96EC8">
        <w:t xml:space="preserve">Uncertainty in waste composition, operating conditions and thermodynamic data is normally propagated by Monte Carlo simulation (Hung and Ma, 2009). Each sample requires complete mass, energy, entropy and exergy balances before allocation, so analyses with </w:t>
      </w:r>
      <m:oMath>
        <m:sSup>
          <m:sSupPr>
            <m:ctrlPr>
              <w:rPr>
                <w:rFonts w:ascii="Cambria Math" w:hAnsi="Cambria Math"/>
              </w:rPr>
            </m:ctrlPr>
          </m:sSupPr>
          <m:e>
            <m:r>
              <w:rPr>
                <w:rFonts w:ascii="Cambria Math" w:hAnsi="Cambria Math"/>
              </w:rPr>
              <m:t>10</m:t>
            </m:r>
          </m:e>
          <m:sup>
            <m:r>
              <w:rPr>
                <w:rFonts w:ascii="Cambria Math" w:hAnsi="Cambria Math"/>
              </w:rPr>
              <m:t>4</m:t>
            </m:r>
          </m:sup>
        </m:sSup>
      </m:oMath>
      <w:r w:rsidRPr="00A96EC8">
        <w:t xml:space="preserve"> samples become expensive when the process model is detailed, and the cost multiplies across scenarios and impact categories. Efficient matrix methods accelerate inventory computation (Peters, 2007) but not the process model itself.</w:t>
      </w:r>
    </w:p>
    <w:p w14:paraId="77586926" w14:textId="77777777" w:rsidR="00507E7F" w:rsidRPr="00A96EC8" w:rsidRDefault="00000000" w:rsidP="00A96EC8">
      <w:r w:rsidRPr="00A96EC8">
        <w:t xml:space="preserve">Machine-learning surrogates offer an alternative. Gaussian-process (GP) regression has been applied to inventory and uncertainty analysis in LCA (Dai et al., 2022), and neural surrogates have been used for similar acceleration tasks. Purely data-driven surrogates may return physically impossible predictions, which physics-informed learning addresses by embedding governing equations in training (Raissi et al., 2019). </w:t>
      </w:r>
      <w:r w:rsidRPr="00A96EC8">
        <w:rPr>
          <w:rStyle w:val="Rev"/>
          <w:highlight w:val="yellow"/>
        </w:rPr>
        <w:t>Such constraints have not previously been applied to exergy-based allocation, where the governing relation is a balance containing exergy destruction rather than a conservation law.</w:t>
      </w:r>
    </w:p>
    <w:p w14:paraId="15C6CFF7" w14:textId="069F85AB" w:rsidR="00507E7F" w:rsidRPr="00A96EC8" w:rsidRDefault="00000000" w:rsidP="00A96EC8">
      <w:r w:rsidRPr="00A96EC8">
        <w:rPr>
          <w:rStyle w:val="Rev"/>
          <w:highlight w:val="yellow"/>
        </w:rPr>
        <w:t xml:space="preserve">This paper contributes three things. First, GP and neural-network surrogates that predict absolute co-product exergies subject to the exergy balance, with destruction evaluated through entropy generation, trained by an augmented-Lagrangian penalty. Second, a deployment validator that rejects thermodynamically inconsistent or infeasible predictions and replaces them with reference-model evaluations. Third, a fully documented and openly released WtE benchmark, calibrated against published European plant data, on which constrained and </w:t>
      </w:r>
      <w:r w:rsidRPr="00A96EC8">
        <w:rPr>
          <w:rStyle w:val="Rev"/>
          <w:highlight w:val="yellow"/>
        </w:rPr>
        <w:lastRenderedPageBreak/>
        <w:t xml:space="preserve">unconstrained variants are compared using identical data, repeated runs and formal distributional tests. The comparison is reported as obtained, including results that do not favour the constrained variants: it identifies where the constraint helps, where it is immaterial, and </w:t>
      </w:r>
      <w:r w:rsidR="009A629B" w:rsidRPr="00A96EC8">
        <w:rPr>
          <w:rStyle w:val="Rev"/>
          <w:highlight w:val="yellow"/>
        </w:rPr>
        <w:t>were</w:t>
      </w:r>
      <w:r w:rsidRPr="00A96EC8">
        <w:rPr>
          <w:rStyle w:val="Rev"/>
          <w:highlight w:val="yellow"/>
        </w:rPr>
        <w:t xml:space="preserve"> enforcing it exactly is counter-productive. Reporting these boundaries is itself a contribution, because physics-informed surrogate studies rarely test whether the constraint is binding.</w:t>
      </w:r>
    </w:p>
    <w:p w14:paraId="072505A2" w14:textId="77777777" w:rsidR="00507E7F" w:rsidRPr="00A96EC8" w:rsidRDefault="00000000" w:rsidP="00A96EC8">
      <w:pPr>
        <w:pStyle w:val="Heading1"/>
        <w:rPr>
          <w:sz w:val="24"/>
          <w:szCs w:val="24"/>
        </w:rPr>
      </w:pPr>
      <w:bookmarkStart w:id="4" w:name="methodology"/>
      <w:bookmarkEnd w:id="3"/>
      <w:r w:rsidRPr="00A96EC8">
        <w:rPr>
          <w:sz w:val="24"/>
          <w:szCs w:val="24"/>
        </w:rPr>
        <w:t>2 Methodology</w:t>
      </w:r>
    </w:p>
    <w:p w14:paraId="3255D598" w14:textId="77777777" w:rsidR="00507E7F" w:rsidRPr="00A96EC8" w:rsidRDefault="00000000" w:rsidP="00A96EC8">
      <w:r w:rsidRPr="00A96EC8">
        <w:rPr>
          <w:rStyle w:val="Rev"/>
          <w:highlight w:val="yellow"/>
        </w:rPr>
        <w:t>The framework replaces the reference calculation performed for each Monte Carlo sample with a surrogate evaluation, leaving the inventory and impact-assessment steps unchanged. It has four stages: a space-filling set of inputs is evaluated with the reference model, that is, the complete thermodynamic and allocation calculation; GP and network surrogates are trained on these evaluations with a penalty on exergy-balance violations; the surrogates generate the Monte Carlo ensemble of co-product exergies and allocation factors; and a validator tests every prediction, replacing rejected ones with reference-model evaluations that are also added to the training set.</w:t>
      </w:r>
    </w:p>
    <w:p w14:paraId="21EFF579" w14:textId="77777777" w:rsidR="00507E7F" w:rsidRPr="00A96EC8" w:rsidRDefault="00000000" w:rsidP="00A96EC8">
      <w:pPr>
        <w:pStyle w:val="Heading2"/>
      </w:pPr>
      <w:bookmarkStart w:id="5" w:name="X549e509ad8efae944f63c564a9eb7c7ee18c884"/>
      <w:r w:rsidRPr="00A96EC8">
        <w:t>2.1 Exergy balance and exergy-based allocation</w:t>
      </w:r>
    </w:p>
    <w:p w14:paraId="0DA8E0DA" w14:textId="77777777" w:rsidR="00507E7F" w:rsidRPr="00A96EC8" w:rsidRDefault="00000000" w:rsidP="00A96EC8">
      <w:r w:rsidRPr="00A96EC8">
        <w:t xml:space="preserve">The specific molar exergy of a material stream at temperature </w:t>
      </w:r>
      <m:oMath>
        <m:r>
          <w:rPr>
            <w:rFonts w:ascii="Cambria Math" w:hAnsi="Cambria Math"/>
          </w:rPr>
          <m:t>T</m:t>
        </m:r>
      </m:oMath>
      <w:r w:rsidRPr="00A96EC8">
        <w:t xml:space="preserve"> and pressure </w:t>
      </w:r>
      <m:oMath>
        <m:r>
          <w:rPr>
            <w:rFonts w:ascii="Cambria Math" w:hAnsi="Cambria Math"/>
          </w:rPr>
          <m:t>P</m:t>
        </m:r>
      </m:oMath>
      <w:r w:rsidRPr="00A96EC8">
        <w:t xml:space="preserve"> combines physical and chemical components (Szargut et al., 1988):</w:t>
      </w:r>
    </w:p>
    <w:p w14:paraId="22C6C006" w14:textId="77777777" w:rsidR="00507E7F" w:rsidRPr="00A96EC8" w:rsidRDefault="00000000" w:rsidP="00A96EC8">
      <m:oMathPara>
        <m:oMathParaPr>
          <m:jc m:val="center"/>
        </m:oMathParaPr>
        <m:oMath>
          <m:r>
            <w:rPr>
              <w:rFonts w:ascii="Cambria Math" w:hAnsi="Cambria Math"/>
            </w:rPr>
            <m:t>e</m:t>
          </m:r>
          <m:r>
            <m:rPr>
              <m:sty m:val="p"/>
            </m:rPr>
            <w:rPr>
              <w:rFonts w:ascii="Cambria Math" w:hAnsi="Cambria Math"/>
            </w:rPr>
            <m:t>=</m:t>
          </m:r>
          <m:d>
            <m:dPr>
              <m:ctrlPr>
                <w:rPr>
                  <w:rFonts w:ascii="Cambria Math" w:hAnsi="Cambria Math"/>
                </w:rPr>
              </m:ctrlPr>
            </m:dPr>
            <m:e>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d>
            <m:dPr>
              <m:ctrlPr>
                <w:rPr>
                  <w:rFonts w:ascii="Cambria Math" w:hAnsi="Cambria Math"/>
                </w:rPr>
              </m:ctrlPr>
            </m:dPr>
            <m:e>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0</m:t>
                  </m:r>
                </m:sub>
              </m:sSub>
            </m:e>
          </m:d>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ch</m:t>
              </m:r>
            </m:sup>
          </m:sSubSup>
          <m:r>
            <m:rPr>
              <m:sty m:val="p"/>
            </m:rPr>
            <w:rPr>
              <w:rFonts w:ascii="Cambria Math" w:hAnsi="Cambria Math"/>
            </w:rPr>
            <m:t>+</m:t>
          </m:r>
          <m:acc>
            <m:accPr>
              <m:chr m:val="‾"/>
              <m:ctrlPr>
                <w:rPr>
                  <w:rFonts w:ascii="Cambria Math" w:hAnsi="Cambria Math"/>
                </w:rPr>
              </m:ctrlPr>
            </m:accPr>
            <m:e>
              <m:r>
                <w:rPr>
                  <w:rFonts w:ascii="Cambria Math" w:hAnsi="Cambria Math"/>
                </w:rPr>
                <m:t>R</m:t>
              </m:r>
            </m:e>
          </m:acc>
          <m:sSub>
            <m:sSubPr>
              <m:ctrlPr>
                <w:rPr>
                  <w:rFonts w:ascii="Cambria Math" w:hAnsi="Cambria Math"/>
                </w:rPr>
              </m:ctrlPr>
            </m:sSubPr>
            <m:e>
              <m:r>
                <w:rPr>
                  <w:rFonts w:ascii="Cambria Math" w:hAnsi="Cambria Math"/>
                </w:rPr>
                <m:t>T</m:t>
              </m:r>
            </m:e>
            <m:sub>
              <m:r>
                <w:rPr>
                  <w:rFonts w:ascii="Cambria Math" w:hAnsi="Cambria Math"/>
                </w:rPr>
                <m:t>0</m:t>
              </m:r>
            </m:sub>
          </m:sSub>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ln</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  </m:t>
          </m:r>
          <m:d>
            <m:dPr>
              <m:ctrlPr>
                <w:rPr>
                  <w:rFonts w:ascii="Cambria Math" w:hAnsi="Cambria Math"/>
                </w:rPr>
              </m:ctrlPr>
            </m:dPr>
            <m:e>
              <m:r>
                <w:rPr>
                  <w:rFonts w:ascii="Cambria Math" w:hAnsi="Cambria Math"/>
                </w:rPr>
                <m:t>1</m:t>
              </m:r>
            </m:e>
          </m:d>
        </m:oMath>
      </m:oMathPara>
    </w:p>
    <w:p w14:paraId="3DC15BD4" w14:textId="77777777" w:rsidR="00507E7F" w:rsidRPr="00A96EC8" w:rsidRDefault="00000000" w:rsidP="00A96EC8">
      <w:r w:rsidRPr="00A96EC8">
        <w:t xml:space="preserve">where </w:t>
      </w:r>
      <m:oMath>
        <m:r>
          <w:rPr>
            <w:rFonts w:ascii="Cambria Math" w:hAnsi="Cambria Math"/>
          </w:rPr>
          <m:t>h</m:t>
        </m:r>
      </m:oMath>
      <w:r w:rsidRPr="00A96EC8">
        <w:t xml:space="preserve"> and </w:t>
      </w:r>
      <m:oMath>
        <m:r>
          <w:rPr>
            <w:rFonts w:ascii="Cambria Math" w:hAnsi="Cambria Math"/>
          </w:rPr>
          <m:t>s</m:t>
        </m:r>
      </m:oMath>
      <w:r w:rsidRPr="00A96EC8">
        <w:t xml:space="preserve"> are molar enthalpy and entropy, subscript 0 denotes the reference environment at </w:t>
      </w:r>
      <m:oMath>
        <m:sSub>
          <m:sSubPr>
            <m:ctrlPr>
              <w:rPr>
                <w:rFonts w:ascii="Cambria Math" w:hAnsi="Cambria Math"/>
              </w:rPr>
            </m:ctrlPr>
          </m:sSubPr>
          <m:e>
            <m:r>
              <w:rPr>
                <w:rFonts w:ascii="Cambria Math" w:hAnsi="Cambria Math"/>
              </w:rPr>
              <m:t>T</m:t>
            </m:r>
          </m:e>
          <m:sub>
            <m:r>
              <w:rPr>
                <w:rFonts w:ascii="Cambria Math" w:hAnsi="Cambria Math"/>
              </w:rPr>
              <m:t>0</m:t>
            </m:r>
          </m:sub>
        </m:sSub>
      </m:oMath>
      <w:r w:rsidRPr="00A96EC8">
        <w:t xml:space="preserve"> and </w:t>
      </w:r>
      <m:oMath>
        <m:sSub>
          <m:sSubPr>
            <m:ctrlPr>
              <w:rPr>
                <w:rFonts w:ascii="Cambria Math" w:hAnsi="Cambria Math"/>
              </w:rPr>
            </m:ctrlPr>
          </m:sSubPr>
          <m:e>
            <m:r>
              <w:rPr>
                <w:rFonts w:ascii="Cambria Math" w:hAnsi="Cambria Math"/>
              </w:rPr>
              <m:t>P</m:t>
            </m:r>
          </m:e>
          <m:sub>
            <m:r>
              <w:rPr>
                <w:rFonts w:ascii="Cambria Math" w:hAnsi="Cambria Math"/>
              </w:rPr>
              <m:t>0</m:t>
            </m:r>
          </m:sub>
        </m:sSub>
      </m:oMath>
      <w:r w:rsidRPr="00A96EC8">
        <w:t xml:space="preserve">,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Pr="00A96EC8">
        <w:t xml:space="preserve"> is the mole fraction of component </w:t>
      </w:r>
      <m:oMath>
        <m:r>
          <w:rPr>
            <w:rFonts w:ascii="Cambria Math" w:hAnsi="Cambria Math"/>
          </w:rPr>
          <m:t>i</m:t>
        </m:r>
      </m:oMath>
      <w:r w:rsidRPr="00A96EC8">
        <w:t xml:space="preserve">, </w:t>
      </w:r>
      <m:oMath>
        <m:sSubSup>
          <m:sSubSupPr>
            <m:ctrlPr>
              <w:rPr>
                <w:rFonts w:ascii="Cambria Math" w:hAnsi="Cambria Math"/>
              </w:rPr>
            </m:ctrlPr>
          </m:sSubSupPr>
          <m:e>
            <m:r>
              <w:rPr>
                <w:rFonts w:ascii="Cambria Math" w:hAnsi="Cambria Math"/>
              </w:rPr>
              <m:t>e</m:t>
            </m:r>
          </m:e>
          <m:sub>
            <m:r>
              <w:rPr>
                <w:rFonts w:ascii="Cambria Math" w:hAnsi="Cambria Math"/>
              </w:rPr>
              <m:t>i</m:t>
            </m:r>
          </m:sub>
          <m:sup>
            <m:r>
              <w:rPr>
                <w:rFonts w:ascii="Cambria Math" w:hAnsi="Cambria Math"/>
              </w:rPr>
              <m:t>ch</m:t>
            </m:r>
          </m:sup>
        </m:sSubSup>
      </m:oMath>
      <w:r w:rsidRPr="00A96EC8">
        <w:t xml:space="preserve"> its standard chemical exergy, and </w:t>
      </w:r>
      <m:oMath>
        <m:acc>
          <m:accPr>
            <m:chr m:val="‾"/>
            <m:ctrlPr>
              <w:rPr>
                <w:rFonts w:ascii="Cambria Math" w:hAnsi="Cambria Math"/>
              </w:rPr>
            </m:ctrlPr>
          </m:accPr>
          <m:e>
            <m:r>
              <w:rPr>
                <w:rFonts w:ascii="Cambria Math" w:hAnsi="Cambria Math"/>
              </w:rPr>
              <m:t>R</m:t>
            </m:r>
          </m:e>
        </m:acc>
      </m:oMath>
      <w:r w:rsidRPr="00A96EC8">
        <w:t xml:space="preserve"> the universal gas constant. The final term applies to ideal-gas mixtures; the chemical exergy of solid waste is treated as described in Section 3.1.</w:t>
      </w:r>
    </w:p>
    <w:p w14:paraId="3DECAFF4" w14:textId="77777777" w:rsidR="00507E7F" w:rsidRPr="00A96EC8" w:rsidRDefault="00000000" w:rsidP="00A96EC8">
      <w:r w:rsidRPr="00A96EC8">
        <w:rPr>
          <w:rStyle w:val="Rev"/>
          <w:highlight w:val="yellow"/>
        </w:rPr>
        <w:t>Exergy is not conserved. For a steady-state control volume the balance is (Bejan et al., 1996):</w:t>
      </w:r>
    </w:p>
    <w:p w14:paraId="3C26F89C" w14:textId="77777777" w:rsidR="00507E7F" w:rsidRPr="00A96EC8" w:rsidRDefault="00000000" w:rsidP="00A96EC8">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in</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B</m:t>
                  </m:r>
                </m:e>
                <m:sub>
                  <m:r>
                    <w:rPr>
                      <w:rFonts w:ascii="Cambria Math" w:hAnsi="Cambria Math"/>
                    </w:rPr>
                    <m:t>P</m:t>
                  </m:r>
                  <m:r>
                    <m:rPr>
                      <m:sty m:val="p"/>
                    </m:rPr>
                    <w:rPr>
                      <w:rFonts w:ascii="Cambria Math" w:hAnsi="Cambria Math"/>
                    </w:rPr>
                    <m:t>,</m:t>
                  </m:r>
                  <m:r>
                    <w:rPr>
                      <w:rFonts w:ascii="Cambria Math" w:hAnsi="Cambria Math"/>
                    </w:rPr>
                    <m:t>j</m:t>
                  </m:r>
                </m:sub>
              </m:sSub>
            </m:e>
          </m:nary>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sSub>
            <m:sSubPr>
              <m:ctrlPr>
                <w:rPr>
                  <w:rFonts w:ascii="Cambria Math" w:hAnsi="Cambria Math"/>
                </w:rPr>
              </m:ctrlPr>
            </m:sSubPr>
            <m:e>
              <m:r>
                <w:rPr>
                  <w:rFonts w:ascii="Cambria Math" w:hAnsi="Cambria Math"/>
                </w:rPr>
                <m:t>S</m:t>
              </m:r>
            </m:e>
            <m:sub>
              <m:r>
                <w:rPr>
                  <w:rFonts w:ascii="Cambria Math" w:hAnsi="Cambria Math"/>
                </w:rPr>
                <m:t>gen</m:t>
              </m:r>
            </m:sub>
          </m:sSub>
          <m:r>
            <m:rPr>
              <m:sty m:val="p"/>
            </m:rPr>
            <w:rPr>
              <w:rFonts w:ascii="Cambria Math" w:hAnsi="Cambria Math"/>
            </w:rPr>
            <m:t>≥</m:t>
          </m:r>
          <m:r>
            <w:rPr>
              <w:rFonts w:ascii="Cambria Math" w:hAnsi="Cambria Math"/>
            </w:rPr>
            <m:t>0  </m:t>
          </m:r>
          <m:d>
            <m:dPr>
              <m:ctrlPr>
                <w:rPr>
                  <w:rFonts w:ascii="Cambria Math" w:hAnsi="Cambria Math"/>
                </w:rPr>
              </m:ctrlPr>
            </m:dPr>
            <m:e>
              <m:r>
                <w:rPr>
                  <w:rFonts w:ascii="Cambria Math" w:hAnsi="Cambria Math"/>
                </w:rPr>
                <m:t>2</m:t>
              </m:r>
            </m:e>
          </m:d>
        </m:oMath>
      </m:oMathPara>
    </w:p>
    <w:p w14:paraId="3E1C51C3" w14:textId="77777777" w:rsidR="00507E7F" w:rsidRPr="00A96EC8" w:rsidRDefault="00000000" w:rsidP="00A96EC8">
      <w:r w:rsidRPr="00A96EC8">
        <w:rPr>
          <w:rStyle w:val="Rev"/>
          <w:highlight w:val="yellow"/>
        </w:rPr>
        <w:t xml:space="preserve">where </w:t>
      </w:r>
      <m:oMath>
        <m:sSub>
          <m:sSubPr>
            <m:ctrlPr>
              <w:rPr>
                <w:rFonts w:ascii="Cambria Math" w:hAnsi="Cambria Math"/>
              </w:rPr>
            </m:ctrlPr>
          </m:sSubPr>
          <m:e>
            <m:r>
              <w:rPr>
                <w:rFonts w:ascii="Cambria Math" w:hAnsi="Cambria Math"/>
              </w:rPr>
              <m:t>B</m:t>
            </m:r>
          </m:e>
          <m:sub>
            <m:r>
              <w:rPr>
                <w:rFonts w:ascii="Cambria Math" w:hAnsi="Cambria Math"/>
              </w:rPr>
              <m:t>in</m:t>
            </m:r>
          </m:sub>
        </m:sSub>
      </m:oMath>
      <w:r w:rsidRPr="00A96EC8">
        <w:rPr>
          <w:rStyle w:val="Rev"/>
          <w:highlight w:val="yellow"/>
        </w:rPr>
        <w:t xml:space="preserve"> is the total input exergy rate, </w:t>
      </w:r>
      <m:oMath>
        <m:sSub>
          <m:sSubPr>
            <m:ctrlPr>
              <w:rPr>
                <w:rFonts w:ascii="Cambria Math" w:hAnsi="Cambria Math"/>
              </w:rPr>
            </m:ctrlPr>
          </m:sSubPr>
          <m:e>
            <m:r>
              <w:rPr>
                <w:rFonts w:ascii="Cambria Math" w:hAnsi="Cambria Math"/>
              </w:rPr>
              <m:t>B</m:t>
            </m:r>
          </m:e>
          <m:sub>
            <m:r>
              <w:rPr>
                <w:rFonts w:ascii="Cambria Math" w:hAnsi="Cambria Math"/>
              </w:rPr>
              <m:t>P</m:t>
            </m:r>
            <m:r>
              <m:rPr>
                <m:sty m:val="p"/>
              </m:rPr>
              <w:rPr>
                <w:rFonts w:ascii="Cambria Math" w:hAnsi="Cambria Math"/>
              </w:rPr>
              <m:t>,</m:t>
            </m:r>
            <m:r>
              <w:rPr>
                <w:rFonts w:ascii="Cambria Math" w:hAnsi="Cambria Math"/>
              </w:rPr>
              <m:t>j</m:t>
            </m:r>
          </m:sub>
        </m:sSub>
      </m:oMath>
      <w:r w:rsidRPr="00A96EC8">
        <w:rPr>
          <w:rStyle w:val="Rev"/>
          <w:highlight w:val="yellow"/>
        </w:rPr>
        <w:t xml:space="preserve"> the exergy rate of co-product </w:t>
      </w:r>
      <m:oMath>
        <m:r>
          <w:rPr>
            <w:rFonts w:ascii="Cambria Math" w:hAnsi="Cambria Math"/>
          </w:rPr>
          <m:t>j</m:t>
        </m:r>
      </m:oMath>
      <w:r w:rsidRPr="00A96EC8">
        <w:rPr>
          <w:rStyle w:val="Rev"/>
          <w:highlight w:val="yellow"/>
        </w:rPr>
        <w:t xml:space="preserve">, </w:t>
      </w:r>
      <m:oMath>
        <m:sSub>
          <m:sSubPr>
            <m:ctrlPr>
              <w:rPr>
                <w:rFonts w:ascii="Cambria Math" w:hAnsi="Cambria Math"/>
              </w:rPr>
            </m:ctrlPr>
          </m:sSubPr>
          <m:e>
            <m:r>
              <w:rPr>
                <w:rFonts w:ascii="Cambria Math" w:hAnsi="Cambria Math"/>
              </w:rPr>
              <m:t>B</m:t>
            </m:r>
          </m:e>
          <m:sub>
            <m:r>
              <w:rPr>
                <w:rFonts w:ascii="Cambria Math" w:hAnsi="Cambria Math"/>
              </w:rPr>
              <m:t>L</m:t>
            </m:r>
          </m:sub>
        </m:sSub>
      </m:oMath>
      <w:r w:rsidRPr="00A96EC8">
        <w:rPr>
          <w:rStyle w:val="Rev"/>
          <w:highlight w:val="yellow"/>
        </w:rPr>
        <w:t xml:space="preserve"> the exergy rate of losses discharged to the environment, </w:t>
      </w:r>
      <m:oMath>
        <m:sSub>
          <m:sSubPr>
            <m:ctrlPr>
              <w:rPr>
                <w:rFonts w:ascii="Cambria Math" w:hAnsi="Cambria Math"/>
              </w:rPr>
            </m:ctrlPr>
          </m:sSubPr>
          <m:e>
            <m:r>
              <w:rPr>
                <w:rFonts w:ascii="Cambria Math" w:hAnsi="Cambria Math"/>
              </w:rPr>
              <m:t>B</m:t>
            </m:r>
          </m:e>
          <m:sub>
            <m:r>
              <w:rPr>
                <w:rFonts w:ascii="Cambria Math" w:hAnsi="Cambria Math"/>
              </w:rPr>
              <m:t>D</m:t>
            </m:r>
          </m:sub>
        </m:sSub>
      </m:oMath>
      <w:r w:rsidRPr="00A96EC8">
        <w:rPr>
          <w:rStyle w:val="Rev"/>
          <w:highlight w:val="yellow"/>
        </w:rPr>
        <w:t xml:space="preserve"> the exergy destruction rate and </w:t>
      </w:r>
      <m:oMath>
        <m:sSub>
          <m:sSubPr>
            <m:ctrlPr>
              <w:rPr>
                <w:rFonts w:ascii="Cambria Math" w:hAnsi="Cambria Math"/>
              </w:rPr>
            </m:ctrlPr>
          </m:sSubPr>
          <m:e>
            <m:r>
              <w:rPr>
                <w:rFonts w:ascii="Cambria Math" w:hAnsi="Cambria Math"/>
              </w:rPr>
              <m:t>S</m:t>
            </m:r>
          </m:e>
          <m:sub>
            <m:r>
              <w:rPr>
                <w:rFonts w:ascii="Cambria Math" w:hAnsi="Cambria Math"/>
              </w:rPr>
              <m:t>gen</m:t>
            </m:r>
          </m:sub>
        </m:sSub>
      </m:oMath>
      <w:r w:rsidRPr="00A96EC8">
        <w:rPr>
          <w:rStyle w:val="Rev"/>
          <w:highlight w:val="yellow"/>
        </w:rPr>
        <w:t xml:space="preserve"> the entropy generation rate. The relation </w:t>
      </w:r>
      <m:oMath>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sSub>
          <m:sSubPr>
            <m:ctrlPr>
              <w:rPr>
                <w:rFonts w:ascii="Cambria Math" w:hAnsi="Cambria Math"/>
              </w:rPr>
            </m:ctrlPr>
          </m:sSubPr>
          <m:e>
            <m:r>
              <w:rPr>
                <w:rFonts w:ascii="Cambria Math" w:hAnsi="Cambria Math"/>
              </w:rPr>
              <m:t>S</m:t>
            </m:r>
          </m:e>
          <m:sub>
            <m:r>
              <w:rPr>
                <w:rFonts w:ascii="Cambria Math" w:hAnsi="Cambria Math"/>
              </w:rPr>
              <m:t>gen</m:t>
            </m:r>
          </m:sub>
        </m:sSub>
      </m:oMath>
      <w:r w:rsidRPr="00A96EC8">
        <w:rPr>
          <w:rStyle w:val="Rev"/>
          <w:highlight w:val="yellow"/>
        </w:rPr>
        <w:t xml:space="preserve"> is the Gouy–Stodola theorem and </w:t>
      </w:r>
      <m:oMath>
        <m:sSub>
          <m:sSubPr>
            <m:ctrlPr>
              <w:rPr>
                <w:rFonts w:ascii="Cambria Math" w:hAnsi="Cambria Math"/>
              </w:rPr>
            </m:ctrlPr>
          </m:sSubPr>
          <m:e>
            <m:r>
              <w:rPr>
                <w:rFonts w:ascii="Cambria Math" w:hAnsi="Cambria Math"/>
              </w:rPr>
              <m:t>B</m:t>
            </m:r>
          </m:e>
          <m:sub>
            <m:r>
              <w:rPr>
                <w:rFonts w:ascii="Cambria Math" w:hAnsi="Cambria Math"/>
              </w:rPr>
              <m:t>D</m:t>
            </m:r>
          </m:sub>
        </m:sSub>
        <m:r>
          <m:rPr>
            <m:sty m:val="p"/>
          </m:rPr>
          <w:rPr>
            <w:rFonts w:ascii="Cambria Math" w:hAnsi="Cambria Math"/>
          </w:rPr>
          <m:t>≥</m:t>
        </m:r>
        <m:r>
          <w:rPr>
            <w:rFonts w:ascii="Cambria Math" w:hAnsi="Cambria Math"/>
          </w:rPr>
          <m:t>0</m:t>
        </m:r>
      </m:oMath>
      <w:r w:rsidRPr="00A96EC8">
        <w:rPr>
          <w:rStyle w:val="Rev"/>
          <w:highlight w:val="yellow"/>
        </w:rPr>
        <w:t xml:space="preserve"> expresses the Second Law.</w:t>
      </w:r>
    </w:p>
    <w:p w14:paraId="5F797E8E" w14:textId="77777777" w:rsidR="00507E7F" w:rsidRPr="00A96EC8" w:rsidRDefault="00000000" w:rsidP="00A96EC8">
      <w:r w:rsidRPr="00A96EC8">
        <w:t xml:space="preserve">The allocation factor </w:t>
      </w:r>
      <m:oMath>
        <m:sSub>
          <m:sSubPr>
            <m:ctrlPr>
              <w:rPr>
                <w:rFonts w:ascii="Cambria Math" w:hAnsi="Cambria Math"/>
              </w:rPr>
            </m:ctrlPr>
          </m:sSubPr>
          <m:e>
            <m:r>
              <w:rPr>
                <w:rFonts w:ascii="Cambria Math" w:hAnsi="Cambria Math"/>
              </w:rPr>
              <m:t>λ</m:t>
            </m:r>
          </m:e>
          <m:sub>
            <m:r>
              <w:rPr>
                <w:rFonts w:ascii="Cambria Math" w:hAnsi="Cambria Math"/>
              </w:rPr>
              <m:t>j</m:t>
            </m:r>
          </m:sub>
        </m:sSub>
      </m:oMath>
      <w:r w:rsidRPr="00A96EC8">
        <w:t xml:space="preserve"> of co-product </w:t>
      </w:r>
      <m:oMath>
        <m:r>
          <w:rPr>
            <w:rFonts w:ascii="Cambria Math" w:hAnsi="Cambria Math"/>
          </w:rPr>
          <m:t>j</m:t>
        </m:r>
      </m:oMath>
      <w:r w:rsidRPr="00A96EC8">
        <w:t xml:space="preserve">, and the impact </w:t>
      </w:r>
      <m:oMath>
        <m:sSub>
          <m:sSubPr>
            <m:ctrlPr>
              <w:rPr>
                <w:rFonts w:ascii="Cambria Math" w:hAnsi="Cambria Math"/>
              </w:rPr>
            </m:ctrlPr>
          </m:sSubPr>
          <m:e>
            <m:r>
              <w:rPr>
                <w:rFonts w:ascii="Cambria Math" w:hAnsi="Cambria Math"/>
              </w:rPr>
              <m:t>I</m:t>
            </m:r>
          </m:e>
          <m:sub>
            <m:r>
              <w:rPr>
                <w:rFonts w:ascii="Cambria Math" w:hAnsi="Cambria Math"/>
              </w:rPr>
              <m:t>j</m:t>
            </m:r>
          </m:sub>
        </m:sSub>
      </m:oMath>
      <w:r w:rsidRPr="00A96EC8">
        <w:t xml:space="preserve"> allocated to it, are</w:t>
      </w:r>
    </w:p>
    <w:p w14:paraId="52F8E9D2" w14:textId="77777777" w:rsidR="00507E7F" w:rsidRPr="00A96EC8" w:rsidRDefault="00000000" w:rsidP="00A96EC8">
      <m:oMathPara>
        <m:oMathParaPr>
          <m:jc m:val="center"/>
        </m:oMathParaPr>
        <m:oMath>
          <m:sSub>
            <m:sSubPr>
              <m:ctrlPr>
                <w:rPr>
                  <w:rFonts w:ascii="Cambria Math" w:hAnsi="Cambria Math"/>
                </w:rPr>
              </m:ctrlPr>
            </m:sSubPr>
            <m:e>
              <m:r>
                <w:rPr>
                  <w:rFonts w:ascii="Cambria Math" w:hAnsi="Cambria Math"/>
                </w:rPr>
                <m:t>λ</m:t>
              </m:r>
            </m:e>
            <m:sub>
              <m:r>
                <w:rPr>
                  <w:rFonts w:ascii="Cambria Math" w:hAnsi="Cambria Math"/>
                </w:rPr>
                <m:t>j</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P</m:t>
                  </m:r>
                  <m:r>
                    <m:rPr>
                      <m:sty m:val="p"/>
                    </m:rPr>
                    <w:rPr>
                      <w:rFonts w:ascii="Cambria Math" w:hAnsi="Cambria Math"/>
                    </w:rPr>
                    <m:t>,</m:t>
                  </m:r>
                  <m:r>
                    <w:rPr>
                      <w:rFonts w:ascii="Cambria Math" w:hAnsi="Cambria Math"/>
                    </w:rPr>
                    <m:t>j</m:t>
                  </m:r>
                </m:sub>
              </m:sSub>
            </m:num>
            <m:den>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r>
                        <w:rPr>
                          <w:rFonts w:ascii="Cambria Math" w:hAnsi="Cambria Math"/>
                        </w:rPr>
                        <m:t>B</m:t>
                      </m:r>
                    </m:e>
                    <m:sub>
                      <m:r>
                        <w:rPr>
                          <w:rFonts w:ascii="Cambria Math" w:hAnsi="Cambria Math"/>
                        </w:rPr>
                        <m:t>P</m:t>
                      </m:r>
                      <m:r>
                        <m:rPr>
                          <m:sty m:val="p"/>
                        </m:rPr>
                        <w:rPr>
                          <w:rFonts w:ascii="Cambria Math" w:hAnsi="Cambria Math"/>
                        </w:rPr>
                        <m:t>,</m:t>
                      </m:r>
                      <m:r>
                        <w:rPr>
                          <w:rFonts w:ascii="Cambria Math" w:hAnsi="Cambria Math"/>
                        </w:rPr>
                        <m:t>k</m:t>
                      </m:r>
                    </m:sub>
                  </m:sSub>
                </m:e>
              </m:nary>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sSub>
            <m:sSubPr>
              <m:ctrlPr>
                <w:rPr>
                  <w:rFonts w:ascii="Cambria Math" w:hAnsi="Cambria Math"/>
                </w:rPr>
              </m:ctrlPr>
            </m:sSubPr>
            <m:e>
              <m:r>
                <w:rPr>
                  <w:rFonts w:ascii="Cambria Math" w:hAnsi="Cambria Math"/>
                </w:rPr>
                <m:t>I</m:t>
              </m:r>
            </m:e>
            <m:sub>
              <m:r>
                <w:rPr>
                  <w:rFonts w:ascii="Cambria Math" w:hAnsi="Cambria Math"/>
                </w:rPr>
                <m:t>tot</m:t>
              </m:r>
            </m:sub>
          </m:sSub>
          <m:r>
            <w:rPr>
              <w:rFonts w:ascii="Cambria Math" w:hAnsi="Cambria Math"/>
            </w:rPr>
            <m:t>  </m:t>
          </m:r>
          <m:d>
            <m:dPr>
              <m:ctrlPr>
                <w:rPr>
                  <w:rFonts w:ascii="Cambria Math" w:hAnsi="Cambria Math"/>
                </w:rPr>
              </m:ctrlPr>
            </m:dPr>
            <m:e>
              <m:r>
                <w:rPr>
                  <w:rFonts w:ascii="Cambria Math" w:hAnsi="Cambria Math"/>
                </w:rPr>
                <m:t>3</m:t>
              </m:r>
            </m:e>
          </m:d>
        </m:oMath>
      </m:oMathPara>
    </w:p>
    <w:p w14:paraId="322F0E22" w14:textId="77777777" w:rsidR="00507E7F" w:rsidRPr="00A96EC8" w:rsidRDefault="00000000" w:rsidP="00A96EC8">
      <w:r w:rsidRPr="00A96EC8">
        <w:rPr>
          <w:rStyle w:val="Rev"/>
          <w:highlight w:val="yellow"/>
        </w:rPr>
        <w:t xml:space="preserve">with </w:t>
      </w:r>
      <m:oMath>
        <m:sSub>
          <m:sSubPr>
            <m:ctrlPr>
              <w:rPr>
                <w:rFonts w:ascii="Cambria Math" w:hAnsi="Cambria Math"/>
              </w:rPr>
            </m:ctrlPr>
          </m:sSubPr>
          <m:e>
            <m:r>
              <w:rPr>
                <w:rFonts w:ascii="Cambria Math" w:hAnsi="Cambria Math"/>
              </w:rPr>
              <m:t>I</m:t>
            </m:r>
          </m:e>
          <m:sub>
            <m:r>
              <w:rPr>
                <w:rFonts w:ascii="Cambria Math" w:hAnsi="Cambria Math"/>
              </w:rPr>
              <m:t>tot</m:t>
            </m:r>
          </m:sub>
        </m:sSub>
      </m:oMath>
      <w:r w:rsidRPr="00A96EC8">
        <w:rPr>
          <w:rStyle w:val="Rev"/>
          <w:highlight w:val="yellow"/>
        </w:rPr>
        <w:t xml:space="preserve"> the total impact of the process in a given category. These factors sum to unity for any set of positive co-product exergies, which is an algebraic identity carrying no thermodynamic information. Physical consistency depends instead on whether the absolute exergies satisfy Eq. (2), so the surrogates predict those flows and the allocation factors are computed from them.</w:t>
      </w:r>
    </w:p>
    <w:p w14:paraId="523DF6F5" w14:textId="77777777" w:rsidR="00507E7F" w:rsidRPr="00A96EC8" w:rsidRDefault="00000000" w:rsidP="00A96EC8">
      <w:pPr>
        <w:pStyle w:val="Heading2"/>
      </w:pPr>
      <w:bookmarkStart w:id="6" w:name="surrogate-models"/>
      <w:bookmarkEnd w:id="5"/>
      <w:r w:rsidRPr="00A96EC8">
        <w:t>2.2 Surrogate models</w:t>
      </w:r>
    </w:p>
    <w:p w14:paraId="2E37EF38" w14:textId="77777777" w:rsidR="00507E7F" w:rsidRPr="00A96EC8" w:rsidRDefault="00000000" w:rsidP="00A96EC8">
      <w:r w:rsidRPr="00A96EC8">
        <w:t xml:space="preserve">Let </w:t>
      </w:r>
      <m:oMath>
        <m:r>
          <m:rPr>
            <m:sty m:val="b"/>
          </m:rP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A96EC8">
        <w:t xml:space="preserve"> be the vector of uncertain inputs. </w:t>
      </w:r>
      <w:r w:rsidRPr="00A96EC8">
        <w:rPr>
          <w:rStyle w:val="Rev"/>
          <w:highlight w:val="yellow"/>
        </w:rPr>
        <w:t xml:space="preserve">The surrogates predict </w:t>
      </w:r>
      <m:oMath>
        <m:r>
          <m:rPr>
            <m:sty m:val="b"/>
          </m:rPr>
          <w:rPr>
            <w:rFonts w:ascii="Cambria Math" w:hAnsi="Cambria Math"/>
          </w:rPr>
          <m:t>y</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P</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gen</m:t>
                </m:r>
              </m:sub>
            </m:sSub>
          </m:e>
        </m:d>
      </m:oMath>
      <w:r w:rsidRPr="00A96EC8">
        <w:rPr>
          <w:rStyle w:val="Rev"/>
          <w:highlight w:val="yellow"/>
        </w:rPr>
        <w:t>, and hats denote predictions.</w:t>
      </w:r>
      <w:r w:rsidRPr="00A96EC8">
        <w:t xml:space="preserve"> The GP surrogate uses one independent </w:t>
      </w:r>
      <w:r w:rsidRPr="00A96EC8">
        <w:lastRenderedPageBreak/>
        <w:t>GP per output with a Matérn-5/2 covariance and automatic relevance determination (Rasmussen and Williams, 2006):</w:t>
      </w:r>
    </w:p>
    <w:p w14:paraId="32E1057F" w14:textId="77777777" w:rsidR="00507E7F" w:rsidRPr="00A96EC8" w:rsidRDefault="00000000" w:rsidP="00A96EC8">
      <m:oMathPara>
        <m:oMathParaPr>
          <m:jc m:val="center"/>
        </m:oMathParaPr>
        <m:oMath>
          <m:r>
            <w:rPr>
              <w:rFonts w:ascii="Cambria Math" w:hAnsi="Cambria Math"/>
            </w:rPr>
            <m:t>k</m:t>
          </m:r>
          <m:d>
            <m:dPr>
              <m:ctrlPr>
                <w:rPr>
                  <w:rFonts w:ascii="Cambria Math" w:hAnsi="Cambria Math"/>
                </w:rPr>
              </m:ctrlPr>
            </m:dPr>
            <m:e>
              <m:r>
                <m:rPr>
                  <m:sty m:val="b"/>
                </m:rPr>
                <w:rPr>
                  <w:rFonts w:ascii="Cambria Math" w:hAnsi="Cambria Math"/>
                </w:rPr>
                <m:t>x</m:t>
              </m:r>
              <m:r>
                <m:rPr>
                  <m:sty m:val="p"/>
                </m:rPr>
                <w:rPr>
                  <w:rFonts w:ascii="Cambria Math" w:hAnsi="Cambria Math"/>
                </w:rPr>
                <m:t>,</m:t>
              </m:r>
              <m:r>
                <m:rPr>
                  <m:sty m:val="b"/>
                </m:rPr>
                <w:rPr>
                  <w:rFonts w:ascii="Cambria Math" w:hAnsi="Cambria Math"/>
                </w:rPr>
                <m:t>x</m:t>
              </m:r>
              <m:r>
                <m:rPr>
                  <m:sty m:val="p"/>
                </m:rPr>
                <w:rPr>
                  <w:rFonts w:ascii="Cambria Math" w:hAnsi="Cambria Math"/>
                </w:rPr>
                <m:t>'</m:t>
              </m:r>
            </m:e>
          </m:d>
          <m:r>
            <m:rPr>
              <m:sty m:val="p"/>
            </m:rPr>
            <w:rPr>
              <w:rFonts w:ascii="Cambria Math" w:hAnsi="Cambria Math"/>
            </w:rPr>
            <m:t>=</m:t>
          </m:r>
          <m:sSubSup>
            <m:sSubSupPr>
              <m:ctrlPr>
                <w:rPr>
                  <w:rFonts w:ascii="Cambria Math" w:hAnsi="Cambria Math"/>
                </w:rPr>
              </m:ctrlPr>
            </m:sSubSupPr>
            <m:e>
              <m:r>
                <w:rPr>
                  <w:rFonts w:ascii="Cambria Math" w:hAnsi="Cambria Math"/>
                </w:rPr>
                <m:t>σ</m:t>
              </m:r>
            </m:e>
            <m:sub>
              <m:r>
                <w:rPr>
                  <w:rFonts w:ascii="Cambria Math" w:hAnsi="Cambria Math"/>
                </w:rPr>
                <m:t>f</m:t>
              </m:r>
            </m:sub>
            <m:sup>
              <m:r>
                <w:rPr>
                  <w:rFonts w:ascii="Cambria Math" w:hAnsi="Cambria Math"/>
                </w:rPr>
                <m:t>2</m:t>
              </m:r>
            </m:sup>
          </m:sSubSup>
          <m:d>
            <m:dPr>
              <m:ctrlPr>
                <w:rPr>
                  <w:rFonts w:ascii="Cambria Math" w:hAnsi="Cambria Math"/>
                </w:rPr>
              </m:ctrlPr>
            </m:dPr>
            <m:e>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5</m:t>
                  </m:r>
                </m:e>
              </m:rad>
              <m:r>
                <w:rPr>
                  <w:rFonts w:ascii="Cambria Math" w:hAnsi="Cambria Math"/>
                </w:rPr>
                <m:t> r</m:t>
              </m:r>
              <m:r>
                <m:rPr>
                  <m:sty m:val="p"/>
                </m:rPr>
                <w:rPr>
                  <w:rFonts w:ascii="Cambria Math" w:hAnsi="Cambria Math"/>
                </w:rPr>
                <m:t>+</m:t>
              </m:r>
              <m:f>
                <m:fPr>
                  <m:type m:val="lin"/>
                  <m:ctrlPr>
                    <w:rPr>
                      <w:rFonts w:ascii="Cambria Math" w:hAnsi="Cambria Math"/>
                    </w:rPr>
                  </m:ctrlPr>
                </m:fPr>
                <m:num>
                  <m:r>
                    <w:rPr>
                      <w:rFonts w:ascii="Cambria Math" w:hAnsi="Cambria Math"/>
                    </w:rPr>
                    <m:t>5</m:t>
                  </m:r>
                </m:num>
                <m:den>
                  <m:r>
                    <w:rPr>
                      <w:rFonts w:ascii="Cambria Math" w:hAnsi="Cambria Math"/>
                    </w:rPr>
                    <m:t>3</m:t>
                  </m:r>
                </m:den>
              </m:f>
              <m:sSup>
                <m:sSupPr>
                  <m:ctrlPr>
                    <w:rPr>
                      <w:rFonts w:ascii="Cambria Math" w:hAnsi="Cambria Math"/>
                    </w:rPr>
                  </m:ctrlPr>
                </m:sSupPr>
                <m:e>
                  <m:r>
                    <w:rPr>
                      <w:rFonts w:ascii="Cambria Math" w:hAnsi="Cambria Math"/>
                    </w:rPr>
                    <m:t>r</m:t>
                  </m:r>
                </m:e>
                <m:sup>
                  <m:r>
                    <w:rPr>
                      <w:rFonts w:ascii="Cambria Math" w:hAnsi="Cambria Math"/>
                    </w:rPr>
                    <m:t>2</m:t>
                  </m:r>
                </m:sup>
              </m:sSup>
            </m:e>
          </m:d>
          <m:r>
            <m:rPr>
              <m:sty m:val="p"/>
            </m:rPr>
            <w:rPr>
              <w:rFonts w:ascii="Cambria Math" w:hAnsi="Cambria Math"/>
            </w:rPr>
            <m:t>exp</m:t>
          </m:r>
          <m:d>
            <m:dPr>
              <m:ctrlPr>
                <w:rPr>
                  <w:rFonts w:ascii="Cambria Math" w:hAnsi="Cambria Math"/>
                </w:rPr>
              </m:ctrlPr>
            </m:dPr>
            <m:e>
              <m:r>
                <m:rPr>
                  <m:sty m:val="p"/>
                </m:rPr>
                <w:rPr>
                  <w:rFonts w:ascii="Cambria Math" w:hAnsi="Cambria Math"/>
                </w:rPr>
                <m:t>-</m:t>
              </m:r>
              <m:rad>
                <m:radPr>
                  <m:degHide m:val="1"/>
                  <m:ctrlPr>
                    <w:rPr>
                      <w:rFonts w:ascii="Cambria Math" w:hAnsi="Cambria Math"/>
                    </w:rPr>
                  </m:ctrlPr>
                </m:radPr>
                <m:deg/>
                <m:e>
                  <m:r>
                    <w:rPr>
                      <w:rFonts w:ascii="Cambria Math" w:hAnsi="Cambria Math"/>
                    </w:rPr>
                    <m:t>5</m:t>
                  </m:r>
                </m:e>
              </m:rad>
              <m:r>
                <w:rPr>
                  <w:rFonts w:ascii="Cambria Math" w:hAnsi="Cambria Math"/>
                </w:rPr>
                <m:t> r</m:t>
              </m:r>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nary>
            <m:naryPr>
              <m:chr m:val="∑"/>
              <m:limLoc m:val="undOvr"/>
              <m:ctrlPr>
                <w:rPr>
                  <w:rFonts w:ascii="Cambria Math" w:hAnsi="Cambria Math"/>
                </w:rPr>
              </m:ctrlPr>
            </m:naryPr>
            <m:sub>
              <m:r>
                <w:rPr>
                  <w:rFonts w:ascii="Cambria Math" w:hAnsi="Cambria Math"/>
                </w:rPr>
                <m:t>p</m:t>
              </m:r>
              <m:r>
                <m:rPr>
                  <m:sty m:val="p"/>
                </m:rPr>
                <w:rPr>
                  <w:rFonts w:ascii="Cambria Math" w:hAnsi="Cambria Math"/>
                </w:rPr>
                <m:t>=</m:t>
              </m:r>
              <m:r>
                <w:rPr>
                  <w:rFonts w:ascii="Cambria Math" w:hAnsi="Cambria Math"/>
                </w:rPr>
                <m:t>1</m:t>
              </m:r>
            </m:sub>
            <m:sup>
              <m:r>
                <w:rPr>
                  <w:rFonts w:ascii="Cambria Math" w:hAnsi="Cambria Math"/>
                </w:rPr>
                <m:t>d</m:t>
              </m:r>
            </m:sup>
            <m:e>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p</m:t>
                              </m:r>
                            </m:sub>
                          </m:sSub>
                          <m:r>
                            <m:rPr>
                              <m:sty m:val="p"/>
                            </m:rPr>
                            <w:rPr>
                              <w:rFonts w:ascii="Cambria Math" w:hAnsi="Cambria Math"/>
                            </w:rPr>
                            <m:t>-</m:t>
                          </m:r>
                          <m:r>
                            <w:rPr>
                              <w:rFonts w:ascii="Cambria Math" w:hAnsi="Cambria Math"/>
                            </w:rPr>
                            <m:t>x</m:t>
                          </m:r>
                          <m:sSub>
                            <m:sSubPr>
                              <m:ctrlPr>
                                <w:rPr>
                                  <w:rFonts w:ascii="Cambria Math" w:hAnsi="Cambria Math"/>
                                </w:rPr>
                              </m:ctrlPr>
                            </m:sSubPr>
                            <m:e>
                              <m:r>
                                <m:rPr>
                                  <m:sty m:val="p"/>
                                </m:rPr>
                                <w:rPr>
                                  <w:rFonts w:ascii="Cambria Math" w:hAnsi="Cambria Math"/>
                                </w:rPr>
                                <m:t>'</m:t>
                              </m:r>
                            </m:e>
                            <m:sub>
                              <m:r>
                                <w:rPr>
                                  <w:rFonts w:ascii="Cambria Math" w:hAnsi="Cambria Math"/>
                                </w:rPr>
                                <m:t>p</m:t>
                              </m:r>
                            </m:sub>
                          </m:sSub>
                        </m:e>
                      </m:d>
                    </m:e>
                    <m:sup>
                      <m:r>
                        <w:rPr>
                          <w:rFonts w:ascii="Cambria Math" w:hAnsi="Cambria Math"/>
                        </w:rPr>
                        <m:t>2</m:t>
                      </m:r>
                    </m:sup>
                  </m:sSup>
                </m:num>
                <m:den>
                  <m:sSubSup>
                    <m:sSubSupPr>
                      <m:ctrlPr>
                        <w:rPr>
                          <w:rFonts w:ascii="Cambria Math" w:hAnsi="Cambria Math"/>
                        </w:rPr>
                      </m:ctrlPr>
                    </m:sSubSupPr>
                    <m:e>
                      <m:r>
                        <m:rPr>
                          <m:scr m:val="script"/>
                          <m:sty m:val="p"/>
                        </m:rPr>
                        <w:rPr>
                          <w:rFonts w:ascii="Cambria Math" w:hAnsi="Cambria Math"/>
                        </w:rPr>
                        <m:t>l</m:t>
                      </m:r>
                    </m:e>
                    <m:sub>
                      <m:r>
                        <w:rPr>
                          <w:rFonts w:ascii="Cambria Math" w:hAnsi="Cambria Math"/>
                        </w:rPr>
                        <m:t>p</m:t>
                      </m:r>
                    </m:sub>
                    <m:sup>
                      <m:r>
                        <w:rPr>
                          <w:rFonts w:ascii="Cambria Math" w:hAnsi="Cambria Math"/>
                        </w:rPr>
                        <m:t>2</m:t>
                      </m:r>
                    </m:sup>
                  </m:sSubSup>
                </m:den>
              </m:f>
            </m:e>
          </m:nary>
          <m:r>
            <w:rPr>
              <w:rFonts w:ascii="Cambria Math" w:hAnsi="Cambria Math"/>
            </w:rPr>
            <m:t>  </m:t>
          </m:r>
          <m:d>
            <m:dPr>
              <m:ctrlPr>
                <w:rPr>
                  <w:rFonts w:ascii="Cambria Math" w:hAnsi="Cambria Math"/>
                </w:rPr>
              </m:ctrlPr>
            </m:dPr>
            <m:e>
              <m:r>
                <w:rPr>
                  <w:rFonts w:ascii="Cambria Math" w:hAnsi="Cambria Math"/>
                </w:rPr>
                <m:t>4</m:t>
              </m:r>
            </m:e>
          </m:d>
        </m:oMath>
      </m:oMathPara>
    </w:p>
    <w:p w14:paraId="7D9C9DEB" w14:textId="77777777" w:rsidR="00507E7F" w:rsidRPr="00A96EC8" w:rsidRDefault="00000000" w:rsidP="00A96EC8">
      <w:r w:rsidRPr="00A96EC8">
        <w:t xml:space="preserve">where </w:t>
      </w:r>
      <m:oMath>
        <m:sSubSup>
          <m:sSubSupPr>
            <m:ctrlPr>
              <w:rPr>
                <w:rFonts w:ascii="Cambria Math" w:hAnsi="Cambria Math"/>
              </w:rPr>
            </m:ctrlPr>
          </m:sSubSupPr>
          <m:e>
            <m:r>
              <w:rPr>
                <w:rFonts w:ascii="Cambria Math" w:hAnsi="Cambria Math"/>
              </w:rPr>
              <m:t>σ</m:t>
            </m:r>
          </m:e>
          <m:sub>
            <m:r>
              <w:rPr>
                <w:rFonts w:ascii="Cambria Math" w:hAnsi="Cambria Math"/>
              </w:rPr>
              <m:t>f</m:t>
            </m:r>
          </m:sub>
          <m:sup>
            <m:r>
              <w:rPr>
                <w:rFonts w:ascii="Cambria Math" w:hAnsi="Cambria Math"/>
              </w:rPr>
              <m:t>2</m:t>
            </m:r>
          </m:sup>
        </m:sSubSup>
      </m:oMath>
      <w:r w:rsidRPr="00A96EC8">
        <w:t xml:space="preserve"> is the signal variance and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p</m:t>
            </m:r>
          </m:sub>
        </m:sSub>
      </m:oMath>
      <w:r w:rsidRPr="00A96EC8">
        <w:t xml:space="preserve"> the length scale of input </w:t>
      </w:r>
      <m:oMath>
        <m:r>
          <w:rPr>
            <w:rFonts w:ascii="Cambria Math" w:hAnsi="Cambria Math"/>
          </w:rPr>
          <m:t>p</m:t>
        </m:r>
      </m:oMath>
      <w:r w:rsidRPr="00A96EC8">
        <w:t xml:space="preserve">. Because the outputs are predicted independently, the implied destruction </w:t>
      </w:r>
      <m:oMath>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in</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P</m:t>
                </m:r>
                <m:r>
                  <m:rPr>
                    <m:sty m:val="p"/>
                  </m:rPr>
                  <w:rPr>
                    <w:rFonts w:ascii="Cambria Math" w:hAnsi="Cambria Math"/>
                  </w:rPr>
                  <m:t>,</m:t>
                </m:r>
                <m:r>
                  <w:rPr>
                    <w:rFonts w:ascii="Cambria Math" w:hAnsi="Cambria Math"/>
                  </w:rPr>
                  <m:t>j</m:t>
                </m:r>
              </m:sub>
            </m:sSub>
          </m:e>
        </m:nary>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L</m:t>
            </m:r>
          </m:sub>
        </m:sSub>
      </m:oMath>
      <w:r w:rsidRPr="00A96EC8">
        <w:t xml:space="preserve"> may be negative and must be checked.</w:t>
      </w:r>
    </w:p>
    <w:p w14:paraId="7C6336D4" w14:textId="77777777" w:rsidR="00507E7F" w:rsidRPr="00A96EC8" w:rsidRDefault="00000000" w:rsidP="00A96EC8">
      <w:r w:rsidRPr="00A96EC8">
        <w:rPr>
          <w:rStyle w:val="Rev"/>
          <w:highlight w:val="yellow"/>
        </w:rPr>
        <w:t xml:space="preserve">The network surrogate has two hidden layers of 64 units with exponential linear unit activation (Clevert et al., 2016) and two output heads. One predicts </w:t>
      </w:r>
      <m:oMath>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gen</m:t>
            </m:r>
          </m:sub>
        </m:sSub>
      </m:oMath>
      <w:r w:rsidRPr="00A96EC8">
        <w:rPr>
          <w:rStyle w:val="Rev"/>
          <w:highlight w:val="yellow"/>
        </w:rPr>
        <w:t xml:space="preserve">. In the constrained variant the other produces </w:t>
      </w:r>
      <m:oMath>
        <m:r>
          <m:rPr>
            <m:sty m:val="b"/>
          </m:rPr>
          <w:rPr>
            <w:rFonts w:ascii="Cambria Math" w:hAnsi="Cambria Math"/>
          </w:rPr>
          <m:t>z</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m</m:t>
            </m:r>
            <m:r>
              <m:rPr>
                <m:sty m:val="p"/>
              </m:rPr>
              <w:rPr>
                <w:rFonts w:ascii="Cambria Math" w:hAnsi="Cambria Math"/>
              </w:rPr>
              <m:t>+</m:t>
            </m:r>
            <m:r>
              <w:rPr>
                <w:rFonts w:ascii="Cambria Math" w:hAnsi="Cambria Math"/>
              </w:rPr>
              <m:t>2</m:t>
            </m:r>
          </m:sup>
        </m:sSup>
      </m:oMath>
      <w:r w:rsidRPr="00A96EC8">
        <w:rPr>
          <w:rStyle w:val="Rev"/>
          <w:highlight w:val="yellow"/>
        </w:rPr>
        <w:t>, mapped to the exergy terms by</w:t>
      </w:r>
    </w:p>
    <w:p w14:paraId="053B69F7" w14:textId="77777777" w:rsidR="00507E7F" w:rsidRPr="00A96EC8" w:rsidRDefault="00000000" w:rsidP="00A96EC8">
      <m:oMathPara>
        <m:oMathParaPr>
          <m:jc m:val="center"/>
        </m:oMathParaPr>
        <m:oMath>
          <m:d>
            <m:dPr>
              <m:begChr m:val="["/>
              <m:endChr m:val="]"/>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P</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P</m:t>
                  </m:r>
                  <m:r>
                    <m:rPr>
                      <m:sty m:val="p"/>
                    </m:rPr>
                    <w:rPr>
                      <w:rFonts w:ascii="Cambria Math" w:hAnsi="Cambria Math"/>
                    </w:rPr>
                    <m:t>,</m:t>
                  </m:r>
                  <m:r>
                    <w:rPr>
                      <w:rFonts w:ascii="Cambria Math" w:hAnsi="Cambria Math"/>
                    </w:rPr>
                    <m:t>m</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L</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D</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in</m:t>
              </m:r>
            </m:sub>
          </m:sSub>
          <m:d>
            <m:dPr>
              <m:ctrlPr>
                <w:rPr>
                  <w:rFonts w:ascii="Cambria Math" w:hAnsi="Cambria Math"/>
                </w:rPr>
              </m:ctrlPr>
            </m:dPr>
            <m:e>
              <m:r>
                <m:rPr>
                  <m:sty m:val="b"/>
                </m:rPr>
                <w:rPr>
                  <w:rFonts w:ascii="Cambria Math" w:hAnsi="Cambria Math"/>
                </w:rPr>
                <m:t>x</m:t>
              </m:r>
            </m:e>
          </m:d>
          <m:r>
            <w:rPr>
              <w:rFonts w:ascii="Cambria Math" w:hAnsi="Cambria Math"/>
            </w:rPr>
            <m:t> </m:t>
          </m:r>
          <m:r>
            <m:rPr>
              <m:sty m:val="p"/>
            </m:rPr>
            <w:rPr>
              <w:rFonts w:ascii="Cambria Math" w:hAnsi="Cambria Math"/>
            </w:rPr>
            <m:t>softmax</m:t>
          </m:r>
          <m:d>
            <m:dPr>
              <m:ctrlPr>
                <w:rPr>
                  <w:rFonts w:ascii="Cambria Math" w:hAnsi="Cambria Math"/>
                </w:rPr>
              </m:ctrlPr>
            </m:dPr>
            <m:e>
              <m:r>
                <m:rPr>
                  <m:sty m:val="b"/>
                </m:rPr>
                <w:rPr>
                  <w:rFonts w:ascii="Cambria Math" w:hAnsi="Cambria Math"/>
                </w:rPr>
                <m:t>z</m:t>
              </m:r>
            </m:e>
          </m:d>
          <m:r>
            <w:rPr>
              <w:rFonts w:ascii="Cambria Math" w:hAnsi="Cambria Math"/>
            </w:rPr>
            <m:t>  </m:t>
          </m:r>
          <m:d>
            <m:dPr>
              <m:ctrlPr>
                <w:rPr>
                  <w:rFonts w:ascii="Cambria Math" w:hAnsi="Cambria Math"/>
                </w:rPr>
              </m:ctrlPr>
            </m:dPr>
            <m:e>
              <m:r>
                <w:rPr>
                  <w:rFonts w:ascii="Cambria Math" w:hAnsi="Cambria Math"/>
                </w:rPr>
                <m:t>5</m:t>
              </m:r>
            </m:e>
          </m:d>
        </m:oMath>
      </m:oMathPara>
    </w:p>
    <w:p w14:paraId="535CE173" w14:textId="77777777" w:rsidR="00507E7F" w:rsidRPr="00A96EC8" w:rsidRDefault="00000000" w:rsidP="00A96EC8">
      <w:r w:rsidRPr="00A96EC8">
        <w:rPr>
          <w:rStyle w:val="Rev"/>
          <w:highlight w:val="yellow"/>
        </w:rPr>
        <w:t xml:space="preserve">Since the softmax components are positive and sum to one, Eq. (5) makes the accounting of Eq. (2) close exactly and keeps every term, including </w:t>
      </w:r>
      <m:oMath>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D</m:t>
            </m:r>
          </m:sub>
        </m:sSub>
      </m:oMath>
      <w:r w:rsidRPr="00A96EC8">
        <w:rPr>
          <w:rStyle w:val="Rev"/>
          <w:highlight w:val="yellow"/>
        </w:rPr>
        <w:t xml:space="preserve">, non-negative. It does not make </w:t>
      </w:r>
      <m:oMath>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D</m:t>
            </m:r>
          </m:sub>
        </m:sSub>
      </m:oMath>
      <w:r w:rsidRPr="00A96EC8">
        <w:rPr>
          <w:rStyle w:val="Rev"/>
          <w:highlight w:val="yellow"/>
        </w:rPr>
        <w:t xml:space="preserve"> equal </w:t>
      </w:r>
      <m:oMath>
        <m:sSub>
          <m:sSubPr>
            <m:ctrlPr>
              <w:rPr>
                <w:rFonts w:ascii="Cambria Math" w:hAnsi="Cambria Math"/>
              </w:rPr>
            </m:ctrlPr>
          </m:sSubPr>
          <m:e>
            <m:r>
              <w:rPr>
                <w:rFonts w:ascii="Cambria Math" w:hAnsi="Cambria Math"/>
              </w:rPr>
              <m:t>T</m:t>
            </m:r>
          </m:e>
          <m:sub>
            <m:r>
              <w:rPr>
                <w:rFonts w:ascii="Cambria Math" w:hAnsi="Cambria Math"/>
              </w:rPr>
              <m:t>0</m:t>
            </m:r>
          </m:sub>
        </m:sSub>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gen</m:t>
            </m:r>
          </m:sub>
        </m:sSub>
      </m:oMath>
      <w:r w:rsidRPr="00A96EC8">
        <w:rPr>
          <w:rStyle w:val="Rev"/>
          <w:highlight w:val="yellow"/>
        </w:rPr>
        <w:t>, which is the physical requirement tested below. An unconstrained variant predicts the five outputs directly, and a third variant combines unconstrained outputs with the training penalty but without hard closure.</w:t>
      </w:r>
    </w:p>
    <w:p w14:paraId="2D41E5E0" w14:textId="77777777" w:rsidR="00507E7F" w:rsidRPr="00A96EC8" w:rsidRDefault="00000000" w:rsidP="00A96EC8">
      <w:pPr>
        <w:pStyle w:val="Heading2"/>
      </w:pPr>
      <w:bookmarkStart w:id="7" w:name="physics-informed-training"/>
      <w:bookmarkEnd w:id="6"/>
      <w:r w:rsidRPr="00A96EC8">
        <w:t>2.3 Physics-informed training</w:t>
      </w:r>
    </w:p>
    <w:p w14:paraId="541C87D5" w14:textId="77777777" w:rsidR="00507E7F" w:rsidRPr="00A96EC8" w:rsidRDefault="00000000" w:rsidP="00A96EC8">
      <w:r w:rsidRPr="00A96EC8">
        <w:rPr>
          <w:rStyle w:val="Rev"/>
          <w:highlight w:val="yellow"/>
        </w:rPr>
        <w:t xml:space="preserve">Thermodynamic consistency at an input </w:t>
      </w:r>
      <m:oMath>
        <m:r>
          <m:rPr>
            <m:sty m:val="b"/>
          </m:rPr>
          <w:rPr>
            <w:rFonts w:ascii="Cambria Math" w:hAnsi="Cambria Math"/>
          </w:rPr>
          <m:t>x</m:t>
        </m:r>
      </m:oMath>
      <w:r w:rsidRPr="00A96EC8">
        <w:rPr>
          <w:rStyle w:val="Rev"/>
          <w:highlight w:val="yellow"/>
        </w:rPr>
        <w:t xml:space="preserve"> is measured by the normalised exergy-balance residual</w:t>
      </w:r>
    </w:p>
    <w:p w14:paraId="6593DED4" w14:textId="77777777" w:rsidR="00507E7F" w:rsidRPr="00A96EC8" w:rsidRDefault="00000000" w:rsidP="00A96EC8">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B</m:t>
              </m:r>
            </m:sub>
          </m:sSub>
          <m:d>
            <m:dPr>
              <m:ctrlPr>
                <w:rPr>
                  <w:rFonts w:ascii="Cambria Math" w:hAnsi="Cambria Math"/>
                </w:rPr>
              </m:ctrlPr>
            </m:dPr>
            <m:e>
              <m:r>
                <m:rPr>
                  <m:sty m:val="b"/>
                </m:rPr>
                <w:rPr>
                  <w:rFonts w:ascii="Cambria Math" w:hAnsi="Cambria Math"/>
                </w:rPr>
                <m:t>x</m:t>
              </m:r>
            </m:e>
          </m:d>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B</m:t>
                  </m:r>
                </m:e>
                <m:sub>
                  <m:r>
                    <w:rPr>
                      <w:rFonts w:ascii="Cambria Math" w:hAnsi="Cambria Math"/>
                    </w:rPr>
                    <m:t>in</m:t>
                  </m:r>
                </m:sub>
              </m:sSub>
              <m:d>
                <m:dPr>
                  <m:ctrlPr>
                    <w:rPr>
                      <w:rFonts w:ascii="Cambria Math" w:hAnsi="Cambria Math"/>
                    </w:rPr>
                  </m:ctrlPr>
                </m:dPr>
                <m:e>
                  <m:r>
                    <m:rPr>
                      <m:sty m:val="b"/>
                    </m:rP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m</m:t>
                  </m:r>
                </m:sup>
                <m:e>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P</m:t>
                      </m:r>
                      <m:r>
                        <m:rPr>
                          <m:sty m:val="p"/>
                        </m:rPr>
                        <w:rPr>
                          <w:rFonts w:ascii="Cambria Math" w:hAnsi="Cambria Math"/>
                        </w:rPr>
                        <m:t>,</m:t>
                      </m:r>
                      <m:r>
                        <w:rPr>
                          <w:rFonts w:ascii="Cambria Math" w:hAnsi="Cambria Math"/>
                        </w:rPr>
                        <m:t>j</m:t>
                      </m:r>
                    </m:sub>
                  </m:sSub>
                </m:e>
              </m:nary>
              <m:d>
                <m:dPr>
                  <m:ctrlPr>
                    <w:rPr>
                      <w:rFonts w:ascii="Cambria Math" w:hAnsi="Cambria Math"/>
                    </w:rPr>
                  </m:ctrlPr>
                </m:dPr>
                <m:e>
                  <m:r>
                    <m:rPr>
                      <m:sty m:val="b"/>
                    </m:rPr>
                    <w:rPr>
                      <w:rFonts w:ascii="Cambria Math" w:hAnsi="Cambria Math"/>
                    </w:rPr>
                    <m:t>x</m:t>
                  </m:r>
                </m:e>
              </m:d>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L</m:t>
                  </m:r>
                </m:sub>
              </m:sSub>
              <m:d>
                <m:dPr>
                  <m:ctrlPr>
                    <w:rPr>
                      <w:rFonts w:ascii="Cambria Math" w:hAnsi="Cambria Math"/>
                    </w:rPr>
                  </m:ctrlPr>
                </m:dPr>
                <m:e>
                  <m:r>
                    <m:rPr>
                      <m:sty m:val="b"/>
                    </m:rP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gen</m:t>
                  </m:r>
                </m:sub>
              </m:sSub>
              <m:d>
                <m:dPr>
                  <m:ctrlPr>
                    <w:rPr>
                      <w:rFonts w:ascii="Cambria Math" w:hAnsi="Cambria Math"/>
                    </w:rPr>
                  </m:ctrlPr>
                </m:dPr>
                <m:e>
                  <m:r>
                    <m:rPr>
                      <m:sty m:val="b"/>
                    </m:rPr>
                    <w:rPr>
                      <w:rFonts w:ascii="Cambria Math" w:hAnsi="Cambria Math"/>
                    </w:rPr>
                    <m:t>x</m:t>
                  </m:r>
                </m:e>
              </m:d>
            </m:num>
            <m:den>
              <m:sSub>
                <m:sSubPr>
                  <m:ctrlPr>
                    <w:rPr>
                      <w:rFonts w:ascii="Cambria Math" w:hAnsi="Cambria Math"/>
                    </w:rPr>
                  </m:ctrlPr>
                </m:sSubPr>
                <m:e>
                  <m:r>
                    <w:rPr>
                      <w:rFonts w:ascii="Cambria Math" w:hAnsi="Cambria Math"/>
                    </w:rPr>
                    <m:t>B</m:t>
                  </m:r>
                </m:e>
                <m:sub>
                  <m:r>
                    <w:rPr>
                      <w:rFonts w:ascii="Cambria Math" w:hAnsi="Cambria Math"/>
                    </w:rPr>
                    <m:t>in</m:t>
                  </m:r>
                </m:sub>
              </m:sSub>
              <m:d>
                <m:dPr>
                  <m:ctrlPr>
                    <w:rPr>
                      <w:rFonts w:ascii="Cambria Math" w:hAnsi="Cambria Math"/>
                    </w:rPr>
                  </m:ctrlPr>
                </m:dPr>
                <m:e>
                  <m:r>
                    <m:rPr>
                      <m:sty m:val="b"/>
                    </m:rPr>
                    <w:rPr>
                      <w:rFonts w:ascii="Cambria Math" w:hAnsi="Cambria Math"/>
                    </w:rPr>
                    <m:t>x</m:t>
                  </m:r>
                </m:e>
              </m:d>
            </m:den>
          </m:f>
          <m:r>
            <w:rPr>
              <w:rFonts w:ascii="Cambria Math" w:hAnsi="Cambria Math"/>
            </w:rPr>
            <m:t>  </m:t>
          </m:r>
          <m:d>
            <m:dPr>
              <m:ctrlPr>
                <w:rPr>
                  <w:rFonts w:ascii="Cambria Math" w:hAnsi="Cambria Math"/>
                </w:rPr>
              </m:ctrlPr>
            </m:dPr>
            <m:e>
              <m:r>
                <w:rPr>
                  <w:rFonts w:ascii="Cambria Math" w:hAnsi="Cambria Math"/>
                </w:rPr>
                <m:t>6</m:t>
              </m:r>
            </m:e>
          </m:d>
        </m:oMath>
      </m:oMathPara>
    </w:p>
    <w:p w14:paraId="74D84CCB" w14:textId="77777777" w:rsidR="00507E7F" w:rsidRPr="00A96EC8" w:rsidRDefault="00000000" w:rsidP="00A96EC8">
      <w:r w:rsidRPr="00A96EC8">
        <w:rPr>
          <w:rStyle w:val="Rev"/>
          <w:highlight w:val="yellow"/>
        </w:rPr>
        <w:t xml:space="preserve">which vanishes only when the destruction implied by the balance equals that obtained from entropy generation. For the constrained network, Eq. (6) reduces to </w:t>
      </w:r>
      <m:oMath>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D</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sSub>
              <m:sSubPr>
                <m:ctrlPr>
                  <w:rPr>
                    <w:rFonts w:ascii="Cambria Math" w:hAnsi="Cambria Math"/>
                  </w:rPr>
                </m:ctrlPr>
              </m:sSubPr>
              <m:e>
                <m:acc>
                  <m:accPr>
                    <m:ctrlPr>
                      <w:rPr>
                        <w:rFonts w:ascii="Cambria Math" w:hAnsi="Cambria Math"/>
                      </w:rPr>
                    </m:ctrlPr>
                  </m:accPr>
                  <m:e>
                    <m:r>
                      <w:rPr>
                        <w:rFonts w:ascii="Cambria Math" w:hAnsi="Cambria Math"/>
                      </w:rPr>
                      <m:t>S</m:t>
                    </m:r>
                  </m:e>
                </m:acc>
              </m:e>
              <m:sub>
                <m:r>
                  <w:rPr>
                    <w:rFonts w:ascii="Cambria Math" w:hAnsi="Cambria Math"/>
                  </w:rPr>
                  <m:t>gen</m:t>
                </m:r>
              </m:sub>
            </m:sSub>
          </m:e>
        </m:d>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in</m:t>
            </m:r>
          </m:sub>
        </m:sSub>
      </m:oMath>
      <w:r w:rsidRPr="00A96EC8">
        <w:rPr>
          <w:rStyle w:val="Rev"/>
          <w:highlight w:val="yellow"/>
        </w:rPr>
        <w:t>. The residual needs no reference-model output, so it is also evaluated at unlabelled collocation inputs.</w:t>
      </w:r>
      <w:r w:rsidRPr="00A96EC8">
        <w:t xml:space="preserve"> Training minimises the augmented Lagrangian (Hestenes, 1969):</w:t>
      </w:r>
    </w:p>
    <w:p w14:paraId="29070986" w14:textId="77777777" w:rsidR="00507E7F" w:rsidRPr="00A96EC8" w:rsidRDefault="00000000" w:rsidP="00A96EC8">
      <m:oMathPara>
        <m:oMathParaPr>
          <m:jc m:val="center"/>
        </m:oMathParaP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A</m:t>
              </m:r>
            </m:sub>
          </m:sSub>
          <m:d>
            <m:dPr>
              <m:ctrlPr>
                <w:rPr>
                  <w:rFonts w:ascii="Cambria Math" w:hAnsi="Cambria Math"/>
                </w:rPr>
              </m:ctrlPr>
            </m:dPr>
            <m:e>
              <m:r>
                <w:rPr>
                  <w:rFonts w:ascii="Cambria Math" w:hAnsi="Cambria Math"/>
                </w:rPr>
                <m:t>θ</m:t>
              </m:r>
              <m:r>
                <m:rPr>
                  <m:sty m:val="p"/>
                </m:rPr>
                <w:rPr>
                  <w:rFonts w:ascii="Cambria Math" w:hAnsi="Cambria Math"/>
                </w:rPr>
                <m:t>,</m:t>
              </m:r>
              <m:r>
                <m:rPr>
                  <m:sty m:val="b"/>
                </m:rPr>
                <w:rPr>
                  <w:rFonts w:ascii="Cambria Math" w:hAnsi="Cambria Math"/>
                </w:rPr>
                <m:t>η</m:t>
              </m:r>
              <m:r>
                <m:rPr>
                  <m:sty m:val="p"/>
                </m:rPr>
                <w:rPr>
                  <w:rFonts w:ascii="Cambria Math" w:hAnsi="Cambria Math"/>
                </w:rPr>
                <m:t>,</m:t>
              </m:r>
              <m:r>
                <w:rPr>
                  <w:rFonts w:ascii="Cambria Math" w:hAnsi="Cambria Math"/>
                </w:rPr>
                <m:t>μ</m:t>
              </m:r>
            </m:e>
          </m:d>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L</m:t>
              </m:r>
            </m:e>
            <m:sub>
              <m:r>
                <w:rPr>
                  <w:rFonts w:ascii="Cambria Math" w:hAnsi="Cambria Math"/>
                </w:rPr>
                <m:t>data</m:t>
              </m:r>
            </m:sub>
          </m:sSub>
          <m:d>
            <m:dPr>
              <m:ctrlPr>
                <w:rPr>
                  <w:rFonts w:ascii="Cambria Math" w:hAnsi="Cambria Math"/>
                </w:rPr>
              </m:ctrlPr>
            </m:dPr>
            <m:e>
              <m:r>
                <w:rPr>
                  <w:rFonts w:ascii="Cambria Math" w:hAnsi="Cambria Math"/>
                </w:rPr>
                <m:t>θ</m:t>
              </m:r>
            </m:e>
          </m:d>
          <m:r>
            <m:rPr>
              <m:sty m:val="p"/>
            </m:rPr>
            <w:rPr>
              <w:rFonts w:ascii="Cambria Math" w:hAnsi="Cambria Math"/>
            </w:rPr>
            <m:t>+</m:t>
          </m:r>
          <m:sSup>
            <m:sSupPr>
              <m:ctrlPr>
                <w:rPr>
                  <w:rFonts w:ascii="Cambria Math" w:hAnsi="Cambria Math"/>
                </w:rPr>
              </m:ctrlPr>
            </m:sSupPr>
            <m:e>
              <m:r>
                <m:rPr>
                  <m:sty m:val="b"/>
                </m:rPr>
                <w:rPr>
                  <w:rFonts w:ascii="Cambria Math" w:hAnsi="Cambria Math"/>
                </w:rPr>
                <m:t>η</m:t>
              </m:r>
            </m:e>
            <m:sup>
              <m:r>
                <w:rPr>
                  <w:rFonts w:ascii="Cambria Math" w:hAnsi="Cambria Math"/>
                </w:rPr>
                <m:t>T</m:t>
              </m:r>
            </m:sup>
          </m:sSup>
          <m:r>
            <m:rPr>
              <m:sty m:val="b"/>
            </m:rPr>
            <w:rPr>
              <w:rFonts w:ascii="Cambria Math" w:hAnsi="Cambria Math"/>
            </w:rPr>
            <m:t>c</m:t>
          </m:r>
          <m:d>
            <m:dPr>
              <m:ctrlPr>
                <w:rPr>
                  <w:rFonts w:ascii="Cambria Math" w:hAnsi="Cambria Math"/>
                </w:rPr>
              </m:ctrlPr>
            </m:dPr>
            <m:e>
              <m:r>
                <w:rPr>
                  <w:rFonts w:ascii="Cambria Math" w:hAnsi="Cambria Math"/>
                </w:rPr>
                <m:t>θ</m:t>
              </m:r>
            </m:e>
          </m:d>
          <m:r>
            <m:rPr>
              <m:sty m:val="p"/>
            </m:rPr>
            <w:rPr>
              <w:rFonts w:ascii="Cambria Math" w:hAnsi="Cambria Math"/>
            </w:rPr>
            <m:t>+</m:t>
          </m:r>
          <m:f>
            <m:fPr>
              <m:ctrlPr>
                <w:rPr>
                  <w:rFonts w:ascii="Cambria Math" w:hAnsi="Cambria Math"/>
                </w:rPr>
              </m:ctrlPr>
            </m:fPr>
            <m:num>
              <m:r>
                <w:rPr>
                  <w:rFonts w:ascii="Cambria Math" w:hAnsi="Cambria Math"/>
                </w:rPr>
                <m:t>μ</m:t>
              </m:r>
            </m:num>
            <m:den>
              <m:r>
                <w:rPr>
                  <w:rFonts w:ascii="Cambria Math" w:hAnsi="Cambria Math"/>
                </w:rPr>
                <m:t>2</m:t>
              </m:r>
            </m:den>
          </m:f>
          <m:r>
            <m:rPr>
              <m:sty m:val="p"/>
            </m:rPr>
            <w:rPr>
              <w:rFonts w:ascii="Cambria Math" w:hAnsi="Cambria Math"/>
            </w:rPr>
            <m:t>∥</m:t>
          </m:r>
          <m:r>
            <m:rPr>
              <m:sty m:val="b"/>
            </m:rPr>
            <w:rPr>
              <w:rFonts w:ascii="Cambria Math" w:hAnsi="Cambria Math"/>
            </w:rPr>
            <m:t>c</m:t>
          </m:r>
          <m:d>
            <m:dPr>
              <m:ctrlPr>
                <w:rPr>
                  <w:rFonts w:ascii="Cambria Math" w:hAnsi="Cambria Math"/>
                </w:rPr>
              </m:ctrlPr>
            </m:dPr>
            <m:e>
              <m:r>
                <w:rPr>
                  <w:rFonts w:ascii="Cambria Math" w:hAnsi="Cambria Math"/>
                </w:rPr>
                <m:t>θ</m:t>
              </m:r>
            </m:e>
          </m:d>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r>
            <w:rPr>
              <w:rFonts w:ascii="Cambria Math" w:hAnsi="Cambria Math"/>
            </w:rPr>
            <m:t>  </m:t>
          </m:r>
          <m:d>
            <m:dPr>
              <m:ctrlPr>
                <w:rPr>
                  <w:rFonts w:ascii="Cambria Math" w:hAnsi="Cambria Math"/>
                </w:rPr>
              </m:ctrlPr>
            </m:dPr>
            <m:e>
              <m:r>
                <w:rPr>
                  <w:rFonts w:ascii="Cambria Math" w:hAnsi="Cambria Math"/>
                </w:rPr>
                <m:t>7</m:t>
              </m:r>
            </m:e>
          </m:d>
        </m:oMath>
      </m:oMathPara>
    </w:p>
    <w:p w14:paraId="0E05243D" w14:textId="77777777" w:rsidR="00507E7F" w:rsidRPr="00A96EC8" w:rsidRDefault="00000000" w:rsidP="00A96EC8">
      <w:r w:rsidRPr="00A96EC8">
        <w:t xml:space="preserve">where </w:t>
      </w:r>
      <m:oMath>
        <m:r>
          <w:rPr>
            <w:rFonts w:ascii="Cambria Math" w:hAnsi="Cambria Math"/>
          </w:rPr>
          <m:t>θ</m:t>
        </m:r>
      </m:oMath>
      <w:r w:rsidRPr="00A96EC8">
        <w:t xml:space="preserve"> are the model parameters, </w:t>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data</m:t>
            </m:r>
          </m:sub>
        </m:sSub>
      </m:oMath>
      <w:r w:rsidRPr="00A96EC8">
        <w:t xml:space="preserve"> the mean squared error of standardised predictions, </w:t>
      </w:r>
      <m:oMath>
        <m:r>
          <m:rPr>
            <m:sty m:val="b"/>
          </m:rPr>
          <w:rPr>
            <w:rFonts w:ascii="Cambria Math" w:hAnsi="Cambria Math"/>
          </w:rPr>
          <m:t>c</m:t>
        </m:r>
        <m:d>
          <m:dPr>
            <m:ctrlPr>
              <w:rPr>
                <w:rFonts w:ascii="Cambria Math" w:hAnsi="Cambria Math"/>
              </w:rPr>
            </m:ctrlPr>
          </m:dPr>
          <m:e>
            <m:r>
              <w:rPr>
                <w:rFonts w:ascii="Cambria Math" w:hAnsi="Cambria Math"/>
              </w:rPr>
              <m:t>θ</m:t>
            </m:r>
          </m:e>
        </m:d>
      </m:oMath>
      <w:r w:rsidRPr="00A96EC8">
        <w:t xml:space="preserve"> the residuals of Eq. (6) at the training and collocation inputs, </w:t>
      </w:r>
      <m:oMath>
        <m:r>
          <m:rPr>
            <m:sty m:val="b"/>
          </m:rPr>
          <w:rPr>
            <w:rFonts w:ascii="Cambria Math" w:hAnsi="Cambria Math"/>
          </w:rPr>
          <m:t>η</m:t>
        </m:r>
      </m:oMath>
      <w:r w:rsidRPr="00A96EC8">
        <w:t xml:space="preserve"> the multipliers and </w:t>
      </w:r>
      <m:oMath>
        <m:r>
          <w:rPr>
            <w:rFonts w:ascii="Cambria Math" w:hAnsi="Cambria Math"/>
          </w:rPr>
          <m:t>μ</m:t>
        </m:r>
      </m:oMath>
      <w:r w:rsidRPr="00A96EC8">
        <w:t xml:space="preserve"> the penalty parameter, updated after each outer iteration </w:t>
      </w:r>
      <m:oMath>
        <m:r>
          <w:rPr>
            <w:rFonts w:ascii="Cambria Math" w:hAnsi="Cambria Math"/>
          </w:rPr>
          <m:t>k</m:t>
        </m:r>
      </m:oMath>
      <w:r w:rsidRPr="00A96EC8">
        <w:t xml:space="preserve"> as</w:t>
      </w:r>
    </w:p>
    <w:p w14:paraId="764BE15E" w14:textId="77777777" w:rsidR="00507E7F" w:rsidRPr="00A96EC8" w:rsidRDefault="00000000" w:rsidP="00A96EC8">
      <m:oMathPara>
        <m:oMathParaPr>
          <m:jc m:val="center"/>
        </m:oMathParaPr>
        <m:oMath>
          <m:sSup>
            <m:sSupPr>
              <m:ctrlPr>
                <w:rPr>
                  <w:rFonts w:ascii="Cambria Math" w:hAnsi="Cambria Math"/>
                </w:rPr>
              </m:ctrlPr>
            </m:sSupPr>
            <m:e>
              <m:r>
                <m:rPr>
                  <m:sty m:val="b"/>
                </m:rPr>
                <w:rPr>
                  <w:rFonts w:ascii="Cambria Math" w:hAnsi="Cambria Math"/>
                </w:rPr>
                <m:t>η</m:t>
              </m:r>
            </m:e>
            <m:sup>
              <m:r>
                <w:rPr>
                  <w:rFonts w:ascii="Cambria Math" w:hAnsi="Cambria Math"/>
                </w:rPr>
                <m:t>k</m:t>
              </m:r>
              <m:r>
                <m:rPr>
                  <m:sty m:val="p"/>
                </m:rPr>
                <w:rPr>
                  <w:rFonts w:ascii="Cambria Math" w:hAnsi="Cambria Math"/>
                </w:rPr>
                <m:t>+</m:t>
              </m:r>
              <m:r>
                <w:rPr>
                  <w:rFonts w:ascii="Cambria Math" w:hAnsi="Cambria Math"/>
                </w:rPr>
                <m:t>1</m:t>
              </m:r>
            </m:sup>
          </m:sSup>
          <m:r>
            <m:rPr>
              <m:sty m:val="p"/>
            </m:rPr>
            <w:rPr>
              <w:rFonts w:ascii="Cambria Math" w:hAnsi="Cambria Math"/>
            </w:rPr>
            <m:t>=</m:t>
          </m:r>
          <m:sSup>
            <m:sSupPr>
              <m:ctrlPr>
                <w:rPr>
                  <w:rFonts w:ascii="Cambria Math" w:hAnsi="Cambria Math"/>
                </w:rPr>
              </m:ctrlPr>
            </m:sSupPr>
            <m:e>
              <m:r>
                <m:rPr>
                  <m:sty m:val="b"/>
                </m:rPr>
                <w:rPr>
                  <w:rFonts w:ascii="Cambria Math" w:hAnsi="Cambria Math"/>
                </w:rPr>
                <m:t>η</m:t>
              </m:r>
            </m:e>
            <m:sup>
              <m:r>
                <w:rPr>
                  <w:rFonts w:ascii="Cambria Math" w:hAnsi="Cambria Math"/>
                </w:rPr>
                <m:t>k</m:t>
              </m:r>
            </m:sup>
          </m:sSup>
          <m:r>
            <m:rPr>
              <m:sty m:val="p"/>
            </m:rPr>
            <w:rPr>
              <w:rFonts w:ascii="Cambria Math" w:hAnsi="Cambria Math"/>
            </w:rPr>
            <m:t>+</m:t>
          </m:r>
          <m:sSup>
            <m:sSupPr>
              <m:ctrlPr>
                <w:rPr>
                  <w:rFonts w:ascii="Cambria Math" w:hAnsi="Cambria Math"/>
                </w:rPr>
              </m:ctrlPr>
            </m:sSupPr>
            <m:e>
              <m:r>
                <w:rPr>
                  <w:rFonts w:ascii="Cambria Math" w:hAnsi="Cambria Math"/>
                </w:rPr>
                <m:t>μ</m:t>
              </m:r>
            </m:e>
            <m:sup>
              <m:r>
                <w:rPr>
                  <w:rFonts w:ascii="Cambria Math" w:hAnsi="Cambria Math"/>
                </w:rPr>
                <m:t>k</m:t>
              </m:r>
            </m:sup>
          </m:sSup>
          <m:r>
            <m:rPr>
              <m:sty m:val="b"/>
            </m:rPr>
            <w:rPr>
              <w:rFonts w:ascii="Cambria Math" w:hAnsi="Cambria Math"/>
            </w:rPr>
            <m:t>c</m:t>
          </m:r>
          <m:d>
            <m:dPr>
              <m:ctrlPr>
                <w:rPr>
                  <w:rFonts w:ascii="Cambria Math" w:hAnsi="Cambria Math"/>
                </w:rPr>
              </m:ctrlPr>
            </m:dPr>
            <m:e>
              <m:sSup>
                <m:sSupPr>
                  <m:ctrlPr>
                    <w:rPr>
                      <w:rFonts w:ascii="Cambria Math" w:hAnsi="Cambria Math"/>
                    </w:rPr>
                  </m:ctrlPr>
                </m:sSupPr>
                <m:e>
                  <m:r>
                    <w:rPr>
                      <w:rFonts w:ascii="Cambria Math" w:hAnsi="Cambria Math"/>
                    </w:rPr>
                    <m:t>θ</m:t>
                  </m:r>
                </m:e>
                <m:sup>
                  <m:r>
                    <w:rPr>
                      <w:rFonts w:ascii="Cambria Math" w:hAnsi="Cambria Math"/>
                    </w:rPr>
                    <m:t>k</m:t>
                  </m:r>
                </m:sup>
              </m:sSup>
            </m:e>
          </m:d>
          <m:r>
            <m:rPr>
              <m:sty m:val="p"/>
            </m:rPr>
            <w:rPr>
              <w:rFonts w:ascii="Cambria Math" w:hAnsi="Cambria Math"/>
            </w:rPr>
            <m:t>,</m:t>
          </m:r>
          <m:r>
            <w:rPr>
              <w:rFonts w:ascii="Cambria Math" w:hAnsi="Cambria Math"/>
            </w:rPr>
            <m:t>  </m:t>
          </m:r>
          <m:sSup>
            <m:sSupPr>
              <m:ctrlPr>
                <w:rPr>
                  <w:rFonts w:ascii="Cambria Math" w:hAnsi="Cambria Math"/>
                </w:rPr>
              </m:ctrlPr>
            </m:sSupPr>
            <m:e>
              <m:r>
                <w:rPr>
                  <w:rFonts w:ascii="Cambria Math" w:hAnsi="Cambria Math"/>
                </w:rPr>
                <m:t>μ</m:t>
              </m:r>
            </m:e>
            <m:sup>
              <m:r>
                <w:rPr>
                  <w:rFonts w:ascii="Cambria Math" w:hAnsi="Cambria Math"/>
                </w:rPr>
                <m:t>k</m:t>
              </m:r>
              <m:r>
                <m:rPr>
                  <m:sty m:val="p"/>
                </m:rPr>
                <w:rPr>
                  <w:rFonts w:ascii="Cambria Math" w:hAnsi="Cambria Math"/>
                </w:rPr>
                <m:t>+</m:t>
              </m:r>
              <m:r>
                <w:rPr>
                  <w:rFonts w:ascii="Cambria Math" w:hAnsi="Cambria Math"/>
                </w:rPr>
                <m:t>1</m:t>
              </m:r>
            </m:sup>
          </m:sSup>
          <m:r>
            <m:rPr>
              <m:sty m:val="p"/>
            </m:rPr>
            <w:rPr>
              <w:rFonts w:ascii="Cambria Math" w:hAnsi="Cambria Math"/>
            </w:rPr>
            <m:t>=min</m:t>
          </m:r>
          <m:d>
            <m:dPr>
              <m:ctrlPr>
                <w:rPr>
                  <w:rFonts w:ascii="Cambria Math" w:hAnsi="Cambria Math"/>
                </w:rPr>
              </m:ctrlPr>
            </m:dPr>
            <m:e>
              <m:r>
                <w:rPr>
                  <w:rFonts w:ascii="Cambria Math" w:hAnsi="Cambria Math"/>
                </w:rPr>
                <m:t>ρ</m:t>
              </m:r>
              <m:sSup>
                <m:sSupPr>
                  <m:ctrlPr>
                    <w:rPr>
                      <w:rFonts w:ascii="Cambria Math" w:hAnsi="Cambria Math"/>
                    </w:rPr>
                  </m:ctrlPr>
                </m:sSupPr>
                <m:e>
                  <m:r>
                    <w:rPr>
                      <w:rFonts w:ascii="Cambria Math" w:hAnsi="Cambria Math"/>
                    </w:rPr>
                    <m:t>μ</m:t>
                  </m:r>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max</m:t>
                  </m:r>
                </m:sub>
              </m:sSub>
            </m:e>
          </m:d>
          <m:r>
            <w:rPr>
              <w:rFonts w:ascii="Cambria Math" w:hAnsi="Cambria Math"/>
            </w:rPr>
            <m:t>  </m:t>
          </m:r>
          <m:d>
            <m:dPr>
              <m:ctrlPr>
                <w:rPr>
                  <w:rFonts w:ascii="Cambria Math" w:hAnsi="Cambria Math"/>
                </w:rPr>
              </m:ctrlPr>
            </m:dPr>
            <m:e>
              <m:r>
                <w:rPr>
                  <w:rFonts w:ascii="Cambria Math" w:hAnsi="Cambria Math"/>
                </w:rPr>
                <m:t>8</m:t>
              </m:r>
            </m:e>
          </m:d>
        </m:oMath>
      </m:oMathPara>
    </w:p>
    <w:p w14:paraId="5811CF9A" w14:textId="77777777" w:rsidR="00507E7F" w:rsidRPr="00A96EC8" w:rsidRDefault="00000000" w:rsidP="00A96EC8">
      <w:r w:rsidRPr="00A96EC8">
        <w:t xml:space="preserve">with </w:t>
      </w:r>
      <m:oMath>
        <m:r>
          <w:rPr>
            <w:rFonts w:ascii="Cambria Math" w:hAnsi="Cambria Math"/>
          </w:rPr>
          <m:t>ρ</m:t>
        </m:r>
        <m:r>
          <m:rPr>
            <m:sty m:val="p"/>
          </m:rPr>
          <w:rPr>
            <w:rFonts w:ascii="Cambria Math" w:hAnsi="Cambria Math"/>
          </w:rPr>
          <m:t>=</m:t>
        </m:r>
        <m:r>
          <w:rPr>
            <w:rFonts w:ascii="Cambria Math" w:hAnsi="Cambria Math"/>
          </w:rPr>
          <m:t>1.6</m:t>
        </m:r>
      </m:oMath>
      <w:r w:rsidRPr="00A96EC8">
        <w:t xml:space="preserve">. </w:t>
      </w:r>
      <w:r w:rsidRPr="00A96EC8">
        <w:rPr>
          <w:rStyle w:val="Rev"/>
          <w:highlight w:val="yellow"/>
        </w:rPr>
        <w:t>For the GP the residual is linear in the predictions, so each outer iteration is a linear system; by the representer theorem the expansion is extended to the collocation inputs, without which the constraint can only be satisfied by distorting the fit. For the network, Eq. (7) is minimised with Adam (Kingma and Ba, 2015).</w:t>
      </w:r>
      <w:r w:rsidRPr="00A96EC8">
        <w:t xml:space="preserve"> Figure 1 shows the kernel, the constrained architecture and the training behaviour.</w:t>
      </w:r>
    </w:p>
    <w:p w14:paraId="3E563BE9" w14:textId="77777777" w:rsidR="00507E7F" w:rsidRPr="00A96EC8" w:rsidRDefault="00000000" w:rsidP="00A96EC8">
      <w:r w:rsidRPr="00A96EC8">
        <w:rPr>
          <w:noProof/>
        </w:rPr>
        <w:lastRenderedPageBreak/>
        <w:drawing>
          <wp:inline distT="0" distB="0" distL="0" distR="0" wp14:anchorId="19CB1C12" wp14:editId="2000A98B">
            <wp:extent cx="5669280" cy="4251960"/>
            <wp:effectExtent l="0" t="0" r="0" b="0"/>
            <wp:docPr id="27" name="Picture" descr="Figure 1. Surrogate models and training: (a) Matérn-5/2 kernel at three length scales; (b) constrained network with the output layer of Eq. (5); (c) data and physics losses during network training; (d) penalty parameter and constraint violation over augmented-Lagrangian iterations."/>
            <wp:cNvGraphicFramePr/>
            <a:graphic xmlns:a="http://schemas.openxmlformats.org/drawingml/2006/main">
              <a:graphicData uri="http://schemas.openxmlformats.org/drawingml/2006/picture">
                <pic:pic xmlns:pic="http://schemas.openxmlformats.org/drawingml/2006/picture">
                  <pic:nvPicPr>
                    <pic:cNvPr id="28" name="Picture" descr="media/fig1.png"/>
                    <pic:cNvPicPr>
                      <a:picLocks noChangeAspect="1" noChangeArrowheads="1"/>
                    </pic:cNvPicPr>
                  </pic:nvPicPr>
                  <pic:blipFill>
                    <a:blip r:embed="rId7"/>
                    <a:stretch>
                      <a:fillRect/>
                    </a:stretch>
                  </pic:blipFill>
                  <pic:spPr bwMode="auto">
                    <a:xfrm>
                      <a:off x="0" y="0"/>
                      <a:ext cx="5669280" cy="4251960"/>
                    </a:xfrm>
                    <a:prstGeom prst="rect">
                      <a:avLst/>
                    </a:prstGeom>
                    <a:noFill/>
                    <a:ln w="9525">
                      <a:noFill/>
                      <a:headEnd/>
                      <a:tailEnd/>
                    </a:ln>
                  </pic:spPr>
                </pic:pic>
              </a:graphicData>
            </a:graphic>
          </wp:inline>
        </w:drawing>
      </w:r>
    </w:p>
    <w:p w14:paraId="0D4521E1" w14:textId="77777777" w:rsidR="00507E7F" w:rsidRPr="00A96EC8" w:rsidRDefault="00000000" w:rsidP="00A96EC8">
      <w:r w:rsidRPr="00A96EC8">
        <w:rPr>
          <w:b/>
          <w:bCs/>
        </w:rPr>
        <w:t>Figure 1.</w:t>
      </w:r>
      <w:r w:rsidRPr="00A96EC8">
        <w:t xml:space="preserve"> Surrogate models and training: (a) Matérn-5/2 kernel at three length scales; (b) constrained network with the output layer of Eq. (5); (c) data and physics losses during network training; (d) penalty parameter and constraint violation over augmented-Lagrangian iterations.</w:t>
      </w:r>
    </w:p>
    <w:p w14:paraId="30316C1D" w14:textId="77777777" w:rsidR="00507E7F" w:rsidRPr="00A96EC8" w:rsidRDefault="00000000" w:rsidP="00A96EC8">
      <w:pPr>
        <w:pStyle w:val="Heading2"/>
      </w:pPr>
      <w:bookmarkStart w:id="8" w:name="exergy-balance-validator"/>
      <w:bookmarkEnd w:id="7"/>
      <w:r w:rsidRPr="00A96EC8">
        <w:t>2.4 Exergy-balance validator</w:t>
      </w:r>
    </w:p>
    <w:p w14:paraId="730D50ED" w14:textId="77777777" w:rsidR="00507E7F" w:rsidRPr="00A96EC8" w:rsidRDefault="00000000" w:rsidP="00A96EC8">
      <w:r w:rsidRPr="00A96EC8">
        <w:rPr>
          <w:rStyle w:val="Rev"/>
          <w:highlight w:val="yellow"/>
        </w:rPr>
        <w:t xml:space="preserve">Each prediction is accepted only if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B</m:t>
                </m:r>
              </m:sub>
            </m:sSub>
          </m:e>
        </m:d>
        <m:r>
          <m:rPr>
            <m:sty m:val="p"/>
          </m:rPr>
          <w:rPr>
            <w:rFonts w:ascii="Cambria Math" w:hAnsi="Cambria Math"/>
          </w:rPr>
          <m:t>≤</m:t>
        </m:r>
        <m:r>
          <w:rPr>
            <w:rFonts w:ascii="Cambria Math" w:hAnsi="Cambria Math"/>
          </w:rPr>
          <m:t>ε</m:t>
        </m:r>
      </m:oMath>
      <w:r w:rsidRPr="00A96EC8">
        <w:rPr>
          <w:rStyle w:val="Rev"/>
          <w:highlight w:val="yellow"/>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D</m:t>
            </m:r>
          </m:sub>
        </m:sSub>
        <m:r>
          <m:rPr>
            <m:sty m:val="p"/>
          </m:rPr>
          <w:rPr>
            <w:rFonts w:ascii="Cambria Math" w:hAnsi="Cambria Math"/>
          </w:rPr>
          <m:t>≥</m:t>
        </m:r>
        <m:r>
          <w:rPr>
            <w:rFonts w:ascii="Cambria Math" w:hAnsi="Cambria Math"/>
          </w:rPr>
          <m:t>0</m:t>
        </m:r>
      </m:oMath>
      <w:r w:rsidRPr="00A96EC8">
        <w:rPr>
          <w:rStyle w:val="Rev"/>
          <w:highlight w:val="yellow"/>
        </w:rPr>
        <w:t xml:space="preserve"> and </w:t>
      </w:r>
      <m:oMath>
        <m:sSub>
          <m:sSubPr>
            <m:ctrlPr>
              <w:rPr>
                <w:rFonts w:ascii="Cambria Math" w:hAnsi="Cambria Math"/>
              </w:rPr>
            </m:ctrlPr>
          </m:sSubPr>
          <m:e>
            <m:acc>
              <m:accPr>
                <m:ctrlPr>
                  <w:rPr>
                    <w:rFonts w:ascii="Cambria Math" w:hAnsi="Cambria Math"/>
                  </w:rPr>
                </m:ctrlPr>
              </m:accPr>
              <m:e>
                <m:r>
                  <w:rPr>
                    <w:rFonts w:ascii="Cambria Math" w:hAnsi="Cambria Math"/>
                  </w:rPr>
                  <m:t>B</m:t>
                </m:r>
              </m:e>
            </m:acc>
          </m:e>
          <m:sub>
            <m:r>
              <w:rPr>
                <w:rFonts w:ascii="Cambria Math" w:hAnsi="Cambria Math"/>
              </w:rPr>
              <m:t>P</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0</m:t>
        </m:r>
      </m:oMath>
      <w:r w:rsidRPr="00A96EC8">
        <w:rPr>
          <w:rStyle w:val="Rev"/>
          <w:highlight w:val="yellow"/>
        </w:rPr>
        <w:t xml:space="preserve">; the tolerance is </w:t>
      </w:r>
      <m:oMath>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rsidRPr="00A96EC8">
        <w:rPr>
          <w:rStyle w:val="Rev"/>
          <w:highlight w:val="yellow"/>
        </w:rPr>
        <w:t xml:space="preserve"> and the last two conditions hold automatically for the constrained network. A rejected prediction is replaced by a reference-model evaluation at the same input, which is added to the training set, so the rejection rate and the fallback rate are one quantity. Retraining is triggered when the mean of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B</m:t>
                </m:r>
              </m:sub>
            </m:sSub>
          </m:e>
        </m:d>
      </m:oMath>
      <w:r w:rsidRPr="00A96EC8">
        <w:rPr>
          <w:rStyle w:val="Rev"/>
          <w:highlight w:val="yellow"/>
        </w:rPr>
        <w:t xml:space="preserve"> over a sliding window exceeds </w:t>
      </w:r>
      <m:oMath>
        <m:r>
          <w:rPr>
            <w:rFonts w:ascii="Cambria Math" w:hAnsi="Cambria Math"/>
          </w:rPr>
          <m:t>κε</m:t>
        </m:r>
      </m:oMath>
      <w:r w:rsidRPr="00A96EC8">
        <w:rPr>
          <w:rStyle w:val="Rev"/>
          <w:highlight w:val="yellow"/>
        </w:rPr>
        <w:t xml:space="preserve">, with </w:t>
      </w:r>
      <m:oMath>
        <m:r>
          <w:rPr>
            <w:rFonts w:ascii="Cambria Math" w:hAnsi="Cambria Math"/>
          </w:rPr>
          <m:t>κ</m:t>
        </m:r>
      </m:oMath>
      <w:r w:rsidRPr="00A96EC8">
        <w:rPr>
          <w:rStyle w:val="Rev"/>
          <w:highlight w:val="yellow"/>
        </w:rPr>
        <w:t xml:space="preserve"> between 2 and 5.</w:t>
      </w:r>
    </w:p>
    <w:p w14:paraId="60E67D5F" w14:textId="77777777" w:rsidR="00507E7F" w:rsidRPr="00A96EC8" w:rsidRDefault="00000000" w:rsidP="00A96EC8">
      <w:r w:rsidRPr="00A96EC8">
        <w:rPr>
          <w:rStyle w:val="Rev"/>
          <w:highlight w:val="yellow"/>
        </w:rPr>
        <w:t>The multiplicative output correction used in the earlier version of this framework has been removed. Scaling all co-product exergies by a common factor leaves the allocation factors of Eq. (3) unchanged, so it enforced closure numerically without altering the allocation or establishing validity.</w:t>
      </w:r>
    </w:p>
    <w:p w14:paraId="0564874C" w14:textId="77777777" w:rsidR="00507E7F" w:rsidRPr="00A96EC8" w:rsidRDefault="00000000" w:rsidP="00A96EC8">
      <w:pPr>
        <w:pStyle w:val="Heading2"/>
      </w:pPr>
      <w:bookmarkStart w:id="9" w:name="sampling-strategy"/>
      <w:bookmarkEnd w:id="8"/>
      <w:r w:rsidRPr="00A96EC8">
        <w:t>2.5 Sampling strategy</w:t>
      </w:r>
    </w:p>
    <w:p w14:paraId="7CA723A8" w14:textId="77777777" w:rsidR="00507E7F" w:rsidRPr="00A96EC8" w:rsidRDefault="00000000" w:rsidP="00A96EC8">
      <w:r w:rsidRPr="00A96EC8">
        <w:t xml:space="preserve">Training inputs are drawn by Latin hypercube sampling (McKay et al., 1979); collocation inputs for Eq. (6) come from a Sobol’ sequence (Sobol’, 1967). The relative importance of input </w:t>
      </w:r>
      <m:oMath>
        <m:r>
          <w:rPr>
            <w:rFonts w:ascii="Cambria Math" w:hAnsi="Cambria Math"/>
          </w:rPr>
          <m:t>p</m:t>
        </m:r>
      </m:oMath>
      <w:r w:rsidRPr="00A96EC8">
        <w:t xml:space="preserve"> is scored as</w:t>
      </w:r>
    </w:p>
    <w:p w14:paraId="330FD4F3" w14:textId="77777777" w:rsidR="00507E7F" w:rsidRPr="00A96EC8" w:rsidRDefault="00000000" w:rsidP="00A96EC8">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p</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p</m:t>
                      </m:r>
                    </m:sub>
                  </m:sSub>
                </m:den>
              </m:f>
            </m:e>
          </m:d>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p</m:t>
                  </m:r>
                </m:sub>
              </m:sSub>
            </m:num>
            <m:den>
              <m:sSub>
                <m:sSubPr>
                  <m:ctrlPr>
                    <w:rPr>
                      <w:rFonts w:ascii="Cambria Math" w:hAnsi="Cambria Math"/>
                    </w:rPr>
                  </m:ctrlPr>
                </m:sSubPr>
                <m:e>
                  <m:r>
                    <w:rPr>
                      <w:rFonts w:ascii="Cambria Math" w:hAnsi="Cambria Math"/>
                    </w:rPr>
                    <m:t>μ</m:t>
                  </m:r>
                </m:e>
                <m:sub>
                  <m:r>
                    <w:rPr>
                      <w:rFonts w:ascii="Cambria Math" w:hAnsi="Cambria Math"/>
                    </w:rPr>
                    <m:t>p</m:t>
                  </m:r>
                </m:sub>
              </m:sSub>
            </m:den>
          </m:f>
          <m:r>
            <w:rPr>
              <w:rFonts w:ascii="Cambria Math" w:hAnsi="Cambria Math"/>
            </w:rPr>
            <m:t>  </m:t>
          </m:r>
          <m:d>
            <m:dPr>
              <m:ctrlPr>
                <w:rPr>
                  <w:rFonts w:ascii="Cambria Math" w:hAnsi="Cambria Math"/>
                </w:rPr>
              </m:ctrlPr>
            </m:dPr>
            <m:e>
              <m:r>
                <w:rPr>
                  <w:rFonts w:ascii="Cambria Math" w:hAnsi="Cambria Math"/>
                </w:rPr>
                <m:t>9</m:t>
              </m:r>
            </m:e>
          </m:d>
        </m:oMath>
      </m:oMathPara>
    </w:p>
    <w:p w14:paraId="01693DEE" w14:textId="77777777" w:rsidR="00507E7F" w:rsidRPr="00A96EC8" w:rsidRDefault="00000000" w:rsidP="00A96EC8">
      <w:r w:rsidRPr="00A96EC8">
        <w:t xml:space="preserve">where </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A96EC8">
        <w:t xml:space="preserve"> is an allocation factor and </w:t>
      </w:r>
      <m:oMath>
        <m:sSub>
          <m:sSubPr>
            <m:ctrlPr>
              <w:rPr>
                <w:rFonts w:ascii="Cambria Math" w:hAnsi="Cambria Math"/>
              </w:rPr>
            </m:ctrlPr>
          </m:sSubPr>
          <m:e>
            <m:r>
              <w:rPr>
                <w:rFonts w:ascii="Cambria Math" w:hAnsi="Cambria Math"/>
              </w:rPr>
              <m:t>μ</m:t>
            </m:r>
          </m:e>
          <m:sub>
            <m:r>
              <w:rPr>
                <w:rFonts w:ascii="Cambria Math" w:hAnsi="Cambria Math"/>
              </w:rPr>
              <m:t>p</m:t>
            </m:r>
          </m:sub>
        </m:sSub>
      </m:oMath>
      <w:r w:rsidRPr="00A96EC8">
        <w:t xml:space="preserve">, </w:t>
      </w:r>
      <m:oMath>
        <m:sSub>
          <m:sSubPr>
            <m:ctrlPr>
              <w:rPr>
                <w:rFonts w:ascii="Cambria Math" w:hAnsi="Cambria Math"/>
              </w:rPr>
            </m:ctrlPr>
          </m:sSubPr>
          <m:e>
            <m:r>
              <w:rPr>
                <w:rFonts w:ascii="Cambria Math" w:hAnsi="Cambria Math"/>
              </w:rPr>
              <m:t>σ</m:t>
            </m:r>
          </m:e>
          <m:sub>
            <m:r>
              <w:rPr>
                <w:rFonts w:ascii="Cambria Math" w:hAnsi="Cambria Math"/>
              </w:rPr>
              <m:t>p</m:t>
            </m:r>
          </m:sub>
        </m:sSub>
      </m:oMath>
      <w:r w:rsidRPr="00A96EC8">
        <w:t xml:space="preserve"> are the mean and standard deviation of </w:t>
      </w:r>
      <m:oMath>
        <m:sSub>
          <m:sSubPr>
            <m:ctrlPr>
              <w:rPr>
                <w:rFonts w:ascii="Cambria Math" w:hAnsi="Cambria Math"/>
              </w:rPr>
            </m:ctrlPr>
          </m:sSubPr>
          <m:e>
            <m:r>
              <w:rPr>
                <w:rFonts w:ascii="Cambria Math" w:hAnsi="Cambria Math"/>
              </w:rPr>
              <m:t>x</m:t>
            </m:r>
          </m:e>
          <m:sub>
            <m:r>
              <w:rPr>
                <w:rFonts w:ascii="Cambria Math" w:hAnsi="Cambria Math"/>
              </w:rPr>
              <m:t>p</m:t>
            </m:r>
          </m:sub>
        </m:sSub>
      </m:oMath>
      <w:r w:rsidRPr="00A96EC8">
        <w:t xml:space="preserve">, with derivatives estimated by finite differences at the nominal point. </w:t>
      </w:r>
      <w:r w:rsidRPr="00A96EC8">
        <w:rPr>
          <w:rStyle w:val="Rev"/>
          <w:highlight w:val="yellow"/>
        </w:rPr>
        <w:t xml:space="preserve">An adaptive alternative was </w:t>
      </w:r>
      <w:r w:rsidRPr="00A96EC8">
        <w:rPr>
          <w:rStyle w:val="Rev"/>
          <w:highlight w:val="yellow"/>
        </w:rPr>
        <w:lastRenderedPageBreak/>
        <w:t>also tested, in which batches are added where the GP predictive standard deviation is largest, with batch size proportional to that maximum (Figure 2c).</w:t>
      </w:r>
    </w:p>
    <w:p w14:paraId="3D798A29" w14:textId="77777777" w:rsidR="00507E7F" w:rsidRPr="00A96EC8" w:rsidRDefault="00000000" w:rsidP="00A96EC8">
      <w:r w:rsidRPr="00A96EC8">
        <w:rPr>
          <w:noProof/>
        </w:rPr>
        <w:drawing>
          <wp:inline distT="0" distB="0" distL="0" distR="0" wp14:anchorId="54750C84" wp14:editId="296E07AF">
            <wp:extent cx="5669280" cy="4251960"/>
            <wp:effectExtent l="0" t="0" r="0" b="0"/>
            <wp:docPr id="32" name="Picture" descr="Figure 2. Sampling of the input space: (a) Latin hypercube versus random design; (b) importance scores of Eq. (9); (c) adaptive batch size and predictive uncertainty; (d) accuracy of adaptive against space-filling designs at equal budget."/>
            <wp:cNvGraphicFramePr/>
            <a:graphic xmlns:a="http://schemas.openxmlformats.org/drawingml/2006/main">
              <a:graphicData uri="http://schemas.openxmlformats.org/drawingml/2006/picture">
                <pic:pic xmlns:pic="http://schemas.openxmlformats.org/drawingml/2006/picture">
                  <pic:nvPicPr>
                    <pic:cNvPr id="33" name="Picture" descr="media/fig2.png"/>
                    <pic:cNvPicPr>
                      <a:picLocks noChangeAspect="1" noChangeArrowheads="1"/>
                    </pic:cNvPicPr>
                  </pic:nvPicPr>
                  <pic:blipFill>
                    <a:blip r:embed="rId8"/>
                    <a:stretch>
                      <a:fillRect/>
                    </a:stretch>
                  </pic:blipFill>
                  <pic:spPr bwMode="auto">
                    <a:xfrm>
                      <a:off x="0" y="0"/>
                      <a:ext cx="5669280" cy="4251960"/>
                    </a:xfrm>
                    <a:prstGeom prst="rect">
                      <a:avLst/>
                    </a:prstGeom>
                    <a:noFill/>
                    <a:ln w="9525">
                      <a:noFill/>
                      <a:headEnd/>
                      <a:tailEnd/>
                    </a:ln>
                  </pic:spPr>
                </pic:pic>
              </a:graphicData>
            </a:graphic>
          </wp:inline>
        </w:drawing>
      </w:r>
    </w:p>
    <w:p w14:paraId="7AB6114C" w14:textId="77777777" w:rsidR="00507E7F" w:rsidRPr="00A96EC8" w:rsidRDefault="00000000" w:rsidP="00A96EC8">
      <w:r w:rsidRPr="00A96EC8">
        <w:rPr>
          <w:b/>
          <w:bCs/>
        </w:rPr>
        <w:t>Figure 2.</w:t>
      </w:r>
      <w:r w:rsidRPr="00A96EC8">
        <w:t xml:space="preserve"> Sampling of the input space: (a) Latin hypercube versus random design; (b) importance scores of Eq. (9); (c) adaptive batch size and predictive uncertainty; (d) accuracy of adaptive against space-filling designs at equal budget.</w:t>
      </w:r>
    </w:p>
    <w:p w14:paraId="35C28413" w14:textId="77777777" w:rsidR="00507E7F" w:rsidRPr="00A96EC8" w:rsidRDefault="00000000" w:rsidP="00A96EC8">
      <w:pPr>
        <w:pStyle w:val="Heading2"/>
      </w:pPr>
      <w:bookmarkStart w:id="10" w:name="validation-protocol"/>
      <w:bookmarkEnd w:id="9"/>
      <w:r w:rsidRPr="00A96EC8">
        <w:t>2.6 Validation protocol</w:t>
      </w:r>
    </w:p>
    <w:p w14:paraId="0251A34C" w14:textId="77777777" w:rsidR="00507E7F" w:rsidRPr="00A96EC8" w:rsidRDefault="00000000" w:rsidP="00A96EC8">
      <w:r w:rsidRPr="00A96EC8">
        <w:rPr>
          <w:rStyle w:val="Rev"/>
          <w:highlight w:val="yellow"/>
        </w:rPr>
        <w:t xml:space="preserve">Five variants were compared on identical training, collocation and test sets: physics-informed GP (GP-PI), unconstrained GP (GP-plain), network with hard closure (NN-hard), network with the training penalty only (NN-soft), and unconstrained network (NN-plain). The whole procedure was repeated eight times with different random seeds, and accuracy is reported as the mean with a 95% confidence interval over repetitions. Errors are given in percentage points of the allocation factor. Marginal distributions of </w:t>
      </w:r>
      <m:oMath>
        <m:sSub>
          <m:sSubPr>
            <m:ctrlPr>
              <w:rPr>
                <w:rFonts w:ascii="Cambria Math" w:hAnsi="Cambria Math"/>
              </w:rPr>
            </m:ctrlPr>
          </m:sSubPr>
          <m:e>
            <m:r>
              <w:rPr>
                <w:rFonts w:ascii="Cambria Math" w:hAnsi="Cambria Math"/>
              </w:rPr>
              <m:t>λ</m:t>
            </m:r>
          </m:e>
          <m:sub>
            <m:r>
              <w:rPr>
                <w:rFonts w:ascii="Cambria Math" w:hAnsi="Cambria Math"/>
              </w:rPr>
              <m:t>j</m:t>
            </m:r>
          </m:sub>
        </m:sSub>
      </m:oMath>
      <w:r w:rsidRPr="00A96EC8">
        <w:rPr>
          <w:rStyle w:val="Rev"/>
          <w:highlight w:val="yellow"/>
        </w:rPr>
        <w:t xml:space="preserve"> from 10,000 surrogate predictions were compared with the 10,000-sample Monte Carlo analysis using the two-sample Kolmogorov–Smirnov test at the 5% level (Massey, 1951), and correlations with 95% bootstrap intervals from 2,000 resamples (Efron, 1979). Sobol’ indices were estimated with the Saltelli et al. (2010) design.</w:t>
      </w:r>
    </w:p>
    <w:p w14:paraId="10F25EA6" w14:textId="77777777" w:rsidR="00507E7F" w:rsidRPr="00A96EC8" w:rsidRDefault="00000000" w:rsidP="00A96EC8">
      <w:pPr>
        <w:pStyle w:val="Heading1"/>
        <w:rPr>
          <w:sz w:val="24"/>
          <w:szCs w:val="24"/>
        </w:rPr>
      </w:pPr>
      <w:bookmarkStart w:id="11" w:name="X455b46c2b4534f9d4f6bc4528e7e04b7efc6b76"/>
      <w:bookmarkEnd w:id="4"/>
      <w:bookmarkEnd w:id="10"/>
      <w:r w:rsidRPr="00A96EC8">
        <w:rPr>
          <w:sz w:val="24"/>
          <w:szCs w:val="24"/>
        </w:rPr>
        <w:t>3 Case study: municipal waste-to-energy benchmark</w:t>
      </w:r>
    </w:p>
    <w:p w14:paraId="3D25B716" w14:textId="77777777" w:rsidR="00507E7F" w:rsidRPr="00A96EC8" w:rsidRDefault="00000000" w:rsidP="00A96EC8">
      <w:pPr>
        <w:pStyle w:val="Heading2"/>
      </w:pPr>
      <w:bookmarkStart w:id="12" w:name="plant-and-exergy-model"/>
      <w:r w:rsidRPr="00A96EC8">
        <w:t>3.1 Plant and exergy model</w:t>
      </w:r>
    </w:p>
    <w:p w14:paraId="6AED9AFC" w14:textId="77777777" w:rsidR="00507E7F" w:rsidRPr="00A96EC8" w:rsidRDefault="00000000" w:rsidP="00A96EC8">
      <w:r w:rsidRPr="00A96EC8">
        <w:rPr>
          <w:rStyle w:val="Rev"/>
          <w:highlight w:val="yellow"/>
        </w:rPr>
        <w:t xml:space="preserve">The case study is a reduced-order but complete reference model of a mass-burn WtE plant treating 500 t/day (5.79 kg/s) of municipal solid waste, with a steam cycle supplying electricity and district heat. It is a documented benchmark built from representative composition and operating data rather than measurements from a particular facility, and the full implementation </w:t>
      </w:r>
      <w:r w:rsidRPr="00A96EC8">
        <w:rPr>
          <w:rStyle w:val="Rev"/>
          <w:highlight w:val="yellow"/>
        </w:rPr>
        <w:lastRenderedPageBreak/>
        <w:t>is released so that every result can be reproduced.</w:t>
      </w:r>
      <w:r w:rsidRPr="00A96EC8">
        <w:t xml:space="preserve"> The boundary covers waste reception, grate combustion, boiler, steam turbine, district-heating heat exchangers and stack. The co-products are net electricity, district heat and bottom ash; the losses are stack gas, casing losses and rejected condenser heat.</w:t>
      </w:r>
    </w:p>
    <w:p w14:paraId="385FA724" w14:textId="77777777" w:rsidR="00507E7F" w:rsidRPr="00A96EC8" w:rsidRDefault="00000000" w:rsidP="00A96EC8">
      <w:r w:rsidRPr="00A96EC8">
        <w:t xml:space="preserve">The reference environment is </w:t>
      </w:r>
      <m:oMath>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r>
          <w:rPr>
            <w:rFonts w:ascii="Cambria Math" w:hAnsi="Cambria Math"/>
          </w:rPr>
          <m:t>298.15</m:t>
        </m:r>
      </m:oMath>
      <w:r w:rsidRPr="00A96EC8">
        <w:t xml:space="preserve"> K and </w:t>
      </w:r>
      <m:oMath>
        <m:sSub>
          <m:sSubPr>
            <m:ctrlPr>
              <w:rPr>
                <w:rFonts w:ascii="Cambria Math" w:hAnsi="Cambria Math"/>
              </w:rPr>
            </m:ctrlPr>
          </m:sSubPr>
          <m:e>
            <m:r>
              <w:rPr>
                <w:rFonts w:ascii="Cambria Math" w:hAnsi="Cambria Math"/>
              </w:rPr>
              <m:t>P</m:t>
            </m:r>
          </m:e>
          <m:sub>
            <m:r>
              <w:rPr>
                <w:rFonts w:ascii="Cambria Math" w:hAnsi="Cambria Math"/>
              </w:rPr>
              <m:t>0</m:t>
            </m:r>
          </m:sub>
        </m:sSub>
        <m:r>
          <m:rPr>
            <m:sty m:val="p"/>
          </m:rPr>
          <w:rPr>
            <w:rFonts w:ascii="Cambria Math" w:hAnsi="Cambria Math"/>
          </w:rPr>
          <m:t>=</m:t>
        </m:r>
        <m:r>
          <w:rPr>
            <w:rFonts w:ascii="Cambria Math" w:hAnsi="Cambria Math"/>
          </w:rPr>
          <m:t>101.325</m:t>
        </m:r>
      </m:oMath>
      <w:r w:rsidRPr="00A96EC8">
        <w:t xml:space="preserve"> kPa with standard chemical exergies from Szargut et al. (1988). The chemical exergy of each of the twelve waste categories is its lower heating value multiplied by a category-specific factor </w:t>
      </w:r>
      <m:oMath>
        <m:r>
          <w:rPr>
            <w:rFonts w:ascii="Cambria Math" w:hAnsi="Cambria Math"/>
          </w:rPr>
          <m:t>β</m:t>
        </m:r>
      </m:oMath>
      <w:r w:rsidRPr="00A96EC8">
        <w:t xml:space="preserve"> between 1.06 and 1.25 for combustible fractions and zero for glass and metals (Supplementary Table S2). The exergy of electricity equals the net electrical output; the exergy of district heat is </w:t>
      </w:r>
      <m:oMath>
        <m:r>
          <w:rPr>
            <w:rFonts w:ascii="Cambria Math" w:hAnsi="Cambria Math"/>
          </w:rPr>
          <m:t>Q</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lm</m:t>
                </m:r>
              </m:sub>
            </m:sSub>
          </m:e>
        </m:d>
      </m:oMath>
      <w:r w:rsidRPr="00A96EC8">
        <w:t xml:space="preserve"> with </w:t>
      </w:r>
      <m:oMath>
        <m:sSub>
          <m:sSubPr>
            <m:ctrlPr>
              <w:rPr>
                <w:rFonts w:ascii="Cambria Math" w:hAnsi="Cambria Math"/>
              </w:rPr>
            </m:ctrlPr>
          </m:sSubPr>
          <m:e>
            <m:r>
              <w:rPr>
                <w:rFonts w:ascii="Cambria Math" w:hAnsi="Cambria Math"/>
              </w:rPr>
              <m:t>T</m:t>
            </m:r>
          </m:e>
          <m:sub>
            <m:r>
              <w:rPr>
                <w:rFonts w:ascii="Cambria Math" w:hAnsi="Cambria Math"/>
              </w:rPr>
              <m:t>lm</m:t>
            </m:r>
          </m:sub>
        </m:sSub>
      </m:oMath>
      <w:r w:rsidRPr="00A96EC8">
        <w:t xml:space="preserve"> the logarithmic mean of supply and return temperatures (Bejan et al., 1996); the exergy of bottom ash comprises the chemical exergy of unburnt material and its physical exergy at the discharge temperature of 200 °C. </w:t>
      </w:r>
      <w:r w:rsidRPr="00A96EC8">
        <w:rPr>
          <w:rStyle w:val="Rev"/>
          <w:highlight w:val="yellow"/>
        </w:rPr>
        <w:t xml:space="preserve">Exergy destruction is computed component-wise as the irreversibility of combustion, boiler and power block, and entropy generation follows from the Gouy–Stodola relation, so Eq. (2) is not used to infer destruction by difference. The balance closes to within 3 × 10⁻¹⁶ of </w:t>
      </w:r>
      <m:oMath>
        <m:sSub>
          <m:sSubPr>
            <m:ctrlPr>
              <w:rPr>
                <w:rFonts w:ascii="Cambria Math" w:hAnsi="Cambria Math"/>
              </w:rPr>
            </m:ctrlPr>
          </m:sSubPr>
          <m:e>
            <m:r>
              <w:rPr>
                <w:rFonts w:ascii="Cambria Math" w:hAnsi="Cambria Math"/>
              </w:rPr>
              <m:t>B</m:t>
            </m:r>
          </m:e>
          <m:sub>
            <m:r>
              <w:rPr>
                <w:rFonts w:ascii="Cambria Math" w:hAnsi="Cambria Math"/>
              </w:rPr>
              <m:t>in</m:t>
            </m:r>
          </m:sub>
        </m:sSub>
      </m:oMath>
      <w:r w:rsidRPr="00A96EC8">
        <w:rPr>
          <w:rStyle w:val="Rev"/>
          <w:highlight w:val="yellow"/>
        </w:rPr>
        <w:t xml:space="preserve"> at every sampled point.</w:t>
      </w:r>
    </w:p>
    <w:p w14:paraId="489BD1A4" w14:textId="77777777" w:rsidR="00507E7F" w:rsidRPr="00A96EC8" w:rsidRDefault="00000000" w:rsidP="00A96EC8">
      <w:r w:rsidRPr="00A96EC8">
        <w:rPr>
          <w:rStyle w:val="Rev"/>
          <w:highlight w:val="yellow"/>
        </w:rPr>
        <w:t>The benchmark was checked against published plant statistics. Its mixture heating value of 11.17 MJ/kg is close to the average net calorific value of 2.9 MWh/tonne (10.4 MJ/kg) used in the European R1 guidance, and its net electrical efficiency of 20.6% at 182 kt/year lies within the range reported for European plants, where large facilities remain below about 25% and smaller ones below 20% (Reimann, 2012). The benchmark is therefore representative of a mid-sized European combined-heat-and-power WtE plant, while remaining a constructed reference case rather than a specific facility.</w:t>
      </w:r>
    </w:p>
    <w:p w14:paraId="1CC657F2" w14:textId="219F09D7" w:rsidR="00507E7F" w:rsidRPr="00A96EC8" w:rsidRDefault="00000000" w:rsidP="00A96EC8">
      <w:r w:rsidRPr="00A96EC8">
        <w:rPr>
          <w:rStyle w:val="Rev"/>
          <w:highlight w:val="yellow"/>
        </w:rPr>
        <w:t xml:space="preserve">At the nominal operating </w:t>
      </w:r>
      <w:r w:rsidR="005769E5" w:rsidRPr="00A96EC8">
        <w:rPr>
          <w:rStyle w:val="Rev"/>
          <w:highlight w:val="yellow"/>
        </w:rPr>
        <w:t>point,</w:t>
      </w:r>
      <w:r w:rsidRPr="00A96EC8">
        <w:rPr>
          <w:rStyle w:val="Rev"/>
          <w:highlight w:val="yellow"/>
        </w:rPr>
        <w:t xml:space="preserve"> the fuel input is 64.6 MW and the input exergy 72.6 MW, of which 13.3 MW leaves as electricity, 3.85 MW as district heat and 0.90 MW with the ash, while 2.09 MW is lost and 52.5 MW destroyed, giving a net electrical efficiency of 20.6% and an exergy efficiency of 24.9%. Combustion accounts for 32.9 MW of the destruction, the boiler for 13.7 MW and the power block for 5.8 MW. The nominal allocation factors are 0.738 for electricity, 0.213 for heat and 0.050 for ash (Supplementary Tables S1 and S4).</w:t>
      </w:r>
    </w:p>
    <w:p w14:paraId="0028B0D1" w14:textId="77777777" w:rsidR="00507E7F" w:rsidRPr="00A96EC8" w:rsidRDefault="00000000" w:rsidP="00A96EC8">
      <w:pPr>
        <w:pStyle w:val="Heading2"/>
      </w:pPr>
      <w:bookmarkStart w:id="13" w:name="uncertain-inputs"/>
      <w:bookmarkEnd w:id="12"/>
      <w:r w:rsidRPr="00A96EC8">
        <w:t>3.2 Uncertain inputs</w:t>
      </w:r>
    </w:p>
    <w:p w14:paraId="3413E37F" w14:textId="77777777" w:rsidR="00507E7F" w:rsidRPr="00A96EC8" w:rsidRDefault="00000000" w:rsidP="00A96EC8">
      <w:r w:rsidRPr="00A96EC8">
        <w:rPr>
          <w:rStyle w:val="Rev"/>
          <w:highlight w:val="yellow"/>
        </w:rPr>
        <w:t>The model has 22 uncertain inputs. The mass fractions of the twelve waste categories follow a Dirichlet distribution with concentration 120 about the nominal composition. The remaining ten are the boiler heat-transfer effectiveness (truncated normal, mean 0.93, standard deviation 0.015), the unburnt fuel fraction (uniform, 0.005–0.020), live-steam temperature (400–450 °C) and pressure (40–60 bar), district-heating effectiveness (0.65–0.75), auxiliary power fraction (0.030–0.060), district-heating supply (85–105 °C) and return (45–60 °C) temperatures, stack temperature (130–160 °C) and district-heat demand limit (20–40 MW), all uniform. Dependence among the continuous inputs is imposed with a Gaussian copula, including a correlation of 0.60 between steam temperature and pressure and of −0.45 between boiler effectiveness and stack temperature (Supplementary Table S3). Over 10,000 samples the allocation factors are 0.747 ± 0.025 for electricity, 0.203 ± 0.022 for heat and 0.050 ± 0.016 for ash.</w:t>
      </w:r>
    </w:p>
    <w:p w14:paraId="7A0B40FF" w14:textId="77777777" w:rsidR="00507E7F" w:rsidRPr="00A96EC8" w:rsidRDefault="00000000" w:rsidP="00A96EC8">
      <w:pPr>
        <w:pStyle w:val="Heading2"/>
      </w:pPr>
      <w:bookmarkStart w:id="14" w:name="implementation-and-computational-cost"/>
      <w:bookmarkEnd w:id="13"/>
      <w:r w:rsidRPr="00A96EC8">
        <w:t>3.3 Implementation and computational cost</w:t>
      </w:r>
    </w:p>
    <w:p w14:paraId="1CC97844" w14:textId="77777777" w:rsidR="00507E7F" w:rsidRPr="00A96EC8" w:rsidRDefault="00000000" w:rsidP="00A96EC8">
      <w:r w:rsidRPr="00A96EC8">
        <w:rPr>
          <w:rStyle w:val="Rev"/>
          <w:highlight w:val="yellow"/>
        </w:rPr>
        <w:t xml:space="preserve">The reference model, the surrogates and the augmented-Lagrangian training are implemented in NumPy; GP hyperparameters are obtained by marginal-likelihood optimisation with scikit-learn (Pedregosa et al., 2011) on a separate 480-point design and then held fixed, so that all variants share identical kernels. All computations ran on a single CPU core. The reference model takes 0.0108 ms per sample, so the 10,000-sample Monte Carlo analysis takes 0.126 s, </w:t>
      </w:r>
      <w:r w:rsidRPr="00A96EC8">
        <w:rPr>
          <w:rStyle w:val="Rev"/>
          <w:highlight w:val="yellow"/>
        </w:rPr>
        <w:lastRenderedPageBreak/>
        <w:t>and hyperparameter fitting takes 53 s once. Training on 240 points takes 4.5 s for GP-PI, 0.03 s for GP-plain and 8.3–17.0 s for the networks; prediction takes 0.296 ms per sample for the GP and 0.0016 ms for the networks.</w:t>
      </w:r>
    </w:p>
    <w:p w14:paraId="78178578" w14:textId="77777777" w:rsidR="00507E7F" w:rsidRPr="00A96EC8" w:rsidRDefault="00000000" w:rsidP="00A96EC8">
      <w:pPr>
        <w:pStyle w:val="Heading1"/>
        <w:rPr>
          <w:sz w:val="24"/>
          <w:szCs w:val="24"/>
        </w:rPr>
      </w:pPr>
      <w:bookmarkStart w:id="15" w:name="results-and-discussion"/>
      <w:bookmarkEnd w:id="11"/>
      <w:bookmarkEnd w:id="14"/>
      <w:r w:rsidRPr="00A96EC8">
        <w:rPr>
          <w:sz w:val="24"/>
          <w:szCs w:val="24"/>
        </w:rPr>
        <w:t>4 Results and discussion</w:t>
      </w:r>
    </w:p>
    <w:p w14:paraId="39683259" w14:textId="77777777" w:rsidR="00507E7F" w:rsidRPr="00A96EC8" w:rsidRDefault="00000000" w:rsidP="00A96EC8">
      <w:pPr>
        <w:pStyle w:val="Heading2"/>
      </w:pPr>
      <w:bookmarkStart w:id="16" w:name="accuracy-against-unconstrained-baselines"/>
      <w:r w:rsidRPr="00A96EC8">
        <w:t>4.1 Accuracy against unconstrained baselines</w:t>
      </w:r>
    </w:p>
    <w:p w14:paraId="6D604D95" w14:textId="02DA0409" w:rsidR="00507E7F" w:rsidRPr="00A96EC8" w:rsidRDefault="00000000" w:rsidP="00A96EC8">
      <w:r w:rsidRPr="00A96EC8">
        <w:rPr>
          <w:rStyle w:val="Rev"/>
          <w:highlight w:val="yellow"/>
        </w:rPr>
        <w:t xml:space="preserve">With 240 training points, the mean absolute error of the allocation factors over eight repetitions </w:t>
      </w:r>
      <w:r w:rsidR="00662A09" w:rsidRPr="00A96EC8">
        <w:rPr>
          <w:rStyle w:val="Rev"/>
          <w:highlight w:val="yellow"/>
        </w:rPr>
        <w:t>were</w:t>
      </w:r>
      <w:r w:rsidRPr="00A96EC8">
        <w:rPr>
          <w:rStyle w:val="Rev"/>
          <w:highlight w:val="yellow"/>
        </w:rPr>
        <w:t xml:space="preserve"> 0.092 percentage points (95% CI 0.089–0.095) for GP-PI and 0.091 (0.088–0.094) for GP-plain, with maximum errors of 0.76 and 0.74 points and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96EC8">
        <w:rPr>
          <w:rStyle w:val="Rev"/>
          <w:highlight w:val="yellow"/>
        </w:rPr>
        <w:t xml:space="preserve"> of 0.995 for the electricity factor. The physics penalty therefore did not improve GP accuracy: the training data already satisfy the balance, so the constraint adds little information. Among the networks, NN-soft and NN-plain were equivalent at 0.697 (0.651–0.743) and 0.698 (0.653–0.743) points, whereas NN-hard was about four times worse at 2.60 (2.31–2.89) points, with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A96EC8">
        <w:rPr>
          <w:rStyle w:val="Rev"/>
          <w:highlight w:val="yellow"/>
        </w:rPr>
        <w:t xml:space="preserve"> below zero for the electricity factor. This follows from the architecture rather than from optimisation: exergy destruction is about 72% of the input exergy, so distributing </w:t>
      </w:r>
      <m:oMath>
        <m:sSub>
          <m:sSubPr>
            <m:ctrlPr>
              <w:rPr>
                <w:rFonts w:ascii="Cambria Math" w:hAnsi="Cambria Math"/>
              </w:rPr>
            </m:ctrlPr>
          </m:sSubPr>
          <m:e>
            <m:r>
              <w:rPr>
                <w:rFonts w:ascii="Cambria Math" w:hAnsi="Cambria Math"/>
              </w:rPr>
              <m:t>B</m:t>
            </m:r>
          </m:e>
          <m:sub>
            <m:r>
              <w:rPr>
                <w:rFonts w:ascii="Cambria Math" w:hAnsi="Cambria Math"/>
              </w:rPr>
              <m:t>in</m:t>
            </m:r>
          </m:sub>
        </m:sSub>
      </m:oMath>
      <w:r w:rsidRPr="00A96EC8">
        <w:rPr>
          <w:rStyle w:val="Rev"/>
          <w:highlight w:val="yellow"/>
        </w:rPr>
        <w:t xml:space="preserve"> through a single softmax that includes the destruction channel makes the much smaller co-product exergies sensitive to relative error in that channel.</w:t>
      </w:r>
    </w:p>
    <w:p w14:paraId="228D3163" w14:textId="77777777" w:rsidR="00507E7F" w:rsidRPr="00A96EC8" w:rsidRDefault="00000000" w:rsidP="00A96EC8">
      <w:r w:rsidRPr="00A96EC8">
        <w:rPr>
          <w:noProof/>
        </w:rPr>
        <w:drawing>
          <wp:inline distT="0" distB="0" distL="0" distR="0" wp14:anchorId="7D299558" wp14:editId="3F5349D4">
            <wp:extent cx="5669280" cy="4251960"/>
            <wp:effectExtent l="0" t="0" r="0" b="0"/>
            <wp:docPr id="42" name="Picture" descr="Figure 3. Allocation-factor distributions from the Monte Carlo analysis and the surrogates on the same 10,000 inputs: (a) electricity, (b) district heat, (c) bottom ash, (d) joint distribution of the electricity and heat factors."/>
            <wp:cNvGraphicFramePr/>
            <a:graphic xmlns:a="http://schemas.openxmlformats.org/drawingml/2006/main">
              <a:graphicData uri="http://schemas.openxmlformats.org/drawingml/2006/picture">
                <pic:pic xmlns:pic="http://schemas.openxmlformats.org/drawingml/2006/picture">
                  <pic:nvPicPr>
                    <pic:cNvPr id="43" name="Picture" descr="media/fig3.png"/>
                    <pic:cNvPicPr>
                      <a:picLocks noChangeAspect="1" noChangeArrowheads="1"/>
                    </pic:cNvPicPr>
                  </pic:nvPicPr>
                  <pic:blipFill>
                    <a:blip r:embed="rId9"/>
                    <a:stretch>
                      <a:fillRect/>
                    </a:stretch>
                  </pic:blipFill>
                  <pic:spPr bwMode="auto">
                    <a:xfrm>
                      <a:off x="0" y="0"/>
                      <a:ext cx="5669280" cy="4251960"/>
                    </a:xfrm>
                    <a:prstGeom prst="rect">
                      <a:avLst/>
                    </a:prstGeom>
                    <a:noFill/>
                    <a:ln w="9525">
                      <a:noFill/>
                      <a:headEnd/>
                      <a:tailEnd/>
                    </a:ln>
                  </pic:spPr>
                </pic:pic>
              </a:graphicData>
            </a:graphic>
          </wp:inline>
        </w:drawing>
      </w:r>
    </w:p>
    <w:p w14:paraId="1DAC57F1" w14:textId="77777777" w:rsidR="00507E7F" w:rsidRPr="00A96EC8" w:rsidRDefault="00000000" w:rsidP="00A96EC8">
      <w:r w:rsidRPr="00A96EC8">
        <w:rPr>
          <w:b/>
          <w:bCs/>
        </w:rPr>
        <w:t>Figure 3.</w:t>
      </w:r>
      <w:r w:rsidRPr="00A96EC8">
        <w:t xml:space="preserve"> Allocation-factor distributions from the Monte Carlo analysis and the surrogates on the same 10,000 inputs: (a) electricity, (b) district heat, (c) bottom ash, (d) joint distribution of the electricity and heat factors.</w:t>
      </w:r>
    </w:p>
    <w:p w14:paraId="77B67C22" w14:textId="77777777" w:rsidR="00507E7F" w:rsidRPr="00A96EC8" w:rsidRDefault="00000000" w:rsidP="00A96EC8">
      <w:r w:rsidRPr="00A96EC8">
        <w:rPr>
          <w:rStyle w:val="Rev"/>
          <w:highlight w:val="yellow"/>
        </w:rPr>
        <w:t xml:space="preserve">Figure 3 compares the distributions. For both GP variants the Kolmogorov–Smirnov test never rejected equality with the Monte Carlo marginals, in any repetition or for any co-product (median p ≥ 0.96; mean statistic D ≤ 0.008). For NN-soft the test rejected equality in 25% of </w:t>
      </w:r>
      <w:r w:rsidRPr="00A96EC8">
        <w:rPr>
          <w:rStyle w:val="Rev"/>
          <w:highlight w:val="yellow"/>
        </w:rPr>
        <w:lastRenderedPageBreak/>
        <w:t>repetitions for electricity, 88% for heat and 75% for ash, and for NN-hard in every repetition (D ≈ 0.18–0.19 for electricity and heat). The claim that surrogate distributions are preserved is therefore supported for the GP but not for the networks at this training budget.</w:t>
      </w:r>
    </w:p>
    <w:p w14:paraId="2EC51E69" w14:textId="77777777" w:rsidR="00507E7F" w:rsidRPr="00A96EC8" w:rsidRDefault="00000000" w:rsidP="00A96EC8">
      <w:r w:rsidRPr="00A96EC8">
        <w:rPr>
          <w:noProof/>
        </w:rPr>
        <w:drawing>
          <wp:inline distT="0" distB="0" distL="0" distR="0" wp14:anchorId="79442367" wp14:editId="460F1B02">
            <wp:extent cx="5669280" cy="4251960"/>
            <wp:effectExtent l="0" t="0" r="0" b="0"/>
            <wp:docPr id="45" name="Picture" descr="Figure 4. Accuracy on 240 held-out points: parity plots for (a) GP-PI and (b) NN-soft; (c) residual distributions; (d) learning curves with 95% confidence intervals over repetitions."/>
            <wp:cNvGraphicFramePr/>
            <a:graphic xmlns:a="http://schemas.openxmlformats.org/drawingml/2006/main">
              <a:graphicData uri="http://schemas.openxmlformats.org/drawingml/2006/picture">
                <pic:pic xmlns:pic="http://schemas.openxmlformats.org/drawingml/2006/picture">
                  <pic:nvPicPr>
                    <pic:cNvPr id="46" name="Picture" descr="media/fig4.png"/>
                    <pic:cNvPicPr>
                      <a:picLocks noChangeAspect="1" noChangeArrowheads="1"/>
                    </pic:cNvPicPr>
                  </pic:nvPicPr>
                  <pic:blipFill>
                    <a:blip r:embed="rId10"/>
                    <a:stretch>
                      <a:fillRect/>
                    </a:stretch>
                  </pic:blipFill>
                  <pic:spPr bwMode="auto">
                    <a:xfrm>
                      <a:off x="0" y="0"/>
                      <a:ext cx="5669280" cy="4251960"/>
                    </a:xfrm>
                    <a:prstGeom prst="rect">
                      <a:avLst/>
                    </a:prstGeom>
                    <a:noFill/>
                    <a:ln w="9525">
                      <a:noFill/>
                      <a:headEnd/>
                      <a:tailEnd/>
                    </a:ln>
                  </pic:spPr>
                </pic:pic>
              </a:graphicData>
            </a:graphic>
          </wp:inline>
        </w:drawing>
      </w:r>
    </w:p>
    <w:p w14:paraId="5B2C77F0" w14:textId="77777777" w:rsidR="00507E7F" w:rsidRPr="00A96EC8" w:rsidRDefault="00000000" w:rsidP="00A96EC8">
      <w:r w:rsidRPr="00A96EC8">
        <w:rPr>
          <w:b/>
          <w:bCs/>
        </w:rPr>
        <w:t>Figure 4.</w:t>
      </w:r>
      <w:r w:rsidRPr="00A96EC8">
        <w:t xml:space="preserve"> Accuracy on 240 held-out points: parity plots for (a) GP-PI and (b) NN-soft; (c) residual distributions; (d) learning curves with 95% confidence intervals over repetitions.</w:t>
      </w:r>
    </w:p>
    <w:p w14:paraId="54020B34" w14:textId="77777777" w:rsidR="00507E7F" w:rsidRPr="00A96EC8" w:rsidRDefault="00000000" w:rsidP="00A96EC8">
      <w:r w:rsidRPr="00A96EC8">
        <w:rPr>
          <w:rStyle w:val="Rev"/>
          <w:highlight w:val="yellow"/>
        </w:rPr>
        <w:t>The learning curves in Figure 4(d) show the same ordering across budgets. Mean errors fall from 0.28 to 0.077 points for GP-PI and from 0.19 to 0.077 for GP-plain as the training set grows from 60 to 480 points, and from 1.34 to 0.34 points for NN-soft. The physics penalty was slightly detrimental for the GP at the smallest budget, where it competes with a weakly determined fit, and made no difference from 120 points upwards. Adaptive sampling by maximum predictive variance did not outperform Latin hypercube designs at equal budget (Figure 2d), reaching 0.11 rather than 0.09 points at 240 evaluations.</w:t>
      </w:r>
    </w:p>
    <w:p w14:paraId="6D749BA3" w14:textId="77777777" w:rsidR="00507E7F" w:rsidRPr="00A96EC8" w:rsidRDefault="00000000" w:rsidP="00A96EC8">
      <w:pPr>
        <w:pStyle w:val="Heading2"/>
      </w:pPr>
      <w:bookmarkStart w:id="17" w:name="sensitivity-and-correlation-structure"/>
      <w:bookmarkEnd w:id="16"/>
      <w:r w:rsidRPr="00A96EC8">
        <w:t>4.2 Sensitivity and correlation structure</w:t>
      </w:r>
    </w:p>
    <w:p w14:paraId="2D839C93" w14:textId="77777777" w:rsidR="00507E7F" w:rsidRPr="00A96EC8" w:rsidRDefault="00000000" w:rsidP="00A96EC8">
      <w:r w:rsidRPr="00A96EC8">
        <w:rPr>
          <w:rStyle w:val="Rev"/>
          <w:highlight w:val="yellow"/>
        </w:rPr>
        <w:t>Variance-based sensitivity analysis with 53,248 reference evaluations shows that the electricity allocation factor is governed by the district-heat demand limit (first-order index 0.33) and the unburnt fuel fraction (0.30), followed by the district-heating supply temperature (0.10) and the live-steam temperature (0.08), with waste composition contributing 0.06. The heat factor is dominated by the demand limit (0.45) and the supply and return temperatures (0.15 and 0.10), and the ash factor almost entirely by the unburnt fraction (0.99). Differences between total-order and first-order indices are below 0.04, so interactions are weak. This differs from the previous submission, which attributed the dominant role to waste composition and combustion efficiency.</w:t>
      </w:r>
      <w:r w:rsidRPr="00A96EC8">
        <w:t xml:space="preserve"> The allocation factors are strongly dependent: the electricity–heat correlation is −0.763 (95% CI −0.770 to −0.756), electricity–ash −0.506 (−0.520 to −0.493) and heat–ash </w:t>
      </w:r>
      <w:r w:rsidRPr="00A96EC8">
        <w:lastRenderedPageBreak/>
        <w:t xml:space="preserve">−0.172 (−0.189 to −0.153). </w:t>
      </w:r>
      <w:r w:rsidRPr="00A96EC8">
        <w:rPr>
          <w:rStyle w:val="Rev"/>
          <w:highlight w:val="yellow"/>
        </w:rPr>
        <w:t>The GP surrogate reproduced the electricity–heat correlation as −0.761.</w:t>
      </w:r>
    </w:p>
    <w:p w14:paraId="2D1A7DA8" w14:textId="77777777" w:rsidR="00507E7F" w:rsidRPr="00A96EC8" w:rsidRDefault="00000000" w:rsidP="00A96EC8">
      <w:r w:rsidRPr="00A96EC8">
        <w:rPr>
          <w:noProof/>
        </w:rPr>
        <w:drawing>
          <wp:inline distT="0" distB="0" distL="0" distR="0" wp14:anchorId="4C8BE77B" wp14:editId="2E3C25AA">
            <wp:extent cx="5669280" cy="4251960"/>
            <wp:effectExtent l="0" t="0" r="0" b="0"/>
            <wp:docPr id="49" name="Picture" descr="Figure 5. Sensitivity of the allocation factors: tornado diagrams for (a) electricity and (b) district heat; (c) first-order and (d) total-order Sobol’ indices."/>
            <wp:cNvGraphicFramePr/>
            <a:graphic xmlns:a="http://schemas.openxmlformats.org/drawingml/2006/main">
              <a:graphicData uri="http://schemas.openxmlformats.org/drawingml/2006/picture">
                <pic:pic xmlns:pic="http://schemas.openxmlformats.org/drawingml/2006/picture">
                  <pic:nvPicPr>
                    <pic:cNvPr id="50" name="Picture" descr="media/fig5.png"/>
                    <pic:cNvPicPr>
                      <a:picLocks noChangeAspect="1" noChangeArrowheads="1"/>
                    </pic:cNvPicPr>
                  </pic:nvPicPr>
                  <pic:blipFill>
                    <a:blip r:embed="rId11"/>
                    <a:stretch>
                      <a:fillRect/>
                    </a:stretch>
                  </pic:blipFill>
                  <pic:spPr bwMode="auto">
                    <a:xfrm>
                      <a:off x="0" y="0"/>
                      <a:ext cx="5669280" cy="4251960"/>
                    </a:xfrm>
                    <a:prstGeom prst="rect">
                      <a:avLst/>
                    </a:prstGeom>
                    <a:noFill/>
                    <a:ln w="9525">
                      <a:noFill/>
                      <a:headEnd/>
                      <a:tailEnd/>
                    </a:ln>
                  </pic:spPr>
                </pic:pic>
              </a:graphicData>
            </a:graphic>
          </wp:inline>
        </w:drawing>
      </w:r>
    </w:p>
    <w:p w14:paraId="6C537018" w14:textId="77777777" w:rsidR="00507E7F" w:rsidRPr="00A96EC8" w:rsidRDefault="00000000" w:rsidP="00A96EC8">
      <w:r w:rsidRPr="00A96EC8">
        <w:rPr>
          <w:b/>
          <w:bCs/>
        </w:rPr>
        <w:t>Figure 5.</w:t>
      </w:r>
      <w:r w:rsidRPr="00A96EC8">
        <w:t xml:space="preserve"> Sensitivity of the allocation factors: tornado diagrams for (a) electricity and (b) district heat; (c) first-order and (d) total-order Sobol’ indices.</w:t>
      </w:r>
    </w:p>
    <w:p w14:paraId="58002F4B" w14:textId="77777777" w:rsidR="00507E7F" w:rsidRPr="00A96EC8" w:rsidRDefault="00000000" w:rsidP="00A96EC8">
      <w:pPr>
        <w:pStyle w:val="Heading2"/>
      </w:pPr>
      <w:bookmarkStart w:id="18" w:name="validator-and-reference-model-fallback"/>
      <w:bookmarkEnd w:id="17"/>
      <w:r w:rsidRPr="00A96EC8">
        <w:t>4.3 Validator and reference-model fallback</w:t>
      </w:r>
    </w:p>
    <w:p w14:paraId="1A2343B7" w14:textId="77777777" w:rsidR="00507E7F" w:rsidRPr="00A96EC8" w:rsidRDefault="00000000" w:rsidP="00A96EC8">
      <w:r w:rsidRPr="00A96EC8">
        <w:rPr>
          <w:rStyle w:val="Rev"/>
          <w:highlight w:val="yellow"/>
        </w:rPr>
        <w:t xml:space="preserve">Over the 10,000-sample analysis at </w:t>
      </w:r>
      <m:oMath>
        <m:r>
          <w:rPr>
            <w:rFonts w:ascii="Cambria Math" w:hAnsi="Cambria Math"/>
          </w:rPr>
          <m:t>ε</m:t>
        </m:r>
        <m:r>
          <m:rPr>
            <m:sty m:val="p"/>
          </m:rPr>
          <w:rPr>
            <w:rFonts w:ascii="Cambria Math" w:hAnsi="Cambria Math"/>
          </w:rPr>
          <m:t>=</m:t>
        </m:r>
        <m:sSup>
          <m:sSupPr>
            <m:ctrlPr>
              <w:rPr>
                <w:rFonts w:ascii="Cambria Math" w:hAnsi="Cambria Math"/>
              </w:rPr>
            </m:ctrlPr>
          </m:sSupPr>
          <m:e>
            <m:r>
              <w:rPr>
                <w:rFonts w:ascii="Cambria Math" w:hAnsi="Cambria Math"/>
              </w:rPr>
              <m:t>10</m:t>
            </m:r>
          </m:e>
          <m:sup>
            <m:r>
              <m:rPr>
                <m:sty m:val="p"/>
              </m:rPr>
              <w:rPr>
                <w:rFonts w:ascii="Cambria Math" w:hAnsi="Cambria Math"/>
              </w:rPr>
              <m:t>-</m:t>
            </m:r>
            <m:r>
              <w:rPr>
                <w:rFonts w:ascii="Cambria Math" w:hAnsi="Cambria Math"/>
              </w:rPr>
              <m:t>2</m:t>
            </m:r>
          </m:sup>
        </m:sSup>
      </m:oMath>
      <w:r w:rsidRPr="00A96EC8">
        <w:rPr>
          <w:rStyle w:val="Rev"/>
          <w:highlight w:val="yellow"/>
        </w:rPr>
        <w:t xml:space="preserve">, neither GP variant produced a single rejection and no prediction implied negative exergy destruction; the median residual was 2.6 × 10⁻⁴. The networks were rejected far more often: 51.6% for NN-plain, 37.2% for NN-soft and 47.3% for NN-hard. The penalty therefore reduced rejections by about a quarter relative to the unconstrained network at equal accuracy, which is the practical benefit of physics-informed training in this case study. Replacing rejected predictions with reference-model evaluations reduced the mean allocation error from 0.688 to 0.310 points for NN-plain, from 0.697 to 0.409 for NN-soft and from 3.15 to 1.61 for NN-hard, so the validator converts part of the surrogate error into additional reference-model calls. Residual distributions and the dependence of the rejection rate on </w:t>
      </w:r>
      <m:oMath>
        <m:r>
          <w:rPr>
            <w:rFonts w:ascii="Cambria Math" w:hAnsi="Cambria Math"/>
          </w:rPr>
          <m:t>ε</m:t>
        </m:r>
      </m:oMath>
      <w:r w:rsidRPr="00A96EC8">
        <w:rPr>
          <w:rStyle w:val="Rev"/>
          <w:highlight w:val="yellow"/>
        </w:rPr>
        <w:t xml:space="preserve"> are shown in Figure 6.</w:t>
      </w:r>
    </w:p>
    <w:p w14:paraId="55E9736F" w14:textId="77777777" w:rsidR="00507E7F" w:rsidRPr="00A96EC8" w:rsidRDefault="00000000" w:rsidP="00A96EC8">
      <w:r w:rsidRPr="00A96EC8">
        <w:rPr>
          <w:noProof/>
        </w:rPr>
        <w:lastRenderedPageBreak/>
        <w:drawing>
          <wp:inline distT="0" distB="0" distL="0" distR="0" wp14:anchorId="547DA547" wp14:editId="733A694F">
            <wp:extent cx="5669280" cy="4251960"/>
            <wp:effectExtent l="0" t="0" r="0" b="0"/>
            <wp:docPr id="53" name="Picture" descr="Figure 6. Validator behaviour: (a) distribution of the residual of Eq. (6); (b) rejection rate against tolerance; (c) effect of reference-model fallback on accuracy; (d) rejection rates at the working tolerance."/>
            <wp:cNvGraphicFramePr/>
            <a:graphic xmlns:a="http://schemas.openxmlformats.org/drawingml/2006/main">
              <a:graphicData uri="http://schemas.openxmlformats.org/drawingml/2006/picture">
                <pic:pic xmlns:pic="http://schemas.openxmlformats.org/drawingml/2006/picture">
                  <pic:nvPicPr>
                    <pic:cNvPr id="54" name="Picture" descr="media/fig6.png"/>
                    <pic:cNvPicPr>
                      <a:picLocks noChangeAspect="1" noChangeArrowheads="1"/>
                    </pic:cNvPicPr>
                  </pic:nvPicPr>
                  <pic:blipFill>
                    <a:blip r:embed="rId12"/>
                    <a:stretch>
                      <a:fillRect/>
                    </a:stretch>
                  </pic:blipFill>
                  <pic:spPr bwMode="auto">
                    <a:xfrm>
                      <a:off x="0" y="0"/>
                      <a:ext cx="5669280" cy="4251960"/>
                    </a:xfrm>
                    <a:prstGeom prst="rect">
                      <a:avLst/>
                    </a:prstGeom>
                    <a:noFill/>
                    <a:ln w="9525">
                      <a:noFill/>
                      <a:headEnd/>
                      <a:tailEnd/>
                    </a:ln>
                  </pic:spPr>
                </pic:pic>
              </a:graphicData>
            </a:graphic>
          </wp:inline>
        </w:drawing>
      </w:r>
    </w:p>
    <w:p w14:paraId="77FE4CC0" w14:textId="77777777" w:rsidR="00507E7F" w:rsidRPr="00A96EC8" w:rsidRDefault="00000000" w:rsidP="00A96EC8">
      <w:r w:rsidRPr="00A96EC8">
        <w:rPr>
          <w:b/>
          <w:bCs/>
        </w:rPr>
        <w:t>Figure 6.</w:t>
      </w:r>
      <w:r w:rsidRPr="00A96EC8">
        <w:t xml:space="preserve"> Validator behaviour: (a) distribution of the residual of Eq. (6); (b) rejection rate against tolerance; (c) effect of reference-model fallback on accuracy; (d) rejection rates at the working tolerance.</w:t>
      </w:r>
    </w:p>
    <w:p w14:paraId="71D36360" w14:textId="77777777" w:rsidR="00507E7F" w:rsidRPr="00A96EC8" w:rsidRDefault="00000000" w:rsidP="00A96EC8">
      <w:pPr>
        <w:pStyle w:val="Heading2"/>
      </w:pPr>
      <w:bookmarkStart w:id="19" w:name="computational-cost"/>
      <w:bookmarkEnd w:id="18"/>
      <w:r w:rsidRPr="00A96EC8">
        <w:t>4.4 Computational cost</w:t>
      </w:r>
    </w:p>
    <w:p w14:paraId="55983D01" w14:textId="77777777" w:rsidR="00507E7F" w:rsidRPr="00A96EC8" w:rsidRDefault="00000000" w:rsidP="00A96EC8">
      <w:r w:rsidRPr="00A96EC8">
        <w:rPr>
          <w:rStyle w:val="Rev"/>
          <w:highlight w:val="yellow"/>
        </w:rPr>
        <w:t>The Monte Carlo analysis required 10,000 reference evaluations. GP-PI required 440, comprising 240 training and 200 collocation inputs, with no fallback evaluations, a 22.7-fold reduction in reference-model calls; NN-soft required 4,348 including fallbacks, a 2.3-fold reduction. Wall-clock gain, however, depends on the cost of the reference model. In this benchmark that model costs 0.0108 ms per sample while GP prediction costs 0.296 ms, so the surrogate is slower than the model it replaces and the framework offers no wall-clock benefit here. Figure 7(c) projects the speed-up as a function of reference-evaluation cost using the measured training and prediction times: the GP pipeline breaks even at about 0.3 ms per reference evaluation and approaches its asymptotic 22.7-fold gain for models costing more than about 0.1 s per evaluation, which is the regime of detailed process simulations. Reporting the speed-up in this way, rather than as a single figure, makes the result transferable to other reference models.</w:t>
      </w:r>
    </w:p>
    <w:p w14:paraId="4C693531" w14:textId="77777777" w:rsidR="00507E7F" w:rsidRPr="00A96EC8" w:rsidRDefault="00000000" w:rsidP="00A96EC8">
      <w:r w:rsidRPr="00A96EC8">
        <w:rPr>
          <w:noProof/>
        </w:rPr>
        <w:lastRenderedPageBreak/>
        <w:drawing>
          <wp:inline distT="0" distB="0" distL="0" distR="0" wp14:anchorId="22E6F7B5" wp14:editId="11B9A5E9">
            <wp:extent cx="5669280" cy="4251960"/>
            <wp:effectExtent l="0" t="0" r="0" b="0"/>
            <wp:docPr id="57" name="Picture" descr="Figure 7. Computational cost: (a) reference-model evaluations required; (b) measured cost per sample; (c) projected speed-up against reference-model cost; (d) surrogate training times."/>
            <wp:cNvGraphicFramePr/>
            <a:graphic xmlns:a="http://schemas.openxmlformats.org/drawingml/2006/main">
              <a:graphicData uri="http://schemas.openxmlformats.org/drawingml/2006/picture">
                <pic:pic xmlns:pic="http://schemas.openxmlformats.org/drawingml/2006/picture">
                  <pic:nvPicPr>
                    <pic:cNvPr id="58" name="Picture" descr="media/fig7.png"/>
                    <pic:cNvPicPr>
                      <a:picLocks noChangeAspect="1" noChangeArrowheads="1"/>
                    </pic:cNvPicPr>
                  </pic:nvPicPr>
                  <pic:blipFill>
                    <a:blip r:embed="rId13"/>
                    <a:stretch>
                      <a:fillRect/>
                    </a:stretch>
                  </pic:blipFill>
                  <pic:spPr bwMode="auto">
                    <a:xfrm>
                      <a:off x="0" y="0"/>
                      <a:ext cx="5669280" cy="4251960"/>
                    </a:xfrm>
                    <a:prstGeom prst="rect">
                      <a:avLst/>
                    </a:prstGeom>
                    <a:noFill/>
                    <a:ln w="9525">
                      <a:noFill/>
                      <a:headEnd/>
                      <a:tailEnd/>
                    </a:ln>
                  </pic:spPr>
                </pic:pic>
              </a:graphicData>
            </a:graphic>
          </wp:inline>
        </w:drawing>
      </w:r>
    </w:p>
    <w:p w14:paraId="7B2A6CDE" w14:textId="77777777" w:rsidR="00507E7F" w:rsidRPr="00A96EC8" w:rsidRDefault="00000000" w:rsidP="00A96EC8">
      <w:r w:rsidRPr="00A96EC8">
        <w:rPr>
          <w:b/>
          <w:bCs/>
        </w:rPr>
        <w:t>Figure 7.</w:t>
      </w:r>
      <w:r w:rsidRPr="00A96EC8">
        <w:t xml:space="preserve"> Computational cost: (a) reference-model evaluations required; (b) measured cost per sample; (c) projected speed-up against reference-model cost; (d) surrogate training times.</w:t>
      </w:r>
    </w:p>
    <w:p w14:paraId="259F7936" w14:textId="77777777" w:rsidR="00507E7F" w:rsidRPr="00A96EC8" w:rsidRDefault="00000000" w:rsidP="00A96EC8">
      <w:pPr>
        <w:pStyle w:val="Heading2"/>
      </w:pPr>
      <w:bookmarkStart w:id="20" w:name="practical-guidance"/>
      <w:bookmarkEnd w:id="19"/>
      <w:r w:rsidRPr="00A96EC8">
        <w:t>4.5 Practical guidance</w:t>
      </w:r>
    </w:p>
    <w:p w14:paraId="71F9CA21" w14:textId="77777777" w:rsidR="00507E7F" w:rsidRPr="00A96EC8" w:rsidRDefault="00000000" w:rsidP="00A96EC8">
      <w:r w:rsidRPr="00A96EC8">
        <w:rPr>
          <w:rStyle w:val="Rev"/>
          <w:highlight w:val="yellow"/>
        </w:rPr>
        <w:t>Three recommendations follow from the comparison. Where the reference model is smooth and the training budget is modest, a Gaussian process is preferable: it met the balance at every one of 10,000 predictions without any penalty, so the constraint can be omitted and the validator retained as a guarantee. Where a network is required, the balance should enter as a training penalty rather than as a hard output constraint, since the penalty reduced rejections by a quarter at no accuracy cost while hard closure was counter-productive. Hard closure should be avoided whenever one term of the balance dominates, as exergy destruction does in combustion systems, because the co-product exergies then inherit the relative error of the dominant channel. In all cases the validator with reference-model fallback is worth retaining: it is inexpensive when the surrogate is accurate and it bounds the error when it is not.</w:t>
      </w:r>
    </w:p>
    <w:p w14:paraId="16CC5910" w14:textId="77777777" w:rsidR="00507E7F" w:rsidRPr="00A96EC8" w:rsidRDefault="00000000" w:rsidP="00A96EC8">
      <w:pPr>
        <w:pStyle w:val="Heading2"/>
      </w:pPr>
      <w:bookmarkStart w:id="21" w:name="limitations"/>
      <w:bookmarkEnd w:id="20"/>
      <w:r w:rsidRPr="00A96EC8">
        <w:t>4.6 Limitations</w:t>
      </w:r>
    </w:p>
    <w:p w14:paraId="38818511" w14:textId="77777777" w:rsidR="00507E7F" w:rsidRPr="00A96EC8" w:rsidRDefault="00000000" w:rsidP="00A96EC8">
      <w:r w:rsidRPr="00A96EC8">
        <w:rPr>
          <w:rStyle w:val="Rev"/>
          <w:highlight w:val="yellow"/>
        </w:rPr>
        <w:t>The benchmark is a reduced-order model of one plant with three co-products, and its smoothness favours the GP; rougher or higher-dimensional responses would narrow the gap to the networks. GP cost grows cubically with training-set size, so the 22.7-fold reduction in reference calls will not persist at much larger training budgets. Surrogates are valid only within the sampled input domain, and the stationarity assumption excludes dynamic LCA. Finally, the conclusion on hard closure applies to systems in which exergy destruction dominates the balance, which is typical of combustion plants but not of all processes.</w:t>
      </w:r>
    </w:p>
    <w:p w14:paraId="5BDAB73D" w14:textId="77777777" w:rsidR="00507E7F" w:rsidRPr="00A96EC8" w:rsidRDefault="00000000" w:rsidP="00A96EC8">
      <w:pPr>
        <w:pStyle w:val="Heading1"/>
        <w:rPr>
          <w:sz w:val="24"/>
          <w:szCs w:val="24"/>
        </w:rPr>
      </w:pPr>
      <w:bookmarkStart w:id="22" w:name="conclusions"/>
      <w:bookmarkEnd w:id="15"/>
      <w:bookmarkEnd w:id="21"/>
      <w:r w:rsidRPr="00A96EC8">
        <w:rPr>
          <w:sz w:val="24"/>
          <w:szCs w:val="24"/>
        </w:rPr>
        <w:lastRenderedPageBreak/>
        <w:t>5 Conclusions</w:t>
      </w:r>
    </w:p>
    <w:p w14:paraId="70B485BC" w14:textId="77777777" w:rsidR="00507E7F" w:rsidRPr="00A96EC8" w:rsidRDefault="00000000" w:rsidP="00A96EC8">
      <w:r w:rsidRPr="00A96EC8">
        <w:rPr>
          <w:rStyle w:val="Rev"/>
          <w:highlight w:val="yellow"/>
        </w:rPr>
        <w:t>Gaussian-process and neural-network surrogates were developed for exergy-based allocation under the exergy balance including destruction, with a validator replacing infeasible predictions by reference-model evaluations. On a documented waste-to-energy benchmark the Gaussian process reproduced the Monte Carlo allocation distributions with a mean error of 0.09 percentage points from 440 reference evaluations, a 22.7-fold reduction in model calls. Physics-informed training did not improve accuracy but reduced network validator rejections from 51.6% to 37.2%, and enforcing closure in the output layer degraded accuracy fourfold. Wall-clock benefit requires a reference model costing more than about 0.3 ms per evaluation.</w:t>
      </w:r>
    </w:p>
    <w:p w14:paraId="587B70AF" w14:textId="77777777" w:rsidR="00507E7F" w:rsidRPr="00A96EC8" w:rsidRDefault="00000000" w:rsidP="00A96EC8">
      <w:pPr>
        <w:pStyle w:val="Heading1"/>
        <w:rPr>
          <w:sz w:val="24"/>
          <w:szCs w:val="24"/>
        </w:rPr>
      </w:pPr>
      <w:bookmarkStart w:id="23" w:name="data-availability"/>
      <w:bookmarkEnd w:id="22"/>
      <w:r w:rsidRPr="00A96EC8">
        <w:rPr>
          <w:sz w:val="24"/>
          <w:szCs w:val="24"/>
        </w:rPr>
        <w:t>Data availability</w:t>
      </w:r>
    </w:p>
    <w:p w14:paraId="129EDF4A" w14:textId="77777777" w:rsidR="00507E7F" w:rsidRPr="00A96EC8" w:rsidRDefault="00000000" w:rsidP="00A96EC8">
      <w:r w:rsidRPr="00A96EC8">
        <w:rPr>
          <w:rStyle w:val="Rev"/>
          <w:highlight w:val="yellow"/>
        </w:rPr>
        <w:t>The reference model, the surrogate implementations and the scripts that generate every figure and reported number are provided as supplementary files (model.py, surrogates.py, runner.py, figures.py). Supplementary Tables S1–S6 document the nominal mass and energy balance, the reference environment and chemical-exergy data, the input distributions and correlation matrix, the nominal allocation calculation, the surrogate settings and the repeated-run statistics.</w:t>
      </w:r>
    </w:p>
    <w:p w14:paraId="73E8DB11" w14:textId="77777777" w:rsidR="00507E7F" w:rsidRPr="00A96EC8" w:rsidRDefault="00000000" w:rsidP="00A96EC8">
      <w:pPr>
        <w:pStyle w:val="Heading1"/>
        <w:rPr>
          <w:sz w:val="24"/>
          <w:szCs w:val="24"/>
        </w:rPr>
      </w:pPr>
      <w:bookmarkStart w:id="24" w:name="references"/>
      <w:bookmarkEnd w:id="23"/>
      <w:r w:rsidRPr="00A96EC8">
        <w:rPr>
          <w:sz w:val="24"/>
          <w:szCs w:val="24"/>
        </w:rPr>
        <w:t>References</w:t>
      </w:r>
    </w:p>
    <w:p w14:paraId="0C217018" w14:textId="77777777" w:rsidR="001A6F74" w:rsidRDefault="001A6F74" w:rsidP="00A96EC8">
      <w:r w:rsidRPr="001A6F74">
        <w:t xml:space="preserve">Bejan, A., Tsatsaronis, G., &amp; Moran, M. J. (1995). </w:t>
      </w:r>
      <w:r w:rsidRPr="001A6F74">
        <w:rPr>
          <w:i/>
          <w:iCs/>
        </w:rPr>
        <w:t>Thermal design and optimization</w:t>
      </w:r>
      <w:r w:rsidRPr="001A6F74">
        <w:t>. John Wiley &amp; Sons.</w:t>
      </w:r>
    </w:p>
    <w:p w14:paraId="0F34682E" w14:textId="1411DB94" w:rsidR="00507E7F" w:rsidRPr="00A96EC8" w:rsidRDefault="00000000" w:rsidP="00A96EC8">
      <w:r w:rsidRPr="00A96EC8">
        <w:t xml:space="preserve">Bhering Trindade, A., Renó, M.L.G., Rúa Orozco, D.J., Martín Martínez Reyes, A., Vitoriano Julio, A.A. and Escobar Palacio, J.C. (2021) ‘Comparative analysis of different cost allocation methodologies in LCA for cogeneration systems’, </w:t>
      </w:r>
      <w:r w:rsidRPr="00A96EC8">
        <w:rPr>
          <w:i/>
          <w:iCs/>
        </w:rPr>
        <w:t>Energy Conversion and Management</w:t>
      </w:r>
      <w:r w:rsidRPr="00A96EC8">
        <w:t>, Vol. 241, p.114230.</w:t>
      </w:r>
    </w:p>
    <w:p w14:paraId="688D535F" w14:textId="77777777" w:rsidR="00507E7F" w:rsidRPr="00A96EC8" w:rsidRDefault="00000000" w:rsidP="00A96EC8">
      <w:r w:rsidRPr="00A96EC8">
        <w:t xml:space="preserve">Clevert, D-A., Unterthiner, T. and Hochreiter, S. (2016) ‘Fast and accurate deep network learning by exponential linear units (ELUs)’, in </w:t>
      </w:r>
      <w:r w:rsidRPr="00A96EC8">
        <w:rPr>
          <w:i/>
          <w:iCs/>
        </w:rPr>
        <w:t>4th International Conference on Learning Representations (ICLR 2016)</w:t>
      </w:r>
      <w:r w:rsidRPr="00A96EC8">
        <w:t>, San Juan, Puerto Rico.</w:t>
      </w:r>
    </w:p>
    <w:p w14:paraId="10C4593A" w14:textId="77777777" w:rsidR="00507E7F" w:rsidRPr="00A96EC8" w:rsidRDefault="00000000" w:rsidP="00A96EC8">
      <w:r w:rsidRPr="00A96EC8">
        <w:t xml:space="preserve">Cornelissen, R.L. and Hirs, G.G. (2002) ‘The value of the exergetic life cycle assessment besides the LCA’, </w:t>
      </w:r>
      <w:r w:rsidRPr="00A96EC8">
        <w:rPr>
          <w:i/>
          <w:iCs/>
        </w:rPr>
        <w:t>Energy Conversion and Management</w:t>
      </w:r>
      <w:r w:rsidRPr="00A96EC8">
        <w:t>, Vol. 43, Nos. 9–12, pp.1417–1424.</w:t>
      </w:r>
    </w:p>
    <w:p w14:paraId="579FC742" w14:textId="77777777" w:rsidR="00507E7F" w:rsidRPr="00A96EC8" w:rsidRDefault="00000000" w:rsidP="00A96EC8">
      <w:r w:rsidRPr="00A96EC8">
        <w:t xml:space="preserve">Dai, T., Jordaan, S.M. and Wemhoff, A.P. (2022) ‘Gaussian process regression as a replicable, streamlined approach to inventory and uncertainty analysis in life cycle assessment’, </w:t>
      </w:r>
      <w:r w:rsidRPr="00A96EC8">
        <w:rPr>
          <w:i/>
          <w:iCs/>
        </w:rPr>
        <w:t>Environmental Science &amp; Technology</w:t>
      </w:r>
      <w:r w:rsidRPr="00A96EC8">
        <w:t>, Vol. 56, No. 6, pp.3821–3829.</w:t>
      </w:r>
    </w:p>
    <w:p w14:paraId="0DAACDD1" w14:textId="77777777" w:rsidR="001A6F74" w:rsidRDefault="001A6F74" w:rsidP="00A96EC8">
      <w:r w:rsidRPr="001A6F74">
        <w:t xml:space="preserve">Efron, B. (1992). Bootstrap methods: another look at the jackknife. In </w:t>
      </w:r>
      <w:r w:rsidRPr="001A6F74">
        <w:rPr>
          <w:i/>
          <w:iCs/>
        </w:rPr>
        <w:t>Breakthroughs in statistics: Methodology and distribution</w:t>
      </w:r>
      <w:r w:rsidRPr="001A6F74">
        <w:t xml:space="preserve"> (pp. 569-593). New York, NY: Springer New York.</w:t>
      </w:r>
    </w:p>
    <w:p w14:paraId="0E0349CA" w14:textId="072ABD3F" w:rsidR="00507E7F" w:rsidRPr="00A96EC8" w:rsidRDefault="00000000" w:rsidP="00A96EC8">
      <w:r w:rsidRPr="00A96EC8">
        <w:t xml:space="preserve">Hestenes, M.R. (1969) ‘Multiplier and gradient methods’, </w:t>
      </w:r>
      <w:r w:rsidRPr="00A96EC8">
        <w:rPr>
          <w:i/>
          <w:iCs/>
        </w:rPr>
        <w:t>Journal of Optimization Theory and Applications</w:t>
      </w:r>
      <w:r w:rsidRPr="00A96EC8">
        <w:t>, Vol. 4, No. 5, pp.303–320.</w:t>
      </w:r>
    </w:p>
    <w:p w14:paraId="2F329071" w14:textId="77777777" w:rsidR="00507E7F" w:rsidRPr="00A96EC8" w:rsidRDefault="00000000" w:rsidP="00A96EC8">
      <w:r w:rsidRPr="00A96EC8">
        <w:t xml:space="preserve">Hung, M.L. and Ma, H.W. (2009) ‘Quantifying system uncertainty of life cycle assessment based on Monte Carlo simulation’, </w:t>
      </w:r>
      <w:r w:rsidRPr="00A96EC8">
        <w:rPr>
          <w:i/>
          <w:iCs/>
        </w:rPr>
        <w:t>International Journal of Life Cycle Assessment</w:t>
      </w:r>
      <w:r w:rsidRPr="00A96EC8">
        <w:t>, Vol. 14, No. 1, pp.19–27.</w:t>
      </w:r>
    </w:p>
    <w:p w14:paraId="41DC1285" w14:textId="77777777" w:rsidR="00507E7F" w:rsidRPr="00A96EC8" w:rsidRDefault="00000000" w:rsidP="00A96EC8">
      <w:r w:rsidRPr="00A96EC8">
        <w:t xml:space="preserve">Kingma, D.P. and Ba, J. (2015) ‘Adam: a method for stochastic optimization’, in </w:t>
      </w:r>
      <w:r w:rsidRPr="00A96EC8">
        <w:rPr>
          <w:i/>
          <w:iCs/>
        </w:rPr>
        <w:t>3rd International Conference on Learning Representations (ICLR 2015)</w:t>
      </w:r>
      <w:r w:rsidRPr="00A96EC8">
        <w:t>, San Diego, CA, USA.</w:t>
      </w:r>
    </w:p>
    <w:p w14:paraId="32BF5F7E" w14:textId="77777777" w:rsidR="00507E7F" w:rsidRPr="00A96EC8" w:rsidRDefault="00000000" w:rsidP="00A96EC8">
      <w:r w:rsidRPr="00A96EC8">
        <w:t xml:space="preserve">Massey, F.J. (1951) ‘The Kolmogorov–Smirnov test for goodness of fit’, </w:t>
      </w:r>
      <w:r w:rsidRPr="00A96EC8">
        <w:rPr>
          <w:i/>
          <w:iCs/>
        </w:rPr>
        <w:t>Journal of the American Statistical Association</w:t>
      </w:r>
      <w:r w:rsidRPr="00A96EC8">
        <w:t>, Vol. 46, No. 253, pp.68–78.</w:t>
      </w:r>
    </w:p>
    <w:p w14:paraId="72BF432E" w14:textId="77777777" w:rsidR="00507E7F" w:rsidRPr="00A96EC8" w:rsidRDefault="00000000" w:rsidP="00A96EC8">
      <w:r w:rsidRPr="00A96EC8">
        <w:lastRenderedPageBreak/>
        <w:t xml:space="preserve">McKay, M.D., Beckman, R.J. and Conover, W.J. (1979) ‘A comparison of three methods for selecting values of input variables in the analysis of output from a computer code’, </w:t>
      </w:r>
      <w:r w:rsidRPr="00A96EC8">
        <w:rPr>
          <w:i/>
          <w:iCs/>
        </w:rPr>
        <w:t>Technometrics</w:t>
      </w:r>
      <w:r w:rsidRPr="00A96EC8">
        <w:t>, Vol. 21, No. 2, pp.239–245.</w:t>
      </w:r>
    </w:p>
    <w:p w14:paraId="2E8136D2" w14:textId="77777777" w:rsidR="00507E7F" w:rsidRPr="00A96EC8" w:rsidRDefault="00000000" w:rsidP="00A96EC8">
      <w:r w:rsidRPr="00A96EC8">
        <w:t xml:space="preserve">Pedregosa, F., Varoquaux, G., Gramfort, A., Michel, V., Thirion, B., Grisel, O., Blondel, M., Prettenhofer, P., Weiss, R., Dubourg, V., Vanderplas, J., Passos, A., Cournapeau, D., Brucher, M., Perrot, M. and Duchesnay, E. (2011) ‘Scikit-learn: machine learning in Python’, </w:t>
      </w:r>
      <w:r w:rsidRPr="00A96EC8">
        <w:rPr>
          <w:i/>
          <w:iCs/>
        </w:rPr>
        <w:t>Journal of Machine Learning Research</w:t>
      </w:r>
      <w:r w:rsidRPr="00A96EC8">
        <w:t>, Vol. 12, pp.2825–2830.</w:t>
      </w:r>
    </w:p>
    <w:p w14:paraId="2E20DA8D" w14:textId="77777777" w:rsidR="00507E7F" w:rsidRPr="00A96EC8" w:rsidRDefault="00000000" w:rsidP="00A96EC8">
      <w:r w:rsidRPr="00A96EC8">
        <w:t xml:space="preserve">Peters, G.P. (2007) ‘Efficient algorithms for life cycle assessment, input-output analysis, and Monte-Carlo analysis’, </w:t>
      </w:r>
      <w:r w:rsidRPr="00A96EC8">
        <w:rPr>
          <w:i/>
          <w:iCs/>
        </w:rPr>
        <w:t>International Journal of Life Cycle Assessment</w:t>
      </w:r>
      <w:r w:rsidRPr="00A96EC8">
        <w:t>, Vol. 12, No. 6, pp.373–380.</w:t>
      </w:r>
    </w:p>
    <w:p w14:paraId="3D6D18E8" w14:textId="77777777" w:rsidR="00507E7F" w:rsidRPr="00A96EC8" w:rsidRDefault="00000000" w:rsidP="00A96EC8">
      <w:r w:rsidRPr="00A96EC8">
        <w:t xml:space="preserve">Raissi, M., Perdikaris, P. and Karniadakis, G.E. (2019) ‘Physics-informed neural networks: a deep learning framework for solving forward and inverse problems involving nonlinear partial differential equations’, </w:t>
      </w:r>
      <w:r w:rsidRPr="00A96EC8">
        <w:rPr>
          <w:i/>
          <w:iCs/>
        </w:rPr>
        <w:t>Journal of Computational Physics</w:t>
      </w:r>
      <w:r w:rsidRPr="00A96EC8">
        <w:t>, Vol. 378, pp.686–707.</w:t>
      </w:r>
    </w:p>
    <w:p w14:paraId="52F64786" w14:textId="77777777" w:rsidR="001A6F74" w:rsidRDefault="001A6F74" w:rsidP="00A96EC8">
      <w:r w:rsidRPr="001A6F74">
        <w:t xml:space="preserve">Rasmussen, C. E., &amp; Williams, C. (2006). Gaussian processes for machine learning the </w:t>
      </w:r>
      <w:proofErr w:type="spellStart"/>
      <w:r w:rsidRPr="001A6F74">
        <w:t>mit</w:t>
      </w:r>
      <w:proofErr w:type="spellEnd"/>
      <w:r w:rsidRPr="001A6F74">
        <w:t xml:space="preserve"> press. </w:t>
      </w:r>
      <w:r w:rsidRPr="001A6F74">
        <w:rPr>
          <w:i/>
          <w:iCs/>
        </w:rPr>
        <w:t>Cambridge, MA</w:t>
      </w:r>
      <w:r w:rsidRPr="001A6F74">
        <w:t xml:space="preserve">, </w:t>
      </w:r>
      <w:r w:rsidRPr="001A6F74">
        <w:rPr>
          <w:i/>
          <w:iCs/>
        </w:rPr>
        <w:t>32</w:t>
      </w:r>
      <w:r w:rsidRPr="001A6F74">
        <w:t>, 68.</w:t>
      </w:r>
    </w:p>
    <w:p w14:paraId="5EAA9913" w14:textId="77777777" w:rsidR="00D42963" w:rsidRDefault="00D42963" w:rsidP="00A96EC8">
      <w:r w:rsidRPr="00D42963">
        <w:t xml:space="preserve">Reimann, D. O. (2012). CEWEP energy report III. </w:t>
      </w:r>
      <w:r w:rsidRPr="00D42963">
        <w:rPr>
          <w:i/>
          <w:iCs/>
        </w:rPr>
        <w:t>Scientific &amp; Technical Advisor to CEWEP, Bamberg Dezember</w:t>
      </w:r>
      <w:r w:rsidRPr="00D42963">
        <w:t>.</w:t>
      </w:r>
    </w:p>
    <w:p w14:paraId="4183565E" w14:textId="45761904" w:rsidR="00507E7F" w:rsidRPr="00A96EC8" w:rsidRDefault="00000000" w:rsidP="00A96EC8">
      <w:r w:rsidRPr="00A96EC8">
        <w:t xml:space="preserve">Rocco, M.V., Di Lucchio, A. and Colombo, E. (2017) ‘Exergy life cycle assessment of electricity production from waste-to-energy technology: a hybrid input-output approach’, </w:t>
      </w:r>
      <w:r w:rsidRPr="00A96EC8">
        <w:rPr>
          <w:i/>
          <w:iCs/>
        </w:rPr>
        <w:t>Applied Energy</w:t>
      </w:r>
      <w:r w:rsidRPr="00A96EC8">
        <w:t>, Vol. 194, pp.832–844.</w:t>
      </w:r>
    </w:p>
    <w:p w14:paraId="66953A80" w14:textId="77777777" w:rsidR="00507E7F" w:rsidRPr="00A96EC8" w:rsidRDefault="00000000" w:rsidP="00A96EC8">
      <w:r w:rsidRPr="00A96EC8">
        <w:t xml:space="preserve">Saltelli, A., Annoni, P., Azzini, I., Campolongo, F., Ratto, M. and Tarantola, S. (2010) ‘Variance based sensitivity analysis of model output. Design and estimator for the total sensitivity index’, </w:t>
      </w:r>
      <w:r w:rsidRPr="00A96EC8">
        <w:rPr>
          <w:i/>
          <w:iCs/>
        </w:rPr>
        <w:t>Computer Physics Communications</w:t>
      </w:r>
      <w:r w:rsidRPr="00A96EC8">
        <w:t>, Vol. 181, No. 2, pp.259–270.</w:t>
      </w:r>
    </w:p>
    <w:p w14:paraId="05F21EFD" w14:textId="77777777" w:rsidR="00507E7F" w:rsidRPr="00A96EC8" w:rsidRDefault="00000000" w:rsidP="00A96EC8">
      <w:r w:rsidRPr="00A96EC8">
        <w:t xml:space="preserve">Sobol’, I.M. (1967) ‘On the distribution of points in a cube and the approximate evaluation of integrals’, </w:t>
      </w:r>
      <w:r w:rsidRPr="00A96EC8">
        <w:rPr>
          <w:i/>
          <w:iCs/>
        </w:rPr>
        <w:t>USSR Computational Mathematics and Mathematical Physics</w:t>
      </w:r>
      <w:r w:rsidRPr="00A96EC8">
        <w:t>, Vol. 7, No. 4, pp.86–112.</w:t>
      </w:r>
    </w:p>
    <w:p w14:paraId="4D541B67" w14:textId="6942790F" w:rsidR="00507E7F" w:rsidRPr="00A96EC8" w:rsidRDefault="00D42963" w:rsidP="00A96EC8">
      <w:r w:rsidRPr="00D42963">
        <w:t xml:space="preserve">Szargut, J., Morris, D. R., &amp; Steward, F. R. (1988). Exergy analysis of thermal, chemical, and metallurgical processes. </w:t>
      </w:r>
      <w:r w:rsidRPr="00D42963">
        <w:rPr>
          <w:i/>
          <w:iCs/>
        </w:rPr>
        <w:t>(No Title)</w:t>
      </w:r>
      <w:r w:rsidRPr="00D42963">
        <w:t>.</w:t>
      </w:r>
      <w:r w:rsidR="00000000" w:rsidRPr="00A96EC8">
        <w:br w:type="page"/>
      </w:r>
    </w:p>
    <w:p w14:paraId="2EAC23DF" w14:textId="77777777" w:rsidR="00507E7F" w:rsidRDefault="00000000" w:rsidP="005769E5">
      <w:pPr>
        <w:pStyle w:val="Heading1"/>
        <w:jc w:val="center"/>
      </w:pPr>
      <w:bookmarkStart w:id="25" w:name="supplementary-material"/>
      <w:bookmarkEnd w:id="24"/>
      <w:r>
        <w:lastRenderedPageBreak/>
        <w:t>Supplementary Material</w:t>
      </w:r>
    </w:p>
    <w:p w14:paraId="1CE8F99B" w14:textId="77777777" w:rsidR="00507E7F" w:rsidRPr="005769E5" w:rsidRDefault="00000000">
      <w:pPr>
        <w:rPr>
          <w:color w:val="000000" w:themeColor="text1"/>
        </w:rPr>
      </w:pPr>
      <w:r w:rsidRPr="005769E5">
        <w:rPr>
          <w:color w:val="000000" w:themeColor="text1"/>
        </w:rPr>
        <w:t>All values are outputs of the released reference implementation (model.py, surrogates.py, runner.py, figures.py) and can be reproduced exactly.</w:t>
      </w:r>
    </w:p>
    <w:p w14:paraId="30BC6FC0" w14:textId="77777777" w:rsidR="00507E7F" w:rsidRPr="005769E5" w:rsidRDefault="00000000">
      <w:pPr>
        <w:pStyle w:val="Heading2"/>
        <w:rPr>
          <w:color w:val="000000" w:themeColor="text1"/>
        </w:rPr>
      </w:pPr>
      <w:bookmarkStart w:id="26" w:name="X3cbb0231fac791c6df83e82d48a14d35726bad2"/>
      <w:r w:rsidRPr="005769E5">
        <w:rPr>
          <w:color w:val="000000" w:themeColor="text1"/>
        </w:rPr>
        <w:t>Table S1. Nominal mass and energy balance</w:t>
      </w:r>
    </w:p>
    <w:tbl>
      <w:tblPr>
        <w:tblStyle w:val="Table"/>
        <w:tblW w:w="7920" w:type="dxa"/>
        <w:tblBorders>
          <w:top w:val="single" w:sz="6" w:space="0" w:color="808080"/>
          <w:left w:val="single" w:sz="6" w:space="0" w:color="808080"/>
          <w:bottom w:val="single" w:sz="6" w:space="0" w:color="808080"/>
          <w:right w:val="single" w:sz="6" w:space="0" w:color="808080"/>
          <w:insideH w:val="single" w:sz="4" w:space="0" w:color="BFBFBF"/>
          <w:insideV w:val="single" w:sz="4" w:space="0" w:color="BFBFBF"/>
        </w:tblBorders>
        <w:tblLayout w:type="fixed"/>
        <w:tblLook w:val="0020" w:firstRow="1" w:lastRow="0" w:firstColumn="0" w:lastColumn="0" w:noHBand="0" w:noVBand="0"/>
      </w:tblPr>
      <w:tblGrid>
        <w:gridCol w:w="2640"/>
        <w:gridCol w:w="2640"/>
        <w:gridCol w:w="2640"/>
      </w:tblGrid>
      <w:tr w:rsidR="00507E7F" w:rsidRPr="005769E5" w14:paraId="46315EA2" w14:textId="77777777" w:rsidTr="00507E7F">
        <w:trPr>
          <w:cnfStyle w:val="100000000000" w:firstRow="1" w:lastRow="0" w:firstColumn="0" w:lastColumn="0" w:oddVBand="0" w:evenVBand="0" w:oddHBand="0" w:evenHBand="0" w:firstRowFirstColumn="0" w:firstRowLastColumn="0" w:lastRowFirstColumn="0" w:lastRowLastColumn="0"/>
          <w:tblHeader/>
        </w:trPr>
        <w:tc>
          <w:tcPr>
            <w:tcW w:w="2640" w:type="dxa"/>
          </w:tcPr>
          <w:p w14:paraId="4817D451" w14:textId="77777777" w:rsidR="00507E7F" w:rsidRPr="005769E5" w:rsidRDefault="00000000">
            <w:pPr>
              <w:pStyle w:val="Compact"/>
              <w:jc w:val="left"/>
              <w:rPr>
                <w:color w:val="000000" w:themeColor="text1"/>
              </w:rPr>
            </w:pPr>
            <w:r w:rsidRPr="005769E5">
              <w:rPr>
                <w:color w:val="000000" w:themeColor="text1"/>
              </w:rPr>
              <w:t>Quantity</w:t>
            </w:r>
          </w:p>
        </w:tc>
        <w:tc>
          <w:tcPr>
            <w:tcW w:w="2640" w:type="dxa"/>
          </w:tcPr>
          <w:p w14:paraId="553910C6" w14:textId="77777777" w:rsidR="00507E7F" w:rsidRPr="005769E5" w:rsidRDefault="00000000">
            <w:pPr>
              <w:pStyle w:val="Compact"/>
              <w:jc w:val="left"/>
              <w:rPr>
                <w:color w:val="000000" w:themeColor="text1"/>
              </w:rPr>
            </w:pPr>
            <w:r w:rsidRPr="005769E5">
              <w:rPr>
                <w:color w:val="000000" w:themeColor="text1"/>
              </w:rPr>
              <w:t>Value</w:t>
            </w:r>
          </w:p>
        </w:tc>
        <w:tc>
          <w:tcPr>
            <w:tcW w:w="2640" w:type="dxa"/>
          </w:tcPr>
          <w:p w14:paraId="0945649C" w14:textId="77777777" w:rsidR="00507E7F" w:rsidRPr="005769E5" w:rsidRDefault="00000000">
            <w:pPr>
              <w:pStyle w:val="Compact"/>
              <w:jc w:val="left"/>
              <w:rPr>
                <w:color w:val="000000" w:themeColor="text1"/>
              </w:rPr>
            </w:pPr>
            <w:r w:rsidRPr="005769E5">
              <w:rPr>
                <w:color w:val="000000" w:themeColor="text1"/>
              </w:rPr>
              <w:t>Note</w:t>
            </w:r>
          </w:p>
        </w:tc>
      </w:tr>
      <w:tr w:rsidR="00507E7F" w:rsidRPr="005769E5" w14:paraId="2D8C879A" w14:textId="77777777" w:rsidTr="00507E7F">
        <w:tc>
          <w:tcPr>
            <w:tcW w:w="2640" w:type="dxa"/>
          </w:tcPr>
          <w:p w14:paraId="6F083BE6" w14:textId="77777777" w:rsidR="00507E7F" w:rsidRPr="005769E5" w:rsidRDefault="00000000">
            <w:pPr>
              <w:pStyle w:val="Compact"/>
              <w:jc w:val="left"/>
              <w:rPr>
                <w:color w:val="000000" w:themeColor="text1"/>
              </w:rPr>
            </w:pPr>
            <w:r w:rsidRPr="005769E5">
              <w:rPr>
                <w:color w:val="000000" w:themeColor="text1"/>
              </w:rPr>
              <w:t>Waste throughput</w:t>
            </w:r>
          </w:p>
        </w:tc>
        <w:tc>
          <w:tcPr>
            <w:tcW w:w="2640" w:type="dxa"/>
          </w:tcPr>
          <w:p w14:paraId="29EED899" w14:textId="77777777" w:rsidR="00507E7F" w:rsidRPr="005769E5" w:rsidRDefault="00000000">
            <w:pPr>
              <w:pStyle w:val="Compact"/>
              <w:jc w:val="left"/>
              <w:rPr>
                <w:color w:val="000000" w:themeColor="text1"/>
              </w:rPr>
            </w:pPr>
            <w:r w:rsidRPr="005769E5">
              <w:rPr>
                <w:color w:val="000000" w:themeColor="text1"/>
              </w:rPr>
              <w:t>5.79 kg/s</w:t>
            </w:r>
          </w:p>
        </w:tc>
        <w:tc>
          <w:tcPr>
            <w:tcW w:w="2640" w:type="dxa"/>
          </w:tcPr>
          <w:p w14:paraId="4AF82ABE" w14:textId="77777777" w:rsidR="00507E7F" w:rsidRPr="005769E5" w:rsidRDefault="00000000">
            <w:pPr>
              <w:pStyle w:val="Compact"/>
              <w:jc w:val="left"/>
              <w:rPr>
                <w:color w:val="000000" w:themeColor="text1"/>
              </w:rPr>
            </w:pPr>
            <w:r w:rsidRPr="005769E5">
              <w:rPr>
                <w:color w:val="000000" w:themeColor="text1"/>
              </w:rPr>
              <w:t>500 t/day</w:t>
            </w:r>
          </w:p>
        </w:tc>
      </w:tr>
      <w:tr w:rsidR="00507E7F" w:rsidRPr="005769E5" w14:paraId="0CE9F0CF" w14:textId="77777777" w:rsidTr="00507E7F">
        <w:tc>
          <w:tcPr>
            <w:tcW w:w="2640" w:type="dxa"/>
          </w:tcPr>
          <w:p w14:paraId="033AEADA" w14:textId="77777777" w:rsidR="00507E7F" w:rsidRPr="005769E5" w:rsidRDefault="00000000">
            <w:pPr>
              <w:pStyle w:val="Compact"/>
              <w:jc w:val="left"/>
              <w:rPr>
                <w:color w:val="000000" w:themeColor="text1"/>
              </w:rPr>
            </w:pPr>
            <w:r w:rsidRPr="005769E5">
              <w:rPr>
                <w:color w:val="000000" w:themeColor="text1"/>
              </w:rPr>
              <w:t>Mixture lower heating value</w:t>
            </w:r>
          </w:p>
        </w:tc>
        <w:tc>
          <w:tcPr>
            <w:tcW w:w="2640" w:type="dxa"/>
          </w:tcPr>
          <w:p w14:paraId="065060C0" w14:textId="77777777" w:rsidR="00507E7F" w:rsidRPr="005769E5" w:rsidRDefault="00000000">
            <w:pPr>
              <w:pStyle w:val="Compact"/>
              <w:jc w:val="left"/>
              <w:rPr>
                <w:color w:val="000000" w:themeColor="text1"/>
              </w:rPr>
            </w:pPr>
            <w:r w:rsidRPr="005769E5">
              <w:rPr>
                <w:color w:val="000000" w:themeColor="text1"/>
              </w:rPr>
              <w:t>11.17 MJ/kg</w:t>
            </w:r>
          </w:p>
        </w:tc>
        <w:tc>
          <w:tcPr>
            <w:tcW w:w="2640" w:type="dxa"/>
          </w:tcPr>
          <w:p w14:paraId="549C5807" w14:textId="77777777" w:rsidR="00507E7F" w:rsidRPr="005769E5" w:rsidRDefault="00000000">
            <w:pPr>
              <w:pStyle w:val="Compact"/>
              <w:jc w:val="left"/>
              <w:rPr>
                <w:color w:val="000000" w:themeColor="text1"/>
              </w:rPr>
            </w:pPr>
            <w:r w:rsidRPr="005769E5">
              <w:rPr>
                <w:color w:val="000000" w:themeColor="text1"/>
              </w:rPr>
              <w:t>mass-weighted over 12 categories</w:t>
            </w:r>
          </w:p>
        </w:tc>
      </w:tr>
      <w:tr w:rsidR="00507E7F" w:rsidRPr="005769E5" w14:paraId="7D7A867A" w14:textId="77777777" w:rsidTr="00507E7F">
        <w:tc>
          <w:tcPr>
            <w:tcW w:w="2640" w:type="dxa"/>
          </w:tcPr>
          <w:p w14:paraId="05C7EB74" w14:textId="77777777" w:rsidR="00507E7F" w:rsidRPr="005769E5" w:rsidRDefault="00000000">
            <w:pPr>
              <w:pStyle w:val="Compact"/>
              <w:jc w:val="left"/>
              <w:rPr>
                <w:color w:val="000000" w:themeColor="text1"/>
              </w:rPr>
            </w:pPr>
            <w:r w:rsidRPr="005769E5">
              <w:rPr>
                <w:color w:val="000000" w:themeColor="text1"/>
              </w:rPr>
              <w:t>Fuel energy input</w:t>
            </w:r>
          </w:p>
        </w:tc>
        <w:tc>
          <w:tcPr>
            <w:tcW w:w="2640" w:type="dxa"/>
          </w:tcPr>
          <w:p w14:paraId="61A061BC" w14:textId="77777777" w:rsidR="00507E7F" w:rsidRPr="005769E5" w:rsidRDefault="00000000">
            <w:pPr>
              <w:pStyle w:val="Compact"/>
              <w:jc w:val="left"/>
              <w:rPr>
                <w:color w:val="000000" w:themeColor="text1"/>
              </w:rPr>
            </w:pPr>
            <w:r w:rsidRPr="005769E5">
              <w:rPr>
                <w:color w:val="000000" w:themeColor="text1"/>
              </w:rPr>
              <w:t>64.64 MW</w:t>
            </w:r>
          </w:p>
        </w:tc>
        <w:tc>
          <w:tcPr>
            <w:tcW w:w="2640" w:type="dxa"/>
          </w:tcPr>
          <w:p w14:paraId="60D243A9" w14:textId="77777777" w:rsidR="00507E7F" w:rsidRPr="005769E5" w:rsidRDefault="00000000">
            <w:pPr>
              <w:pStyle w:val="Compact"/>
              <w:jc w:val="left"/>
              <w:rPr>
                <w:color w:val="000000" w:themeColor="text1"/>
              </w:rPr>
            </w:pPr>
            <w:r w:rsidRPr="005769E5">
              <w:rPr>
                <w:color w:val="000000" w:themeColor="text1"/>
              </w:rPr>
              <w:t>LHV basis</w:t>
            </w:r>
          </w:p>
        </w:tc>
      </w:tr>
      <w:tr w:rsidR="00507E7F" w:rsidRPr="005769E5" w14:paraId="68E7A4C0" w14:textId="77777777" w:rsidTr="00507E7F">
        <w:tc>
          <w:tcPr>
            <w:tcW w:w="2640" w:type="dxa"/>
          </w:tcPr>
          <w:p w14:paraId="6085FF96" w14:textId="77777777" w:rsidR="00507E7F" w:rsidRPr="005769E5" w:rsidRDefault="00000000">
            <w:pPr>
              <w:pStyle w:val="Compact"/>
              <w:jc w:val="left"/>
              <w:rPr>
                <w:color w:val="000000" w:themeColor="text1"/>
              </w:rPr>
            </w:pPr>
            <w:r w:rsidRPr="005769E5">
              <w:rPr>
                <w:color w:val="000000" w:themeColor="text1"/>
              </w:rPr>
              <w:t>Flue gas mass flow</w:t>
            </w:r>
          </w:p>
        </w:tc>
        <w:tc>
          <w:tcPr>
            <w:tcW w:w="2640" w:type="dxa"/>
          </w:tcPr>
          <w:p w14:paraId="0FAB14B5" w14:textId="77777777" w:rsidR="00507E7F" w:rsidRPr="005769E5" w:rsidRDefault="00000000">
            <w:pPr>
              <w:pStyle w:val="Compact"/>
              <w:jc w:val="left"/>
              <w:rPr>
                <w:color w:val="000000" w:themeColor="text1"/>
              </w:rPr>
            </w:pPr>
            <w:r w:rsidRPr="005769E5">
              <w:rPr>
                <w:color w:val="000000" w:themeColor="text1"/>
              </w:rPr>
              <w:t>46.5 kg/s</w:t>
            </w:r>
          </w:p>
        </w:tc>
        <w:tc>
          <w:tcPr>
            <w:tcW w:w="2640" w:type="dxa"/>
          </w:tcPr>
          <w:p w14:paraId="314616DB" w14:textId="77777777" w:rsidR="00507E7F" w:rsidRPr="005769E5" w:rsidRDefault="00000000">
            <w:pPr>
              <w:pStyle w:val="Compact"/>
              <w:jc w:val="left"/>
              <w:rPr>
                <w:color w:val="000000" w:themeColor="text1"/>
              </w:rPr>
            </w:pPr>
            <w:r w:rsidRPr="005769E5">
              <w:rPr>
                <w:color w:val="000000" w:themeColor="text1"/>
              </w:rPr>
              <w:t>0.63 kg per MJ of fuel</w:t>
            </w:r>
          </w:p>
        </w:tc>
      </w:tr>
      <w:tr w:rsidR="00507E7F" w:rsidRPr="005769E5" w14:paraId="4F697C18" w14:textId="77777777" w:rsidTr="00507E7F">
        <w:tc>
          <w:tcPr>
            <w:tcW w:w="2640" w:type="dxa"/>
          </w:tcPr>
          <w:p w14:paraId="19A847BF" w14:textId="77777777" w:rsidR="00507E7F" w:rsidRPr="005769E5" w:rsidRDefault="00000000">
            <w:pPr>
              <w:pStyle w:val="Compact"/>
              <w:jc w:val="left"/>
              <w:rPr>
                <w:color w:val="000000" w:themeColor="text1"/>
              </w:rPr>
            </w:pPr>
            <w:r w:rsidRPr="005769E5">
              <w:rPr>
                <w:color w:val="000000" w:themeColor="text1"/>
              </w:rPr>
              <w:t>Furnace exit temperature</w:t>
            </w:r>
          </w:p>
        </w:tc>
        <w:tc>
          <w:tcPr>
            <w:tcW w:w="2640" w:type="dxa"/>
          </w:tcPr>
          <w:p w14:paraId="67D536BD" w14:textId="77777777" w:rsidR="00507E7F" w:rsidRPr="005769E5" w:rsidRDefault="00000000">
            <w:pPr>
              <w:pStyle w:val="Compact"/>
              <w:jc w:val="left"/>
              <w:rPr>
                <w:color w:val="000000" w:themeColor="text1"/>
              </w:rPr>
            </w:pPr>
            <w:r w:rsidRPr="005769E5">
              <w:rPr>
                <w:color w:val="000000" w:themeColor="text1"/>
              </w:rPr>
              <w:t>1492 K</w:t>
            </w:r>
          </w:p>
        </w:tc>
        <w:tc>
          <w:tcPr>
            <w:tcW w:w="2640" w:type="dxa"/>
          </w:tcPr>
          <w:p w14:paraId="79A1CE05" w14:textId="77777777" w:rsidR="00507E7F" w:rsidRPr="005769E5" w:rsidRDefault="00000000">
            <w:pPr>
              <w:pStyle w:val="Compact"/>
              <w:jc w:val="left"/>
              <w:rPr>
                <w:color w:val="000000" w:themeColor="text1"/>
              </w:rPr>
            </w:pPr>
            <w:r w:rsidRPr="005769E5">
              <w:rPr>
                <w:color w:val="000000" w:themeColor="text1"/>
              </w:rPr>
              <w:t>energy balance on flue gas</w:t>
            </w:r>
          </w:p>
        </w:tc>
      </w:tr>
      <w:tr w:rsidR="00507E7F" w:rsidRPr="005769E5" w14:paraId="39ED0650" w14:textId="77777777" w:rsidTr="00507E7F">
        <w:tc>
          <w:tcPr>
            <w:tcW w:w="2640" w:type="dxa"/>
          </w:tcPr>
          <w:p w14:paraId="1CCA7C50" w14:textId="77777777" w:rsidR="00507E7F" w:rsidRPr="005769E5" w:rsidRDefault="00000000">
            <w:pPr>
              <w:pStyle w:val="Compact"/>
              <w:jc w:val="left"/>
              <w:rPr>
                <w:color w:val="000000" w:themeColor="text1"/>
              </w:rPr>
            </w:pPr>
            <w:r w:rsidRPr="005769E5">
              <w:rPr>
                <w:color w:val="000000" w:themeColor="text1"/>
              </w:rPr>
              <w:t>Unburnt energy to ash</w:t>
            </w:r>
          </w:p>
        </w:tc>
        <w:tc>
          <w:tcPr>
            <w:tcW w:w="2640" w:type="dxa"/>
          </w:tcPr>
          <w:p w14:paraId="1F0FC981" w14:textId="77777777" w:rsidR="00507E7F" w:rsidRPr="005769E5" w:rsidRDefault="00000000">
            <w:pPr>
              <w:pStyle w:val="Compact"/>
              <w:jc w:val="left"/>
              <w:rPr>
                <w:color w:val="000000" w:themeColor="text1"/>
              </w:rPr>
            </w:pPr>
            <w:r w:rsidRPr="005769E5">
              <w:rPr>
                <w:color w:val="000000" w:themeColor="text1"/>
              </w:rPr>
              <w:t>0.81 MW</w:t>
            </w:r>
          </w:p>
        </w:tc>
        <w:tc>
          <w:tcPr>
            <w:tcW w:w="2640" w:type="dxa"/>
          </w:tcPr>
          <w:p w14:paraId="3BB2156F" w14:textId="77777777" w:rsidR="00507E7F" w:rsidRPr="005769E5" w:rsidRDefault="00000000">
            <w:pPr>
              <w:pStyle w:val="Compact"/>
              <w:jc w:val="left"/>
              <w:rPr>
                <w:color w:val="000000" w:themeColor="text1"/>
              </w:rPr>
            </w:pPr>
            <w:r w:rsidRPr="005769E5">
              <w:rPr>
                <w:color w:val="000000" w:themeColor="text1"/>
              </w:rPr>
              <w:t>unburnt fraction x fuel energy</w:t>
            </w:r>
          </w:p>
        </w:tc>
      </w:tr>
      <w:tr w:rsidR="00507E7F" w:rsidRPr="005769E5" w14:paraId="16446C72" w14:textId="77777777" w:rsidTr="00507E7F">
        <w:tc>
          <w:tcPr>
            <w:tcW w:w="2640" w:type="dxa"/>
          </w:tcPr>
          <w:p w14:paraId="5517ED60" w14:textId="77777777" w:rsidR="00507E7F" w:rsidRPr="005769E5" w:rsidRDefault="00000000">
            <w:pPr>
              <w:pStyle w:val="Compact"/>
              <w:jc w:val="left"/>
              <w:rPr>
                <w:color w:val="000000" w:themeColor="text1"/>
              </w:rPr>
            </w:pPr>
            <w:r w:rsidRPr="005769E5">
              <w:rPr>
                <w:color w:val="000000" w:themeColor="text1"/>
              </w:rPr>
              <w:t>Heat to steam cycle</w:t>
            </w:r>
          </w:p>
        </w:tc>
        <w:tc>
          <w:tcPr>
            <w:tcW w:w="2640" w:type="dxa"/>
          </w:tcPr>
          <w:p w14:paraId="11FA4C34" w14:textId="77777777" w:rsidR="00507E7F" w:rsidRPr="005769E5" w:rsidRDefault="00000000">
            <w:pPr>
              <w:pStyle w:val="Compact"/>
              <w:jc w:val="left"/>
              <w:rPr>
                <w:color w:val="000000" w:themeColor="text1"/>
              </w:rPr>
            </w:pPr>
            <w:r w:rsidRPr="005769E5">
              <w:rPr>
                <w:color w:val="000000" w:themeColor="text1"/>
              </w:rPr>
              <w:t>53.40 MW</w:t>
            </w:r>
          </w:p>
        </w:tc>
        <w:tc>
          <w:tcPr>
            <w:tcW w:w="2640" w:type="dxa"/>
          </w:tcPr>
          <w:p w14:paraId="4A4A0F94" w14:textId="77777777" w:rsidR="00507E7F" w:rsidRPr="005769E5" w:rsidRDefault="00000000">
            <w:pPr>
              <w:pStyle w:val="Compact"/>
              <w:jc w:val="left"/>
              <w:rPr>
                <w:color w:val="000000" w:themeColor="text1"/>
              </w:rPr>
            </w:pPr>
            <w:r w:rsidRPr="005769E5">
              <w:rPr>
                <w:color w:val="000000" w:themeColor="text1"/>
              </w:rPr>
              <w:t>boiler effectiveness on available heat</w:t>
            </w:r>
          </w:p>
        </w:tc>
      </w:tr>
      <w:tr w:rsidR="00507E7F" w:rsidRPr="005769E5" w14:paraId="1FB1C394" w14:textId="77777777" w:rsidTr="00507E7F">
        <w:tc>
          <w:tcPr>
            <w:tcW w:w="2640" w:type="dxa"/>
          </w:tcPr>
          <w:p w14:paraId="5A01166C" w14:textId="77777777" w:rsidR="00507E7F" w:rsidRPr="005769E5" w:rsidRDefault="00000000">
            <w:pPr>
              <w:pStyle w:val="Compact"/>
              <w:jc w:val="left"/>
              <w:rPr>
                <w:color w:val="000000" w:themeColor="text1"/>
              </w:rPr>
            </w:pPr>
            <w:r w:rsidRPr="005769E5">
              <w:rPr>
                <w:color w:val="000000" w:themeColor="text1"/>
              </w:rPr>
              <w:t>Stack loss</w:t>
            </w:r>
          </w:p>
        </w:tc>
        <w:tc>
          <w:tcPr>
            <w:tcW w:w="2640" w:type="dxa"/>
          </w:tcPr>
          <w:p w14:paraId="76C6123C" w14:textId="77777777" w:rsidR="00507E7F" w:rsidRPr="005769E5" w:rsidRDefault="00000000">
            <w:pPr>
              <w:pStyle w:val="Compact"/>
              <w:jc w:val="left"/>
              <w:rPr>
                <w:color w:val="000000" w:themeColor="text1"/>
              </w:rPr>
            </w:pPr>
            <w:r w:rsidRPr="005769E5">
              <w:rPr>
                <w:color w:val="000000" w:themeColor="text1"/>
              </w:rPr>
              <w:t>6.42 MW</w:t>
            </w:r>
          </w:p>
        </w:tc>
        <w:tc>
          <w:tcPr>
            <w:tcW w:w="2640" w:type="dxa"/>
          </w:tcPr>
          <w:p w14:paraId="27B6824E" w14:textId="77777777" w:rsidR="00507E7F" w:rsidRPr="005769E5" w:rsidRDefault="00000000">
            <w:pPr>
              <w:pStyle w:val="Compact"/>
              <w:jc w:val="left"/>
              <w:rPr>
                <w:color w:val="000000" w:themeColor="text1"/>
              </w:rPr>
            </w:pPr>
            <w:r w:rsidRPr="005769E5">
              <w:rPr>
                <w:color w:val="000000" w:themeColor="text1"/>
              </w:rPr>
              <w:t>sensible heat at stack temperature</w:t>
            </w:r>
          </w:p>
        </w:tc>
      </w:tr>
      <w:tr w:rsidR="00507E7F" w:rsidRPr="005769E5" w14:paraId="257CE2F3" w14:textId="77777777" w:rsidTr="00507E7F">
        <w:tc>
          <w:tcPr>
            <w:tcW w:w="2640" w:type="dxa"/>
          </w:tcPr>
          <w:p w14:paraId="01A8C50F" w14:textId="77777777" w:rsidR="00507E7F" w:rsidRPr="005769E5" w:rsidRDefault="00000000">
            <w:pPr>
              <w:pStyle w:val="Compact"/>
              <w:jc w:val="left"/>
              <w:rPr>
                <w:color w:val="000000" w:themeColor="text1"/>
              </w:rPr>
            </w:pPr>
            <w:r w:rsidRPr="005769E5">
              <w:rPr>
                <w:color w:val="000000" w:themeColor="text1"/>
              </w:rPr>
              <w:t>Casing / radiation loss</w:t>
            </w:r>
          </w:p>
        </w:tc>
        <w:tc>
          <w:tcPr>
            <w:tcW w:w="2640" w:type="dxa"/>
          </w:tcPr>
          <w:p w14:paraId="429C7E15" w14:textId="77777777" w:rsidR="00507E7F" w:rsidRPr="005769E5" w:rsidRDefault="00000000">
            <w:pPr>
              <w:pStyle w:val="Compact"/>
              <w:jc w:val="left"/>
              <w:rPr>
                <w:color w:val="000000" w:themeColor="text1"/>
              </w:rPr>
            </w:pPr>
            <w:r w:rsidRPr="005769E5">
              <w:rPr>
                <w:color w:val="000000" w:themeColor="text1"/>
              </w:rPr>
              <w:t>4.02 MW</w:t>
            </w:r>
          </w:p>
        </w:tc>
        <w:tc>
          <w:tcPr>
            <w:tcW w:w="2640" w:type="dxa"/>
          </w:tcPr>
          <w:p w14:paraId="089DB6DD" w14:textId="77777777" w:rsidR="00507E7F" w:rsidRPr="005769E5" w:rsidRDefault="00507E7F">
            <w:pPr>
              <w:pStyle w:val="Compact"/>
              <w:rPr>
                <w:color w:val="000000" w:themeColor="text1"/>
              </w:rPr>
            </w:pPr>
          </w:p>
        </w:tc>
      </w:tr>
      <w:tr w:rsidR="00507E7F" w:rsidRPr="005769E5" w14:paraId="343BA5CD" w14:textId="77777777" w:rsidTr="00507E7F">
        <w:tc>
          <w:tcPr>
            <w:tcW w:w="2640" w:type="dxa"/>
          </w:tcPr>
          <w:p w14:paraId="431B53A0" w14:textId="77777777" w:rsidR="00507E7F" w:rsidRPr="005769E5" w:rsidRDefault="00000000">
            <w:pPr>
              <w:pStyle w:val="Compact"/>
              <w:jc w:val="left"/>
              <w:rPr>
                <w:color w:val="000000" w:themeColor="text1"/>
              </w:rPr>
            </w:pPr>
            <w:r w:rsidRPr="005769E5">
              <w:rPr>
                <w:color w:val="000000" w:themeColor="text1"/>
              </w:rPr>
              <w:t>Gross electrical power</w:t>
            </w:r>
          </w:p>
        </w:tc>
        <w:tc>
          <w:tcPr>
            <w:tcW w:w="2640" w:type="dxa"/>
          </w:tcPr>
          <w:p w14:paraId="0A6408AE" w14:textId="77777777" w:rsidR="00507E7F" w:rsidRPr="005769E5" w:rsidRDefault="00000000">
            <w:pPr>
              <w:pStyle w:val="Compact"/>
              <w:jc w:val="left"/>
              <w:rPr>
                <w:color w:val="000000" w:themeColor="text1"/>
              </w:rPr>
            </w:pPr>
            <w:r w:rsidRPr="005769E5">
              <w:rPr>
                <w:color w:val="000000" w:themeColor="text1"/>
              </w:rPr>
              <w:t>13.96 MW</w:t>
            </w:r>
          </w:p>
        </w:tc>
        <w:tc>
          <w:tcPr>
            <w:tcW w:w="2640" w:type="dxa"/>
          </w:tcPr>
          <w:p w14:paraId="3AADAFBC" w14:textId="77777777" w:rsidR="00507E7F" w:rsidRPr="005769E5" w:rsidRDefault="00000000">
            <w:pPr>
              <w:pStyle w:val="Compact"/>
              <w:jc w:val="left"/>
              <w:rPr>
                <w:color w:val="000000" w:themeColor="text1"/>
              </w:rPr>
            </w:pPr>
            <w:r w:rsidRPr="005769E5">
              <w:rPr>
                <w:color w:val="000000" w:themeColor="text1"/>
              </w:rPr>
              <w:t>exergetic efficiency of power block</w:t>
            </w:r>
          </w:p>
        </w:tc>
      </w:tr>
      <w:tr w:rsidR="00507E7F" w:rsidRPr="005769E5" w14:paraId="1DAD5660" w14:textId="77777777" w:rsidTr="00507E7F">
        <w:tc>
          <w:tcPr>
            <w:tcW w:w="2640" w:type="dxa"/>
          </w:tcPr>
          <w:p w14:paraId="6F546F87" w14:textId="77777777" w:rsidR="00507E7F" w:rsidRPr="005769E5" w:rsidRDefault="00000000">
            <w:pPr>
              <w:pStyle w:val="Compact"/>
              <w:jc w:val="left"/>
              <w:rPr>
                <w:color w:val="000000" w:themeColor="text1"/>
              </w:rPr>
            </w:pPr>
            <w:r w:rsidRPr="005769E5">
              <w:rPr>
                <w:color w:val="000000" w:themeColor="text1"/>
              </w:rPr>
              <w:t>District heat delivered</w:t>
            </w:r>
          </w:p>
        </w:tc>
        <w:tc>
          <w:tcPr>
            <w:tcW w:w="2640" w:type="dxa"/>
          </w:tcPr>
          <w:p w14:paraId="154787E1" w14:textId="77777777" w:rsidR="00507E7F" w:rsidRPr="005769E5" w:rsidRDefault="00000000">
            <w:pPr>
              <w:pStyle w:val="Compact"/>
              <w:jc w:val="left"/>
              <w:rPr>
                <w:color w:val="000000" w:themeColor="text1"/>
              </w:rPr>
            </w:pPr>
            <w:r w:rsidRPr="005769E5">
              <w:rPr>
                <w:color w:val="000000" w:themeColor="text1"/>
              </w:rPr>
              <w:t>27.60 MW</w:t>
            </w:r>
          </w:p>
        </w:tc>
        <w:tc>
          <w:tcPr>
            <w:tcW w:w="2640" w:type="dxa"/>
          </w:tcPr>
          <w:p w14:paraId="743483B3" w14:textId="77777777" w:rsidR="00507E7F" w:rsidRPr="005769E5" w:rsidRDefault="00000000">
            <w:pPr>
              <w:pStyle w:val="Compact"/>
              <w:jc w:val="left"/>
              <w:rPr>
                <w:color w:val="000000" w:themeColor="text1"/>
              </w:rPr>
            </w:pPr>
            <w:r w:rsidRPr="005769E5">
              <w:rPr>
                <w:color w:val="000000" w:themeColor="text1"/>
              </w:rPr>
              <w:t>limited by demand</w:t>
            </w:r>
          </w:p>
        </w:tc>
      </w:tr>
      <w:tr w:rsidR="00507E7F" w:rsidRPr="005769E5" w14:paraId="379F7590" w14:textId="77777777" w:rsidTr="00507E7F">
        <w:tc>
          <w:tcPr>
            <w:tcW w:w="2640" w:type="dxa"/>
          </w:tcPr>
          <w:p w14:paraId="1DD76D87" w14:textId="77777777" w:rsidR="00507E7F" w:rsidRPr="005769E5" w:rsidRDefault="00000000">
            <w:pPr>
              <w:pStyle w:val="Compact"/>
              <w:jc w:val="left"/>
              <w:rPr>
                <w:color w:val="000000" w:themeColor="text1"/>
              </w:rPr>
            </w:pPr>
            <w:r w:rsidRPr="005769E5">
              <w:rPr>
                <w:color w:val="000000" w:themeColor="text1"/>
              </w:rPr>
              <w:t>Bottom ash</w:t>
            </w:r>
          </w:p>
        </w:tc>
        <w:tc>
          <w:tcPr>
            <w:tcW w:w="2640" w:type="dxa"/>
          </w:tcPr>
          <w:p w14:paraId="6C91A6E9" w14:textId="77777777" w:rsidR="00507E7F" w:rsidRPr="005769E5" w:rsidRDefault="00000000">
            <w:pPr>
              <w:pStyle w:val="Compact"/>
              <w:jc w:val="left"/>
              <w:rPr>
                <w:color w:val="000000" w:themeColor="text1"/>
              </w:rPr>
            </w:pPr>
            <w:r w:rsidRPr="005769E5">
              <w:rPr>
                <w:color w:val="000000" w:themeColor="text1"/>
              </w:rPr>
              <w:t>1.16 kg/s</w:t>
            </w:r>
          </w:p>
        </w:tc>
        <w:tc>
          <w:tcPr>
            <w:tcW w:w="2640" w:type="dxa"/>
          </w:tcPr>
          <w:p w14:paraId="2ABD34CD" w14:textId="77777777" w:rsidR="00507E7F" w:rsidRPr="005769E5" w:rsidRDefault="00000000">
            <w:pPr>
              <w:pStyle w:val="Compact"/>
              <w:jc w:val="left"/>
              <w:rPr>
                <w:color w:val="000000" w:themeColor="text1"/>
              </w:rPr>
            </w:pPr>
            <w:r w:rsidRPr="005769E5">
              <w:rPr>
                <w:color w:val="000000" w:themeColor="text1"/>
              </w:rPr>
              <w:t>20% of input mass, discharged at 200 °C</w:t>
            </w:r>
          </w:p>
        </w:tc>
      </w:tr>
      <w:tr w:rsidR="00507E7F" w:rsidRPr="005769E5" w14:paraId="61D88C30" w14:textId="77777777" w:rsidTr="00507E7F">
        <w:tc>
          <w:tcPr>
            <w:tcW w:w="2640" w:type="dxa"/>
          </w:tcPr>
          <w:p w14:paraId="7B6DEE06" w14:textId="77777777" w:rsidR="00507E7F" w:rsidRPr="005769E5" w:rsidRDefault="00000000">
            <w:pPr>
              <w:pStyle w:val="Compact"/>
              <w:jc w:val="left"/>
              <w:rPr>
                <w:color w:val="000000" w:themeColor="text1"/>
              </w:rPr>
            </w:pPr>
            <w:r w:rsidRPr="005769E5">
              <w:rPr>
                <w:color w:val="000000" w:themeColor="text1"/>
              </w:rPr>
              <w:t>Net electrical efficiency</w:t>
            </w:r>
          </w:p>
        </w:tc>
        <w:tc>
          <w:tcPr>
            <w:tcW w:w="2640" w:type="dxa"/>
          </w:tcPr>
          <w:p w14:paraId="43515EC8" w14:textId="77777777" w:rsidR="00507E7F" w:rsidRPr="005769E5" w:rsidRDefault="00000000">
            <w:pPr>
              <w:pStyle w:val="Compact"/>
              <w:jc w:val="left"/>
              <w:rPr>
                <w:color w:val="000000" w:themeColor="text1"/>
              </w:rPr>
            </w:pPr>
            <w:r w:rsidRPr="005769E5">
              <w:rPr>
                <w:color w:val="000000" w:themeColor="text1"/>
              </w:rPr>
              <w:t>20.6%</w:t>
            </w:r>
          </w:p>
        </w:tc>
        <w:tc>
          <w:tcPr>
            <w:tcW w:w="2640" w:type="dxa"/>
          </w:tcPr>
          <w:p w14:paraId="23ADE936" w14:textId="77777777" w:rsidR="00507E7F" w:rsidRPr="005769E5" w:rsidRDefault="00000000">
            <w:pPr>
              <w:pStyle w:val="Compact"/>
              <w:jc w:val="left"/>
              <w:rPr>
                <w:color w:val="000000" w:themeColor="text1"/>
              </w:rPr>
            </w:pPr>
            <w:r w:rsidRPr="005769E5">
              <w:rPr>
                <w:color w:val="000000" w:themeColor="text1"/>
              </w:rPr>
              <w:t>net power / fuel energy</w:t>
            </w:r>
          </w:p>
        </w:tc>
      </w:tr>
      <w:tr w:rsidR="00507E7F" w:rsidRPr="005769E5" w14:paraId="1BBCF5AB" w14:textId="77777777" w:rsidTr="00507E7F">
        <w:tc>
          <w:tcPr>
            <w:tcW w:w="2640" w:type="dxa"/>
          </w:tcPr>
          <w:p w14:paraId="4B8709E5" w14:textId="77777777" w:rsidR="00507E7F" w:rsidRPr="005769E5" w:rsidRDefault="00000000">
            <w:pPr>
              <w:pStyle w:val="Compact"/>
              <w:jc w:val="left"/>
              <w:rPr>
                <w:color w:val="000000" w:themeColor="text1"/>
              </w:rPr>
            </w:pPr>
            <w:r w:rsidRPr="005769E5">
              <w:rPr>
                <w:color w:val="000000" w:themeColor="text1"/>
              </w:rPr>
              <w:t>Exergy efficiency</w:t>
            </w:r>
          </w:p>
        </w:tc>
        <w:tc>
          <w:tcPr>
            <w:tcW w:w="2640" w:type="dxa"/>
          </w:tcPr>
          <w:p w14:paraId="169364B8" w14:textId="77777777" w:rsidR="00507E7F" w:rsidRPr="005769E5" w:rsidRDefault="00000000">
            <w:pPr>
              <w:pStyle w:val="Compact"/>
              <w:jc w:val="left"/>
              <w:rPr>
                <w:color w:val="000000" w:themeColor="text1"/>
              </w:rPr>
            </w:pPr>
            <w:r w:rsidRPr="005769E5">
              <w:rPr>
                <w:color w:val="000000" w:themeColor="text1"/>
              </w:rPr>
              <w:t>24.9%</w:t>
            </w:r>
          </w:p>
        </w:tc>
        <w:tc>
          <w:tcPr>
            <w:tcW w:w="2640" w:type="dxa"/>
          </w:tcPr>
          <w:p w14:paraId="2F8BA81C" w14:textId="77777777" w:rsidR="00507E7F" w:rsidRPr="005769E5" w:rsidRDefault="00000000">
            <w:pPr>
              <w:pStyle w:val="Compact"/>
              <w:jc w:val="left"/>
              <w:rPr>
                <w:color w:val="000000" w:themeColor="text1"/>
              </w:rPr>
            </w:pPr>
            <w:r w:rsidRPr="005769E5">
              <w:rPr>
                <w:color w:val="000000" w:themeColor="text1"/>
              </w:rPr>
              <w:t>co-product exergy / input exergy</w:t>
            </w:r>
          </w:p>
        </w:tc>
      </w:tr>
    </w:tbl>
    <w:p w14:paraId="3B295D24" w14:textId="77777777" w:rsidR="00507E7F" w:rsidRPr="005769E5" w:rsidRDefault="00000000">
      <w:pPr>
        <w:pStyle w:val="Heading2"/>
        <w:rPr>
          <w:color w:val="000000" w:themeColor="text1"/>
        </w:rPr>
      </w:pPr>
      <w:bookmarkStart w:id="27" w:name="Xc9041083027ea32c2b55185a1c2427dea5220a3"/>
      <w:bookmarkEnd w:id="26"/>
      <w:r w:rsidRPr="005769E5">
        <w:rPr>
          <w:color w:val="000000" w:themeColor="text1"/>
        </w:rPr>
        <w:t>Table S2. Waste categories, reference environment and chemical exergy</w:t>
      </w:r>
    </w:p>
    <w:p w14:paraId="3CE6F483" w14:textId="77777777" w:rsidR="00507E7F" w:rsidRPr="005769E5" w:rsidRDefault="00000000">
      <w:pPr>
        <w:rPr>
          <w:color w:val="000000" w:themeColor="text1"/>
        </w:rPr>
      </w:pPr>
      <w:r w:rsidRPr="005769E5">
        <w:rPr>
          <w:color w:val="000000" w:themeColor="text1"/>
        </w:rPr>
        <w:t>Reference environment: T0 = 298.15 K, P0 = 101.325 kPa; standard chemical exergies after Szargut et al. (1988).</w:t>
      </w:r>
    </w:p>
    <w:tbl>
      <w:tblPr>
        <w:tblStyle w:val="Table"/>
        <w:tblW w:w="7920" w:type="dxa"/>
        <w:tblBorders>
          <w:top w:val="single" w:sz="6" w:space="0" w:color="808080"/>
          <w:left w:val="single" w:sz="6" w:space="0" w:color="808080"/>
          <w:bottom w:val="single" w:sz="6" w:space="0" w:color="808080"/>
          <w:right w:val="single" w:sz="6" w:space="0" w:color="808080"/>
          <w:insideH w:val="single" w:sz="4" w:space="0" w:color="BFBFBF"/>
          <w:insideV w:val="single" w:sz="4" w:space="0" w:color="BFBFBF"/>
        </w:tblBorders>
        <w:tblLayout w:type="fixed"/>
        <w:tblLook w:val="0020" w:firstRow="1" w:lastRow="0" w:firstColumn="0" w:lastColumn="0" w:noHBand="0" w:noVBand="0"/>
      </w:tblPr>
      <w:tblGrid>
        <w:gridCol w:w="1980"/>
        <w:gridCol w:w="1980"/>
        <w:gridCol w:w="1980"/>
        <w:gridCol w:w="1980"/>
      </w:tblGrid>
      <w:tr w:rsidR="00507E7F" w:rsidRPr="005769E5" w14:paraId="39C5A518" w14:textId="77777777" w:rsidTr="00507E7F">
        <w:trPr>
          <w:cnfStyle w:val="100000000000" w:firstRow="1" w:lastRow="0" w:firstColumn="0" w:lastColumn="0" w:oddVBand="0" w:evenVBand="0" w:oddHBand="0" w:evenHBand="0" w:firstRowFirstColumn="0" w:firstRowLastColumn="0" w:lastRowFirstColumn="0" w:lastRowLastColumn="0"/>
          <w:tblHeader/>
        </w:trPr>
        <w:tc>
          <w:tcPr>
            <w:tcW w:w="1980" w:type="dxa"/>
          </w:tcPr>
          <w:p w14:paraId="033F158B" w14:textId="77777777" w:rsidR="00507E7F" w:rsidRPr="005769E5" w:rsidRDefault="00000000">
            <w:pPr>
              <w:pStyle w:val="Compact"/>
              <w:jc w:val="left"/>
              <w:rPr>
                <w:color w:val="000000" w:themeColor="text1"/>
              </w:rPr>
            </w:pPr>
            <w:r w:rsidRPr="005769E5">
              <w:rPr>
                <w:color w:val="000000" w:themeColor="text1"/>
              </w:rPr>
              <w:t>Category</w:t>
            </w:r>
          </w:p>
        </w:tc>
        <w:tc>
          <w:tcPr>
            <w:tcW w:w="1980" w:type="dxa"/>
          </w:tcPr>
          <w:p w14:paraId="262A21B5" w14:textId="77777777" w:rsidR="00507E7F" w:rsidRPr="005769E5" w:rsidRDefault="00000000">
            <w:pPr>
              <w:pStyle w:val="Compact"/>
              <w:jc w:val="left"/>
              <w:rPr>
                <w:color w:val="000000" w:themeColor="text1"/>
              </w:rPr>
            </w:pPr>
            <w:r w:rsidRPr="005769E5">
              <w:rPr>
                <w:color w:val="000000" w:themeColor="text1"/>
              </w:rPr>
              <w:t>LHV (MJ/kg)</w:t>
            </w:r>
          </w:p>
        </w:tc>
        <w:tc>
          <w:tcPr>
            <w:tcW w:w="1980" w:type="dxa"/>
          </w:tcPr>
          <w:p w14:paraId="395BD6AD" w14:textId="77777777" w:rsidR="00507E7F" w:rsidRPr="005769E5" w:rsidRDefault="00000000">
            <w:pPr>
              <w:pStyle w:val="Compact"/>
              <w:jc w:val="left"/>
              <w:rPr>
                <w:color w:val="000000" w:themeColor="text1"/>
              </w:rPr>
            </w:pPr>
            <w:r w:rsidRPr="005769E5">
              <w:rPr>
                <w:color w:val="000000" w:themeColor="text1"/>
              </w:rPr>
              <w:t>beta = b_ch/LHV</w:t>
            </w:r>
          </w:p>
        </w:tc>
        <w:tc>
          <w:tcPr>
            <w:tcW w:w="1980" w:type="dxa"/>
          </w:tcPr>
          <w:p w14:paraId="134784FD" w14:textId="77777777" w:rsidR="00507E7F" w:rsidRPr="005769E5" w:rsidRDefault="00000000">
            <w:pPr>
              <w:pStyle w:val="Compact"/>
              <w:jc w:val="left"/>
              <w:rPr>
                <w:color w:val="000000" w:themeColor="text1"/>
              </w:rPr>
            </w:pPr>
            <w:r w:rsidRPr="005769E5">
              <w:rPr>
                <w:color w:val="000000" w:themeColor="text1"/>
              </w:rPr>
              <w:t>Nominal mass fraction</w:t>
            </w:r>
          </w:p>
        </w:tc>
      </w:tr>
      <w:tr w:rsidR="00507E7F" w:rsidRPr="005769E5" w14:paraId="4560FE0D" w14:textId="77777777" w:rsidTr="00507E7F">
        <w:tc>
          <w:tcPr>
            <w:tcW w:w="1980" w:type="dxa"/>
          </w:tcPr>
          <w:p w14:paraId="6E5B529F" w14:textId="77777777" w:rsidR="00507E7F" w:rsidRPr="005769E5" w:rsidRDefault="00000000">
            <w:pPr>
              <w:pStyle w:val="Compact"/>
              <w:jc w:val="left"/>
              <w:rPr>
                <w:color w:val="000000" w:themeColor="text1"/>
              </w:rPr>
            </w:pPr>
            <w:r w:rsidRPr="005769E5">
              <w:rPr>
                <w:color w:val="000000" w:themeColor="text1"/>
              </w:rPr>
              <w:t>Paper and cardboard</w:t>
            </w:r>
          </w:p>
        </w:tc>
        <w:tc>
          <w:tcPr>
            <w:tcW w:w="1980" w:type="dxa"/>
          </w:tcPr>
          <w:p w14:paraId="407D93D9" w14:textId="77777777" w:rsidR="00507E7F" w:rsidRPr="005769E5" w:rsidRDefault="00000000">
            <w:pPr>
              <w:pStyle w:val="Compact"/>
              <w:jc w:val="left"/>
              <w:rPr>
                <w:color w:val="000000" w:themeColor="text1"/>
              </w:rPr>
            </w:pPr>
            <w:r w:rsidRPr="005769E5">
              <w:rPr>
                <w:color w:val="000000" w:themeColor="text1"/>
              </w:rPr>
              <w:t>13.5</w:t>
            </w:r>
          </w:p>
        </w:tc>
        <w:tc>
          <w:tcPr>
            <w:tcW w:w="1980" w:type="dxa"/>
          </w:tcPr>
          <w:p w14:paraId="2C9DCFDD" w14:textId="77777777" w:rsidR="00507E7F" w:rsidRPr="005769E5" w:rsidRDefault="00000000">
            <w:pPr>
              <w:pStyle w:val="Compact"/>
              <w:jc w:val="left"/>
              <w:rPr>
                <w:color w:val="000000" w:themeColor="text1"/>
              </w:rPr>
            </w:pPr>
            <w:r w:rsidRPr="005769E5">
              <w:rPr>
                <w:color w:val="000000" w:themeColor="text1"/>
              </w:rPr>
              <w:t>1.13</w:t>
            </w:r>
          </w:p>
        </w:tc>
        <w:tc>
          <w:tcPr>
            <w:tcW w:w="1980" w:type="dxa"/>
          </w:tcPr>
          <w:p w14:paraId="3D3C1792" w14:textId="77777777" w:rsidR="00507E7F" w:rsidRPr="005769E5" w:rsidRDefault="00000000">
            <w:pPr>
              <w:pStyle w:val="Compact"/>
              <w:jc w:val="left"/>
              <w:rPr>
                <w:color w:val="000000" w:themeColor="text1"/>
              </w:rPr>
            </w:pPr>
            <w:r w:rsidRPr="005769E5">
              <w:rPr>
                <w:color w:val="000000" w:themeColor="text1"/>
              </w:rPr>
              <w:t>0.220</w:t>
            </w:r>
          </w:p>
        </w:tc>
      </w:tr>
      <w:tr w:rsidR="00507E7F" w:rsidRPr="005769E5" w14:paraId="7535560E" w14:textId="77777777" w:rsidTr="00507E7F">
        <w:tc>
          <w:tcPr>
            <w:tcW w:w="1980" w:type="dxa"/>
          </w:tcPr>
          <w:p w14:paraId="34FF1389" w14:textId="77777777" w:rsidR="00507E7F" w:rsidRPr="005769E5" w:rsidRDefault="00000000">
            <w:pPr>
              <w:pStyle w:val="Compact"/>
              <w:jc w:val="left"/>
              <w:rPr>
                <w:color w:val="000000" w:themeColor="text1"/>
              </w:rPr>
            </w:pPr>
            <w:r w:rsidRPr="005769E5">
              <w:rPr>
                <w:color w:val="000000" w:themeColor="text1"/>
              </w:rPr>
              <w:t>Plastics</w:t>
            </w:r>
          </w:p>
        </w:tc>
        <w:tc>
          <w:tcPr>
            <w:tcW w:w="1980" w:type="dxa"/>
          </w:tcPr>
          <w:p w14:paraId="389D4E4E" w14:textId="77777777" w:rsidR="00507E7F" w:rsidRPr="005769E5" w:rsidRDefault="00000000">
            <w:pPr>
              <w:pStyle w:val="Compact"/>
              <w:jc w:val="left"/>
              <w:rPr>
                <w:color w:val="000000" w:themeColor="text1"/>
              </w:rPr>
            </w:pPr>
            <w:r w:rsidRPr="005769E5">
              <w:rPr>
                <w:color w:val="000000" w:themeColor="text1"/>
              </w:rPr>
              <w:t>32.0</w:t>
            </w:r>
          </w:p>
        </w:tc>
        <w:tc>
          <w:tcPr>
            <w:tcW w:w="1980" w:type="dxa"/>
          </w:tcPr>
          <w:p w14:paraId="05D1D085" w14:textId="77777777" w:rsidR="00507E7F" w:rsidRPr="005769E5" w:rsidRDefault="00000000">
            <w:pPr>
              <w:pStyle w:val="Compact"/>
              <w:jc w:val="left"/>
              <w:rPr>
                <w:color w:val="000000" w:themeColor="text1"/>
              </w:rPr>
            </w:pPr>
            <w:r w:rsidRPr="005769E5">
              <w:rPr>
                <w:color w:val="000000" w:themeColor="text1"/>
              </w:rPr>
              <w:t>1.06</w:t>
            </w:r>
          </w:p>
        </w:tc>
        <w:tc>
          <w:tcPr>
            <w:tcW w:w="1980" w:type="dxa"/>
          </w:tcPr>
          <w:p w14:paraId="5D392B0C" w14:textId="77777777" w:rsidR="00507E7F" w:rsidRPr="005769E5" w:rsidRDefault="00000000">
            <w:pPr>
              <w:pStyle w:val="Compact"/>
              <w:jc w:val="left"/>
              <w:rPr>
                <w:color w:val="000000" w:themeColor="text1"/>
              </w:rPr>
            </w:pPr>
            <w:r w:rsidRPr="005769E5">
              <w:rPr>
                <w:color w:val="000000" w:themeColor="text1"/>
              </w:rPr>
              <w:t>0.120</w:t>
            </w:r>
          </w:p>
        </w:tc>
      </w:tr>
      <w:tr w:rsidR="00507E7F" w:rsidRPr="005769E5" w14:paraId="1F559760" w14:textId="77777777" w:rsidTr="00507E7F">
        <w:tc>
          <w:tcPr>
            <w:tcW w:w="1980" w:type="dxa"/>
          </w:tcPr>
          <w:p w14:paraId="1A334A1A" w14:textId="77777777" w:rsidR="00507E7F" w:rsidRPr="005769E5" w:rsidRDefault="00000000">
            <w:pPr>
              <w:pStyle w:val="Compact"/>
              <w:jc w:val="left"/>
              <w:rPr>
                <w:color w:val="000000" w:themeColor="text1"/>
              </w:rPr>
            </w:pPr>
            <w:r w:rsidRPr="005769E5">
              <w:rPr>
                <w:color w:val="000000" w:themeColor="text1"/>
              </w:rPr>
              <w:t>Food waste</w:t>
            </w:r>
          </w:p>
        </w:tc>
        <w:tc>
          <w:tcPr>
            <w:tcW w:w="1980" w:type="dxa"/>
          </w:tcPr>
          <w:p w14:paraId="3CAE9A64" w14:textId="77777777" w:rsidR="00507E7F" w:rsidRPr="005769E5" w:rsidRDefault="00000000">
            <w:pPr>
              <w:pStyle w:val="Compact"/>
              <w:jc w:val="left"/>
              <w:rPr>
                <w:color w:val="000000" w:themeColor="text1"/>
              </w:rPr>
            </w:pPr>
            <w:r w:rsidRPr="005769E5">
              <w:rPr>
                <w:color w:val="000000" w:themeColor="text1"/>
              </w:rPr>
              <w:t>4.5</w:t>
            </w:r>
          </w:p>
        </w:tc>
        <w:tc>
          <w:tcPr>
            <w:tcW w:w="1980" w:type="dxa"/>
          </w:tcPr>
          <w:p w14:paraId="1165CB18" w14:textId="77777777" w:rsidR="00507E7F" w:rsidRPr="005769E5" w:rsidRDefault="00000000">
            <w:pPr>
              <w:pStyle w:val="Compact"/>
              <w:jc w:val="left"/>
              <w:rPr>
                <w:color w:val="000000" w:themeColor="text1"/>
              </w:rPr>
            </w:pPr>
            <w:r w:rsidRPr="005769E5">
              <w:rPr>
                <w:color w:val="000000" w:themeColor="text1"/>
              </w:rPr>
              <w:t>1.20</w:t>
            </w:r>
          </w:p>
        </w:tc>
        <w:tc>
          <w:tcPr>
            <w:tcW w:w="1980" w:type="dxa"/>
          </w:tcPr>
          <w:p w14:paraId="092D0641" w14:textId="77777777" w:rsidR="00507E7F" w:rsidRPr="005769E5" w:rsidRDefault="00000000">
            <w:pPr>
              <w:pStyle w:val="Compact"/>
              <w:jc w:val="left"/>
              <w:rPr>
                <w:color w:val="000000" w:themeColor="text1"/>
              </w:rPr>
            </w:pPr>
            <w:r w:rsidRPr="005769E5">
              <w:rPr>
                <w:color w:val="000000" w:themeColor="text1"/>
              </w:rPr>
              <w:t>0.240</w:t>
            </w:r>
          </w:p>
        </w:tc>
      </w:tr>
      <w:tr w:rsidR="00507E7F" w:rsidRPr="005769E5" w14:paraId="17F515CF" w14:textId="77777777" w:rsidTr="00507E7F">
        <w:tc>
          <w:tcPr>
            <w:tcW w:w="1980" w:type="dxa"/>
          </w:tcPr>
          <w:p w14:paraId="319CF459" w14:textId="77777777" w:rsidR="00507E7F" w:rsidRPr="005769E5" w:rsidRDefault="00000000">
            <w:pPr>
              <w:pStyle w:val="Compact"/>
              <w:jc w:val="left"/>
              <w:rPr>
                <w:color w:val="000000" w:themeColor="text1"/>
              </w:rPr>
            </w:pPr>
            <w:r w:rsidRPr="005769E5">
              <w:rPr>
                <w:color w:val="000000" w:themeColor="text1"/>
              </w:rPr>
              <w:t>Garden waste</w:t>
            </w:r>
          </w:p>
        </w:tc>
        <w:tc>
          <w:tcPr>
            <w:tcW w:w="1980" w:type="dxa"/>
          </w:tcPr>
          <w:p w14:paraId="6D56D631" w14:textId="77777777" w:rsidR="00507E7F" w:rsidRPr="005769E5" w:rsidRDefault="00000000">
            <w:pPr>
              <w:pStyle w:val="Compact"/>
              <w:jc w:val="left"/>
              <w:rPr>
                <w:color w:val="000000" w:themeColor="text1"/>
              </w:rPr>
            </w:pPr>
            <w:r w:rsidRPr="005769E5">
              <w:rPr>
                <w:color w:val="000000" w:themeColor="text1"/>
              </w:rPr>
              <w:t>6.0</w:t>
            </w:r>
          </w:p>
        </w:tc>
        <w:tc>
          <w:tcPr>
            <w:tcW w:w="1980" w:type="dxa"/>
          </w:tcPr>
          <w:p w14:paraId="37640A2A" w14:textId="77777777" w:rsidR="00507E7F" w:rsidRPr="005769E5" w:rsidRDefault="00000000">
            <w:pPr>
              <w:pStyle w:val="Compact"/>
              <w:jc w:val="left"/>
              <w:rPr>
                <w:color w:val="000000" w:themeColor="text1"/>
              </w:rPr>
            </w:pPr>
            <w:r w:rsidRPr="005769E5">
              <w:rPr>
                <w:color w:val="000000" w:themeColor="text1"/>
              </w:rPr>
              <w:t>1.15</w:t>
            </w:r>
          </w:p>
        </w:tc>
        <w:tc>
          <w:tcPr>
            <w:tcW w:w="1980" w:type="dxa"/>
          </w:tcPr>
          <w:p w14:paraId="13E6CA8C" w14:textId="77777777" w:rsidR="00507E7F" w:rsidRPr="005769E5" w:rsidRDefault="00000000">
            <w:pPr>
              <w:pStyle w:val="Compact"/>
              <w:jc w:val="left"/>
              <w:rPr>
                <w:color w:val="000000" w:themeColor="text1"/>
              </w:rPr>
            </w:pPr>
            <w:r w:rsidRPr="005769E5">
              <w:rPr>
                <w:color w:val="000000" w:themeColor="text1"/>
              </w:rPr>
              <w:t>0.080</w:t>
            </w:r>
          </w:p>
        </w:tc>
      </w:tr>
      <w:tr w:rsidR="00507E7F" w:rsidRPr="005769E5" w14:paraId="18D850CB" w14:textId="77777777" w:rsidTr="00507E7F">
        <w:tc>
          <w:tcPr>
            <w:tcW w:w="1980" w:type="dxa"/>
          </w:tcPr>
          <w:p w14:paraId="30525B79" w14:textId="77777777" w:rsidR="00507E7F" w:rsidRPr="005769E5" w:rsidRDefault="00000000">
            <w:pPr>
              <w:pStyle w:val="Compact"/>
              <w:jc w:val="left"/>
              <w:rPr>
                <w:color w:val="000000" w:themeColor="text1"/>
              </w:rPr>
            </w:pPr>
            <w:r w:rsidRPr="005769E5">
              <w:rPr>
                <w:color w:val="000000" w:themeColor="text1"/>
              </w:rPr>
              <w:t>Wood</w:t>
            </w:r>
          </w:p>
        </w:tc>
        <w:tc>
          <w:tcPr>
            <w:tcW w:w="1980" w:type="dxa"/>
          </w:tcPr>
          <w:p w14:paraId="628C106A" w14:textId="77777777" w:rsidR="00507E7F" w:rsidRPr="005769E5" w:rsidRDefault="00000000">
            <w:pPr>
              <w:pStyle w:val="Compact"/>
              <w:jc w:val="left"/>
              <w:rPr>
                <w:color w:val="000000" w:themeColor="text1"/>
              </w:rPr>
            </w:pPr>
            <w:r w:rsidRPr="005769E5">
              <w:rPr>
                <w:color w:val="000000" w:themeColor="text1"/>
              </w:rPr>
              <w:t>15.0</w:t>
            </w:r>
          </w:p>
        </w:tc>
        <w:tc>
          <w:tcPr>
            <w:tcW w:w="1980" w:type="dxa"/>
          </w:tcPr>
          <w:p w14:paraId="325E9C15" w14:textId="77777777" w:rsidR="00507E7F" w:rsidRPr="005769E5" w:rsidRDefault="00000000">
            <w:pPr>
              <w:pStyle w:val="Compact"/>
              <w:jc w:val="left"/>
              <w:rPr>
                <w:color w:val="000000" w:themeColor="text1"/>
              </w:rPr>
            </w:pPr>
            <w:r w:rsidRPr="005769E5">
              <w:rPr>
                <w:color w:val="000000" w:themeColor="text1"/>
              </w:rPr>
              <w:t>1.13</w:t>
            </w:r>
          </w:p>
        </w:tc>
        <w:tc>
          <w:tcPr>
            <w:tcW w:w="1980" w:type="dxa"/>
          </w:tcPr>
          <w:p w14:paraId="7296A8D8" w14:textId="77777777" w:rsidR="00507E7F" w:rsidRPr="005769E5" w:rsidRDefault="00000000">
            <w:pPr>
              <w:pStyle w:val="Compact"/>
              <w:jc w:val="left"/>
              <w:rPr>
                <w:color w:val="000000" w:themeColor="text1"/>
              </w:rPr>
            </w:pPr>
            <w:r w:rsidRPr="005769E5">
              <w:rPr>
                <w:color w:val="000000" w:themeColor="text1"/>
              </w:rPr>
              <w:t>0.050</w:t>
            </w:r>
          </w:p>
        </w:tc>
      </w:tr>
      <w:tr w:rsidR="00507E7F" w:rsidRPr="005769E5" w14:paraId="2FFDD8EE" w14:textId="77777777" w:rsidTr="00507E7F">
        <w:tc>
          <w:tcPr>
            <w:tcW w:w="1980" w:type="dxa"/>
          </w:tcPr>
          <w:p w14:paraId="3DA04BFF" w14:textId="77777777" w:rsidR="00507E7F" w:rsidRPr="005769E5" w:rsidRDefault="00000000">
            <w:pPr>
              <w:pStyle w:val="Compact"/>
              <w:jc w:val="left"/>
              <w:rPr>
                <w:color w:val="000000" w:themeColor="text1"/>
              </w:rPr>
            </w:pPr>
            <w:r w:rsidRPr="005769E5">
              <w:rPr>
                <w:color w:val="000000" w:themeColor="text1"/>
              </w:rPr>
              <w:t>Textiles</w:t>
            </w:r>
          </w:p>
        </w:tc>
        <w:tc>
          <w:tcPr>
            <w:tcW w:w="1980" w:type="dxa"/>
          </w:tcPr>
          <w:p w14:paraId="49903DB8" w14:textId="77777777" w:rsidR="00507E7F" w:rsidRPr="005769E5" w:rsidRDefault="00000000">
            <w:pPr>
              <w:pStyle w:val="Compact"/>
              <w:jc w:val="left"/>
              <w:rPr>
                <w:color w:val="000000" w:themeColor="text1"/>
              </w:rPr>
            </w:pPr>
            <w:r w:rsidRPr="005769E5">
              <w:rPr>
                <w:color w:val="000000" w:themeColor="text1"/>
              </w:rPr>
              <w:t>17.0</w:t>
            </w:r>
          </w:p>
        </w:tc>
        <w:tc>
          <w:tcPr>
            <w:tcW w:w="1980" w:type="dxa"/>
          </w:tcPr>
          <w:p w14:paraId="3D9C8BA5" w14:textId="77777777" w:rsidR="00507E7F" w:rsidRPr="005769E5" w:rsidRDefault="00000000">
            <w:pPr>
              <w:pStyle w:val="Compact"/>
              <w:jc w:val="left"/>
              <w:rPr>
                <w:color w:val="000000" w:themeColor="text1"/>
              </w:rPr>
            </w:pPr>
            <w:r w:rsidRPr="005769E5">
              <w:rPr>
                <w:color w:val="000000" w:themeColor="text1"/>
              </w:rPr>
              <w:t>1.12</w:t>
            </w:r>
          </w:p>
        </w:tc>
        <w:tc>
          <w:tcPr>
            <w:tcW w:w="1980" w:type="dxa"/>
          </w:tcPr>
          <w:p w14:paraId="39A5FD94" w14:textId="77777777" w:rsidR="00507E7F" w:rsidRPr="005769E5" w:rsidRDefault="00000000">
            <w:pPr>
              <w:pStyle w:val="Compact"/>
              <w:jc w:val="left"/>
              <w:rPr>
                <w:color w:val="000000" w:themeColor="text1"/>
              </w:rPr>
            </w:pPr>
            <w:r w:rsidRPr="005769E5">
              <w:rPr>
                <w:color w:val="000000" w:themeColor="text1"/>
              </w:rPr>
              <w:t>0.050</w:t>
            </w:r>
          </w:p>
        </w:tc>
      </w:tr>
      <w:tr w:rsidR="00507E7F" w:rsidRPr="005769E5" w14:paraId="4E44F211" w14:textId="77777777" w:rsidTr="00507E7F">
        <w:tc>
          <w:tcPr>
            <w:tcW w:w="1980" w:type="dxa"/>
          </w:tcPr>
          <w:p w14:paraId="3877E4D9" w14:textId="77777777" w:rsidR="00507E7F" w:rsidRPr="005769E5" w:rsidRDefault="00000000">
            <w:pPr>
              <w:pStyle w:val="Compact"/>
              <w:jc w:val="left"/>
              <w:rPr>
                <w:color w:val="000000" w:themeColor="text1"/>
              </w:rPr>
            </w:pPr>
            <w:r w:rsidRPr="005769E5">
              <w:rPr>
                <w:color w:val="000000" w:themeColor="text1"/>
              </w:rPr>
              <w:t>Rubber and leather</w:t>
            </w:r>
          </w:p>
        </w:tc>
        <w:tc>
          <w:tcPr>
            <w:tcW w:w="1980" w:type="dxa"/>
          </w:tcPr>
          <w:p w14:paraId="6A93301F" w14:textId="77777777" w:rsidR="00507E7F" w:rsidRPr="005769E5" w:rsidRDefault="00000000">
            <w:pPr>
              <w:pStyle w:val="Compact"/>
              <w:jc w:val="left"/>
              <w:rPr>
                <w:color w:val="000000" w:themeColor="text1"/>
              </w:rPr>
            </w:pPr>
            <w:r w:rsidRPr="005769E5">
              <w:rPr>
                <w:color w:val="000000" w:themeColor="text1"/>
              </w:rPr>
              <w:t>20.0</w:t>
            </w:r>
          </w:p>
        </w:tc>
        <w:tc>
          <w:tcPr>
            <w:tcW w:w="1980" w:type="dxa"/>
          </w:tcPr>
          <w:p w14:paraId="2BAA068E" w14:textId="77777777" w:rsidR="00507E7F" w:rsidRPr="005769E5" w:rsidRDefault="00000000">
            <w:pPr>
              <w:pStyle w:val="Compact"/>
              <w:jc w:val="left"/>
              <w:rPr>
                <w:color w:val="000000" w:themeColor="text1"/>
              </w:rPr>
            </w:pPr>
            <w:r w:rsidRPr="005769E5">
              <w:rPr>
                <w:color w:val="000000" w:themeColor="text1"/>
              </w:rPr>
              <w:t>1.08</w:t>
            </w:r>
          </w:p>
        </w:tc>
        <w:tc>
          <w:tcPr>
            <w:tcW w:w="1980" w:type="dxa"/>
          </w:tcPr>
          <w:p w14:paraId="34CA41A4" w14:textId="77777777" w:rsidR="00507E7F" w:rsidRPr="005769E5" w:rsidRDefault="00000000">
            <w:pPr>
              <w:pStyle w:val="Compact"/>
              <w:jc w:val="left"/>
              <w:rPr>
                <w:color w:val="000000" w:themeColor="text1"/>
              </w:rPr>
            </w:pPr>
            <w:r w:rsidRPr="005769E5">
              <w:rPr>
                <w:color w:val="000000" w:themeColor="text1"/>
              </w:rPr>
              <w:t>0.020</w:t>
            </w:r>
          </w:p>
        </w:tc>
      </w:tr>
      <w:tr w:rsidR="00507E7F" w:rsidRPr="005769E5" w14:paraId="5CD43D78" w14:textId="77777777" w:rsidTr="00507E7F">
        <w:tc>
          <w:tcPr>
            <w:tcW w:w="1980" w:type="dxa"/>
          </w:tcPr>
          <w:p w14:paraId="46074693" w14:textId="77777777" w:rsidR="00507E7F" w:rsidRPr="005769E5" w:rsidRDefault="00000000">
            <w:pPr>
              <w:pStyle w:val="Compact"/>
              <w:jc w:val="left"/>
              <w:rPr>
                <w:color w:val="000000" w:themeColor="text1"/>
              </w:rPr>
            </w:pPr>
            <w:r w:rsidRPr="005769E5">
              <w:rPr>
                <w:color w:val="000000" w:themeColor="text1"/>
              </w:rPr>
              <w:t>Nappies</w:t>
            </w:r>
          </w:p>
        </w:tc>
        <w:tc>
          <w:tcPr>
            <w:tcW w:w="1980" w:type="dxa"/>
          </w:tcPr>
          <w:p w14:paraId="202B4B6C" w14:textId="77777777" w:rsidR="00507E7F" w:rsidRPr="005769E5" w:rsidRDefault="00000000">
            <w:pPr>
              <w:pStyle w:val="Compact"/>
              <w:jc w:val="left"/>
              <w:rPr>
                <w:color w:val="000000" w:themeColor="text1"/>
              </w:rPr>
            </w:pPr>
            <w:r w:rsidRPr="005769E5">
              <w:rPr>
                <w:color w:val="000000" w:themeColor="text1"/>
              </w:rPr>
              <w:t>8.0</w:t>
            </w:r>
          </w:p>
        </w:tc>
        <w:tc>
          <w:tcPr>
            <w:tcW w:w="1980" w:type="dxa"/>
          </w:tcPr>
          <w:p w14:paraId="37F935CB" w14:textId="77777777" w:rsidR="00507E7F" w:rsidRPr="005769E5" w:rsidRDefault="00000000">
            <w:pPr>
              <w:pStyle w:val="Compact"/>
              <w:jc w:val="left"/>
              <w:rPr>
                <w:color w:val="000000" w:themeColor="text1"/>
              </w:rPr>
            </w:pPr>
            <w:r w:rsidRPr="005769E5">
              <w:rPr>
                <w:color w:val="000000" w:themeColor="text1"/>
              </w:rPr>
              <w:t>1.17</w:t>
            </w:r>
          </w:p>
        </w:tc>
        <w:tc>
          <w:tcPr>
            <w:tcW w:w="1980" w:type="dxa"/>
          </w:tcPr>
          <w:p w14:paraId="6E917221" w14:textId="77777777" w:rsidR="00507E7F" w:rsidRPr="005769E5" w:rsidRDefault="00000000">
            <w:pPr>
              <w:pStyle w:val="Compact"/>
              <w:jc w:val="left"/>
              <w:rPr>
                <w:color w:val="000000" w:themeColor="text1"/>
              </w:rPr>
            </w:pPr>
            <w:r w:rsidRPr="005769E5">
              <w:rPr>
                <w:color w:val="000000" w:themeColor="text1"/>
              </w:rPr>
              <w:t>0.040</w:t>
            </w:r>
          </w:p>
        </w:tc>
      </w:tr>
      <w:tr w:rsidR="00507E7F" w:rsidRPr="005769E5" w14:paraId="6ED0FA3E" w14:textId="77777777" w:rsidTr="00507E7F">
        <w:tc>
          <w:tcPr>
            <w:tcW w:w="1980" w:type="dxa"/>
          </w:tcPr>
          <w:p w14:paraId="55470A92" w14:textId="77777777" w:rsidR="00507E7F" w:rsidRPr="005769E5" w:rsidRDefault="00000000">
            <w:pPr>
              <w:pStyle w:val="Compact"/>
              <w:jc w:val="left"/>
              <w:rPr>
                <w:color w:val="000000" w:themeColor="text1"/>
              </w:rPr>
            </w:pPr>
            <w:r w:rsidRPr="005769E5">
              <w:rPr>
                <w:color w:val="000000" w:themeColor="text1"/>
              </w:rPr>
              <w:t>Fines and inerts</w:t>
            </w:r>
          </w:p>
        </w:tc>
        <w:tc>
          <w:tcPr>
            <w:tcW w:w="1980" w:type="dxa"/>
          </w:tcPr>
          <w:p w14:paraId="216D650C" w14:textId="77777777" w:rsidR="00507E7F" w:rsidRPr="005769E5" w:rsidRDefault="00000000">
            <w:pPr>
              <w:pStyle w:val="Compact"/>
              <w:jc w:val="left"/>
              <w:rPr>
                <w:color w:val="000000" w:themeColor="text1"/>
              </w:rPr>
            </w:pPr>
            <w:r w:rsidRPr="005769E5">
              <w:rPr>
                <w:color w:val="000000" w:themeColor="text1"/>
              </w:rPr>
              <w:t>2.0</w:t>
            </w:r>
          </w:p>
        </w:tc>
        <w:tc>
          <w:tcPr>
            <w:tcW w:w="1980" w:type="dxa"/>
          </w:tcPr>
          <w:p w14:paraId="7CCA474F" w14:textId="77777777" w:rsidR="00507E7F" w:rsidRPr="005769E5" w:rsidRDefault="00000000">
            <w:pPr>
              <w:pStyle w:val="Compact"/>
              <w:jc w:val="left"/>
              <w:rPr>
                <w:color w:val="000000" w:themeColor="text1"/>
              </w:rPr>
            </w:pPr>
            <w:r w:rsidRPr="005769E5">
              <w:rPr>
                <w:color w:val="000000" w:themeColor="text1"/>
              </w:rPr>
              <w:t>1.25</w:t>
            </w:r>
          </w:p>
        </w:tc>
        <w:tc>
          <w:tcPr>
            <w:tcW w:w="1980" w:type="dxa"/>
          </w:tcPr>
          <w:p w14:paraId="771EAC9D" w14:textId="77777777" w:rsidR="00507E7F" w:rsidRPr="005769E5" w:rsidRDefault="00000000">
            <w:pPr>
              <w:pStyle w:val="Compact"/>
              <w:jc w:val="left"/>
              <w:rPr>
                <w:color w:val="000000" w:themeColor="text1"/>
              </w:rPr>
            </w:pPr>
            <w:r w:rsidRPr="005769E5">
              <w:rPr>
                <w:color w:val="000000" w:themeColor="text1"/>
              </w:rPr>
              <w:t>0.060</w:t>
            </w:r>
          </w:p>
        </w:tc>
      </w:tr>
      <w:tr w:rsidR="00507E7F" w:rsidRPr="005769E5" w14:paraId="3DB08B47" w14:textId="77777777" w:rsidTr="00507E7F">
        <w:tc>
          <w:tcPr>
            <w:tcW w:w="1980" w:type="dxa"/>
          </w:tcPr>
          <w:p w14:paraId="621D1C6D" w14:textId="77777777" w:rsidR="00507E7F" w:rsidRPr="005769E5" w:rsidRDefault="00000000">
            <w:pPr>
              <w:pStyle w:val="Compact"/>
              <w:jc w:val="left"/>
              <w:rPr>
                <w:color w:val="000000" w:themeColor="text1"/>
              </w:rPr>
            </w:pPr>
            <w:r w:rsidRPr="005769E5">
              <w:rPr>
                <w:color w:val="000000" w:themeColor="text1"/>
              </w:rPr>
              <w:t>Glass</w:t>
            </w:r>
          </w:p>
        </w:tc>
        <w:tc>
          <w:tcPr>
            <w:tcW w:w="1980" w:type="dxa"/>
          </w:tcPr>
          <w:p w14:paraId="11D85DD6" w14:textId="77777777" w:rsidR="00507E7F" w:rsidRPr="005769E5" w:rsidRDefault="00000000">
            <w:pPr>
              <w:pStyle w:val="Compact"/>
              <w:jc w:val="left"/>
              <w:rPr>
                <w:color w:val="000000" w:themeColor="text1"/>
              </w:rPr>
            </w:pPr>
            <w:r w:rsidRPr="005769E5">
              <w:rPr>
                <w:color w:val="000000" w:themeColor="text1"/>
              </w:rPr>
              <w:t>0.0</w:t>
            </w:r>
          </w:p>
        </w:tc>
        <w:tc>
          <w:tcPr>
            <w:tcW w:w="1980" w:type="dxa"/>
          </w:tcPr>
          <w:p w14:paraId="3494A539" w14:textId="77777777" w:rsidR="00507E7F" w:rsidRPr="005769E5" w:rsidRDefault="00000000">
            <w:pPr>
              <w:pStyle w:val="Compact"/>
              <w:jc w:val="left"/>
              <w:rPr>
                <w:color w:val="000000" w:themeColor="text1"/>
              </w:rPr>
            </w:pPr>
            <w:r w:rsidRPr="005769E5">
              <w:rPr>
                <w:color w:val="000000" w:themeColor="text1"/>
              </w:rPr>
              <w:t>0.00</w:t>
            </w:r>
          </w:p>
        </w:tc>
        <w:tc>
          <w:tcPr>
            <w:tcW w:w="1980" w:type="dxa"/>
          </w:tcPr>
          <w:p w14:paraId="45934450" w14:textId="77777777" w:rsidR="00507E7F" w:rsidRPr="005769E5" w:rsidRDefault="00000000">
            <w:pPr>
              <w:pStyle w:val="Compact"/>
              <w:jc w:val="left"/>
              <w:rPr>
                <w:color w:val="000000" w:themeColor="text1"/>
              </w:rPr>
            </w:pPr>
            <w:r w:rsidRPr="005769E5">
              <w:rPr>
                <w:color w:val="000000" w:themeColor="text1"/>
              </w:rPr>
              <w:t>0.050</w:t>
            </w:r>
          </w:p>
        </w:tc>
      </w:tr>
      <w:tr w:rsidR="00507E7F" w:rsidRPr="005769E5" w14:paraId="19CF7F65" w14:textId="77777777" w:rsidTr="00507E7F">
        <w:tc>
          <w:tcPr>
            <w:tcW w:w="1980" w:type="dxa"/>
          </w:tcPr>
          <w:p w14:paraId="38DBF0F2" w14:textId="77777777" w:rsidR="00507E7F" w:rsidRPr="005769E5" w:rsidRDefault="00000000">
            <w:pPr>
              <w:pStyle w:val="Compact"/>
              <w:jc w:val="left"/>
              <w:rPr>
                <w:color w:val="000000" w:themeColor="text1"/>
              </w:rPr>
            </w:pPr>
            <w:r w:rsidRPr="005769E5">
              <w:rPr>
                <w:color w:val="000000" w:themeColor="text1"/>
              </w:rPr>
              <w:t>Metals</w:t>
            </w:r>
          </w:p>
        </w:tc>
        <w:tc>
          <w:tcPr>
            <w:tcW w:w="1980" w:type="dxa"/>
          </w:tcPr>
          <w:p w14:paraId="68B738B2" w14:textId="77777777" w:rsidR="00507E7F" w:rsidRPr="005769E5" w:rsidRDefault="00000000">
            <w:pPr>
              <w:pStyle w:val="Compact"/>
              <w:jc w:val="left"/>
              <w:rPr>
                <w:color w:val="000000" w:themeColor="text1"/>
              </w:rPr>
            </w:pPr>
            <w:r w:rsidRPr="005769E5">
              <w:rPr>
                <w:color w:val="000000" w:themeColor="text1"/>
              </w:rPr>
              <w:t>0.0</w:t>
            </w:r>
          </w:p>
        </w:tc>
        <w:tc>
          <w:tcPr>
            <w:tcW w:w="1980" w:type="dxa"/>
          </w:tcPr>
          <w:p w14:paraId="5806FB20" w14:textId="77777777" w:rsidR="00507E7F" w:rsidRPr="005769E5" w:rsidRDefault="00000000">
            <w:pPr>
              <w:pStyle w:val="Compact"/>
              <w:jc w:val="left"/>
              <w:rPr>
                <w:color w:val="000000" w:themeColor="text1"/>
              </w:rPr>
            </w:pPr>
            <w:r w:rsidRPr="005769E5">
              <w:rPr>
                <w:color w:val="000000" w:themeColor="text1"/>
              </w:rPr>
              <w:t>0.00</w:t>
            </w:r>
          </w:p>
        </w:tc>
        <w:tc>
          <w:tcPr>
            <w:tcW w:w="1980" w:type="dxa"/>
          </w:tcPr>
          <w:p w14:paraId="1EDCDB23" w14:textId="77777777" w:rsidR="00507E7F" w:rsidRPr="005769E5" w:rsidRDefault="00000000">
            <w:pPr>
              <w:pStyle w:val="Compact"/>
              <w:jc w:val="left"/>
              <w:rPr>
                <w:color w:val="000000" w:themeColor="text1"/>
              </w:rPr>
            </w:pPr>
            <w:r w:rsidRPr="005769E5">
              <w:rPr>
                <w:color w:val="000000" w:themeColor="text1"/>
              </w:rPr>
              <w:t>0.040</w:t>
            </w:r>
          </w:p>
        </w:tc>
      </w:tr>
      <w:tr w:rsidR="00507E7F" w:rsidRPr="005769E5" w14:paraId="1C0E45B1" w14:textId="77777777" w:rsidTr="00507E7F">
        <w:tc>
          <w:tcPr>
            <w:tcW w:w="1980" w:type="dxa"/>
          </w:tcPr>
          <w:p w14:paraId="48570994" w14:textId="77777777" w:rsidR="00507E7F" w:rsidRPr="005769E5" w:rsidRDefault="00000000">
            <w:pPr>
              <w:pStyle w:val="Compact"/>
              <w:jc w:val="left"/>
              <w:rPr>
                <w:color w:val="000000" w:themeColor="text1"/>
              </w:rPr>
            </w:pPr>
            <w:r w:rsidRPr="005769E5">
              <w:rPr>
                <w:color w:val="000000" w:themeColor="text1"/>
              </w:rPr>
              <w:t>Other combustibles</w:t>
            </w:r>
          </w:p>
        </w:tc>
        <w:tc>
          <w:tcPr>
            <w:tcW w:w="1980" w:type="dxa"/>
          </w:tcPr>
          <w:p w14:paraId="4E173BF8" w14:textId="77777777" w:rsidR="00507E7F" w:rsidRPr="005769E5" w:rsidRDefault="00000000">
            <w:pPr>
              <w:pStyle w:val="Compact"/>
              <w:jc w:val="left"/>
              <w:rPr>
                <w:color w:val="000000" w:themeColor="text1"/>
              </w:rPr>
            </w:pPr>
            <w:r w:rsidRPr="005769E5">
              <w:rPr>
                <w:color w:val="000000" w:themeColor="text1"/>
              </w:rPr>
              <w:t>12.0</w:t>
            </w:r>
          </w:p>
        </w:tc>
        <w:tc>
          <w:tcPr>
            <w:tcW w:w="1980" w:type="dxa"/>
          </w:tcPr>
          <w:p w14:paraId="6C6484B0" w14:textId="77777777" w:rsidR="00507E7F" w:rsidRPr="005769E5" w:rsidRDefault="00000000">
            <w:pPr>
              <w:pStyle w:val="Compact"/>
              <w:jc w:val="left"/>
              <w:rPr>
                <w:color w:val="000000" w:themeColor="text1"/>
              </w:rPr>
            </w:pPr>
            <w:r w:rsidRPr="005769E5">
              <w:rPr>
                <w:color w:val="000000" w:themeColor="text1"/>
              </w:rPr>
              <w:t>1.14</w:t>
            </w:r>
          </w:p>
        </w:tc>
        <w:tc>
          <w:tcPr>
            <w:tcW w:w="1980" w:type="dxa"/>
          </w:tcPr>
          <w:p w14:paraId="67434DD8" w14:textId="77777777" w:rsidR="00507E7F" w:rsidRPr="005769E5" w:rsidRDefault="00000000">
            <w:pPr>
              <w:pStyle w:val="Compact"/>
              <w:jc w:val="left"/>
              <w:rPr>
                <w:color w:val="000000" w:themeColor="text1"/>
              </w:rPr>
            </w:pPr>
            <w:r w:rsidRPr="005769E5">
              <w:rPr>
                <w:color w:val="000000" w:themeColor="text1"/>
              </w:rPr>
              <w:t>0.030</w:t>
            </w:r>
          </w:p>
        </w:tc>
      </w:tr>
    </w:tbl>
    <w:p w14:paraId="6A945231" w14:textId="37DDC724" w:rsidR="00507E7F" w:rsidRPr="005769E5" w:rsidRDefault="00000000">
      <w:pPr>
        <w:rPr>
          <w:color w:val="000000" w:themeColor="text1"/>
        </w:rPr>
      </w:pPr>
      <w:r w:rsidRPr="005769E5">
        <w:rPr>
          <w:color w:val="000000" w:themeColor="text1"/>
        </w:rPr>
        <w:t xml:space="preserve">Bottom ash: chemical exergy of unburnt material taken as 1.06 x unburnt energy; physical exergy from cp = 0.90 kJ/kg K at 473.15 K. District heat exergy: </w:t>
      </w:r>
      <w:r w:rsidR="00A96EC8" w:rsidRPr="005769E5">
        <w:rPr>
          <w:color w:val="000000" w:themeColor="text1"/>
        </w:rPr>
        <w:t>Q (</w:t>
      </w:r>
      <w:r w:rsidRPr="005769E5">
        <w:rPr>
          <w:color w:val="000000" w:themeColor="text1"/>
        </w:rPr>
        <w:t>1 - T0/T</w:t>
      </w:r>
      <w:r w:rsidRPr="005769E5">
        <w:rPr>
          <w:color w:val="000000" w:themeColor="text1"/>
          <w:vertAlign w:val="subscript"/>
        </w:rPr>
        <w:t>lm</w:t>
      </w:r>
      <w:r w:rsidRPr="005769E5">
        <w:rPr>
          <w:color w:val="000000" w:themeColor="text1"/>
        </w:rPr>
        <w:t>) with T</w:t>
      </w:r>
      <w:r w:rsidRPr="005769E5">
        <w:rPr>
          <w:color w:val="000000" w:themeColor="text1"/>
          <w:vertAlign w:val="subscript"/>
        </w:rPr>
        <w:t>lm</w:t>
      </w:r>
      <w:r w:rsidRPr="005769E5">
        <w:rPr>
          <w:color w:val="000000" w:themeColor="text1"/>
        </w:rPr>
        <w:t xml:space="preserve"> the logarithmic mean of supply and return temperatures.</w:t>
      </w:r>
    </w:p>
    <w:p w14:paraId="57221929" w14:textId="77777777" w:rsidR="00507E7F" w:rsidRPr="005769E5" w:rsidRDefault="00000000">
      <w:pPr>
        <w:pStyle w:val="Heading2"/>
        <w:rPr>
          <w:color w:val="000000" w:themeColor="text1"/>
        </w:rPr>
      </w:pPr>
      <w:bookmarkStart w:id="28" w:name="X9e3e1181c6661203265f2d52b744a583f29006c"/>
      <w:bookmarkEnd w:id="27"/>
      <w:r w:rsidRPr="005769E5">
        <w:rPr>
          <w:color w:val="000000" w:themeColor="text1"/>
        </w:rPr>
        <w:lastRenderedPageBreak/>
        <w:t>Table S3. Uncertain inputs and dependence structure</w:t>
      </w:r>
    </w:p>
    <w:tbl>
      <w:tblPr>
        <w:tblStyle w:val="Table"/>
        <w:tblW w:w="9057" w:type="dxa"/>
        <w:tblBorders>
          <w:top w:val="single" w:sz="6" w:space="0" w:color="808080"/>
          <w:left w:val="single" w:sz="6" w:space="0" w:color="808080"/>
          <w:bottom w:val="single" w:sz="6" w:space="0" w:color="808080"/>
          <w:right w:val="single" w:sz="6" w:space="0" w:color="808080"/>
          <w:insideH w:val="single" w:sz="4" w:space="0" w:color="BFBFBF"/>
          <w:insideV w:val="single" w:sz="4" w:space="0" w:color="BFBFBF"/>
        </w:tblBorders>
        <w:tblLayout w:type="fixed"/>
        <w:tblLook w:val="0020" w:firstRow="1" w:lastRow="0" w:firstColumn="0" w:lastColumn="0" w:noHBand="0" w:noVBand="0"/>
      </w:tblPr>
      <w:tblGrid>
        <w:gridCol w:w="3019"/>
        <w:gridCol w:w="3019"/>
        <w:gridCol w:w="3019"/>
      </w:tblGrid>
      <w:tr w:rsidR="00507E7F" w:rsidRPr="005769E5" w14:paraId="495D32FA" w14:textId="77777777" w:rsidTr="00A96EC8">
        <w:trPr>
          <w:cnfStyle w:val="100000000000" w:firstRow="1" w:lastRow="0" w:firstColumn="0" w:lastColumn="0" w:oddVBand="0" w:evenVBand="0" w:oddHBand="0" w:evenHBand="0" w:firstRowFirstColumn="0" w:firstRowLastColumn="0" w:lastRowFirstColumn="0" w:lastRowLastColumn="0"/>
          <w:trHeight w:val="278"/>
          <w:tblHeader/>
        </w:trPr>
        <w:tc>
          <w:tcPr>
            <w:tcW w:w="3019" w:type="dxa"/>
          </w:tcPr>
          <w:p w14:paraId="522C214B" w14:textId="77777777" w:rsidR="00507E7F" w:rsidRPr="005769E5" w:rsidRDefault="00000000">
            <w:pPr>
              <w:pStyle w:val="Compact"/>
              <w:jc w:val="left"/>
              <w:rPr>
                <w:color w:val="000000" w:themeColor="text1"/>
              </w:rPr>
            </w:pPr>
            <w:r w:rsidRPr="005769E5">
              <w:rPr>
                <w:color w:val="000000" w:themeColor="text1"/>
              </w:rPr>
              <w:t>Input</w:t>
            </w:r>
          </w:p>
        </w:tc>
        <w:tc>
          <w:tcPr>
            <w:tcW w:w="3019" w:type="dxa"/>
          </w:tcPr>
          <w:p w14:paraId="02062D91" w14:textId="77777777" w:rsidR="00507E7F" w:rsidRPr="005769E5" w:rsidRDefault="00000000">
            <w:pPr>
              <w:pStyle w:val="Compact"/>
              <w:jc w:val="left"/>
              <w:rPr>
                <w:color w:val="000000" w:themeColor="text1"/>
              </w:rPr>
            </w:pPr>
            <w:r w:rsidRPr="005769E5">
              <w:rPr>
                <w:color w:val="000000" w:themeColor="text1"/>
              </w:rPr>
              <w:t>Distribution</w:t>
            </w:r>
          </w:p>
        </w:tc>
        <w:tc>
          <w:tcPr>
            <w:tcW w:w="3019" w:type="dxa"/>
          </w:tcPr>
          <w:p w14:paraId="420EB5B2" w14:textId="77777777" w:rsidR="00507E7F" w:rsidRPr="005769E5" w:rsidRDefault="00000000">
            <w:pPr>
              <w:pStyle w:val="Compact"/>
              <w:jc w:val="left"/>
              <w:rPr>
                <w:color w:val="000000" w:themeColor="text1"/>
              </w:rPr>
            </w:pPr>
            <w:r w:rsidRPr="005769E5">
              <w:rPr>
                <w:color w:val="000000" w:themeColor="text1"/>
              </w:rPr>
              <w:t>Parameters</w:t>
            </w:r>
          </w:p>
        </w:tc>
      </w:tr>
      <w:tr w:rsidR="00507E7F" w:rsidRPr="005769E5" w14:paraId="323E4129" w14:textId="77777777" w:rsidTr="00A96EC8">
        <w:trPr>
          <w:trHeight w:val="510"/>
        </w:trPr>
        <w:tc>
          <w:tcPr>
            <w:tcW w:w="3019" w:type="dxa"/>
          </w:tcPr>
          <w:p w14:paraId="17796BFA" w14:textId="77777777" w:rsidR="00507E7F" w:rsidRPr="005769E5" w:rsidRDefault="00000000">
            <w:pPr>
              <w:pStyle w:val="Compact"/>
              <w:jc w:val="left"/>
              <w:rPr>
                <w:color w:val="000000" w:themeColor="text1"/>
              </w:rPr>
            </w:pPr>
            <w:r w:rsidRPr="005769E5">
              <w:rPr>
                <w:color w:val="000000" w:themeColor="text1"/>
              </w:rPr>
              <w:t>Waste mass fractions (12)</w:t>
            </w:r>
          </w:p>
        </w:tc>
        <w:tc>
          <w:tcPr>
            <w:tcW w:w="3019" w:type="dxa"/>
          </w:tcPr>
          <w:p w14:paraId="2830106B" w14:textId="77777777" w:rsidR="00507E7F" w:rsidRPr="005769E5" w:rsidRDefault="00000000">
            <w:pPr>
              <w:pStyle w:val="Compact"/>
              <w:jc w:val="left"/>
              <w:rPr>
                <w:color w:val="000000" w:themeColor="text1"/>
              </w:rPr>
            </w:pPr>
            <w:r w:rsidRPr="005769E5">
              <w:rPr>
                <w:color w:val="000000" w:themeColor="text1"/>
              </w:rPr>
              <w:t>Dirichlet</w:t>
            </w:r>
          </w:p>
        </w:tc>
        <w:tc>
          <w:tcPr>
            <w:tcW w:w="3019" w:type="dxa"/>
          </w:tcPr>
          <w:p w14:paraId="56F28DFF" w14:textId="77777777" w:rsidR="00507E7F" w:rsidRPr="005769E5" w:rsidRDefault="00000000" w:rsidP="00A96EC8">
            <w:pPr>
              <w:pStyle w:val="Compact"/>
              <w:jc w:val="left"/>
              <w:rPr>
                <w:color w:val="000000" w:themeColor="text1"/>
              </w:rPr>
            </w:pPr>
            <w:r w:rsidRPr="005769E5">
              <w:rPr>
                <w:color w:val="000000" w:themeColor="text1"/>
              </w:rPr>
              <w:t>concentration 120 x nominal composition (Table S2)</w:t>
            </w:r>
          </w:p>
        </w:tc>
      </w:tr>
      <w:tr w:rsidR="00507E7F" w:rsidRPr="005769E5" w14:paraId="3140FF58" w14:textId="77777777" w:rsidTr="00A96EC8">
        <w:trPr>
          <w:trHeight w:val="758"/>
        </w:trPr>
        <w:tc>
          <w:tcPr>
            <w:tcW w:w="3019" w:type="dxa"/>
          </w:tcPr>
          <w:p w14:paraId="19568D5A" w14:textId="77777777" w:rsidR="00507E7F" w:rsidRPr="005769E5" w:rsidRDefault="00000000">
            <w:pPr>
              <w:pStyle w:val="Compact"/>
              <w:jc w:val="left"/>
              <w:rPr>
                <w:color w:val="000000" w:themeColor="text1"/>
              </w:rPr>
            </w:pPr>
            <w:r w:rsidRPr="005769E5">
              <w:rPr>
                <w:color w:val="000000" w:themeColor="text1"/>
              </w:rPr>
              <w:t>Boiler heat-transfer effectiveness</w:t>
            </w:r>
          </w:p>
        </w:tc>
        <w:tc>
          <w:tcPr>
            <w:tcW w:w="3019" w:type="dxa"/>
          </w:tcPr>
          <w:p w14:paraId="287965CD" w14:textId="77777777" w:rsidR="00507E7F" w:rsidRPr="005769E5" w:rsidRDefault="00000000">
            <w:pPr>
              <w:pStyle w:val="Compact"/>
              <w:jc w:val="left"/>
              <w:rPr>
                <w:color w:val="000000" w:themeColor="text1"/>
              </w:rPr>
            </w:pPr>
            <w:r w:rsidRPr="005769E5">
              <w:rPr>
                <w:color w:val="000000" w:themeColor="text1"/>
              </w:rPr>
              <w:t>normal</w:t>
            </w:r>
          </w:p>
        </w:tc>
        <w:tc>
          <w:tcPr>
            <w:tcW w:w="3019" w:type="dxa"/>
          </w:tcPr>
          <w:p w14:paraId="5443347A" w14:textId="77777777" w:rsidR="00507E7F" w:rsidRPr="005769E5" w:rsidRDefault="00000000" w:rsidP="00A96EC8">
            <w:pPr>
              <w:pStyle w:val="Compact"/>
              <w:jc w:val="left"/>
              <w:rPr>
                <w:color w:val="000000" w:themeColor="text1"/>
              </w:rPr>
            </w:pPr>
            <w:r w:rsidRPr="005769E5">
              <w:rPr>
                <w:color w:val="000000" w:themeColor="text1"/>
              </w:rPr>
              <w:t>truncated normal, mean 0.930, sd 0.015, limits 0.88–0.97</w:t>
            </w:r>
          </w:p>
        </w:tc>
      </w:tr>
      <w:tr w:rsidR="00507E7F" w:rsidRPr="005769E5" w14:paraId="56584697" w14:textId="77777777" w:rsidTr="00A96EC8">
        <w:trPr>
          <w:trHeight w:val="263"/>
        </w:trPr>
        <w:tc>
          <w:tcPr>
            <w:tcW w:w="3019" w:type="dxa"/>
          </w:tcPr>
          <w:p w14:paraId="25909056" w14:textId="77777777" w:rsidR="00507E7F" w:rsidRPr="005769E5" w:rsidRDefault="00000000">
            <w:pPr>
              <w:pStyle w:val="Compact"/>
              <w:jc w:val="left"/>
              <w:rPr>
                <w:color w:val="000000" w:themeColor="text1"/>
              </w:rPr>
            </w:pPr>
            <w:r w:rsidRPr="005769E5">
              <w:rPr>
                <w:color w:val="000000" w:themeColor="text1"/>
              </w:rPr>
              <w:t>Unburnt fuel fraction</w:t>
            </w:r>
          </w:p>
        </w:tc>
        <w:tc>
          <w:tcPr>
            <w:tcW w:w="3019" w:type="dxa"/>
          </w:tcPr>
          <w:p w14:paraId="35FE0404" w14:textId="77777777" w:rsidR="00507E7F" w:rsidRPr="005769E5" w:rsidRDefault="00000000">
            <w:pPr>
              <w:pStyle w:val="Compact"/>
              <w:jc w:val="left"/>
              <w:rPr>
                <w:color w:val="000000" w:themeColor="text1"/>
              </w:rPr>
            </w:pPr>
            <w:r w:rsidRPr="005769E5">
              <w:rPr>
                <w:color w:val="000000" w:themeColor="text1"/>
              </w:rPr>
              <w:t>uniform</w:t>
            </w:r>
          </w:p>
        </w:tc>
        <w:tc>
          <w:tcPr>
            <w:tcW w:w="3019" w:type="dxa"/>
          </w:tcPr>
          <w:p w14:paraId="6CECDFF2" w14:textId="77777777" w:rsidR="00507E7F" w:rsidRPr="005769E5" w:rsidRDefault="00000000" w:rsidP="00A96EC8">
            <w:pPr>
              <w:pStyle w:val="Compact"/>
              <w:jc w:val="left"/>
              <w:rPr>
                <w:color w:val="000000" w:themeColor="text1"/>
              </w:rPr>
            </w:pPr>
            <w:r w:rsidRPr="005769E5">
              <w:rPr>
                <w:color w:val="000000" w:themeColor="text1"/>
              </w:rPr>
              <w:t>uniform, 0.005 to 0.02</w:t>
            </w:r>
          </w:p>
        </w:tc>
      </w:tr>
      <w:tr w:rsidR="00507E7F" w:rsidRPr="005769E5" w14:paraId="375D8CAF" w14:textId="77777777" w:rsidTr="00A96EC8">
        <w:trPr>
          <w:trHeight w:val="278"/>
        </w:trPr>
        <w:tc>
          <w:tcPr>
            <w:tcW w:w="3019" w:type="dxa"/>
          </w:tcPr>
          <w:p w14:paraId="1398FC7B" w14:textId="77777777" w:rsidR="00507E7F" w:rsidRPr="005769E5" w:rsidRDefault="00000000">
            <w:pPr>
              <w:pStyle w:val="Compact"/>
              <w:jc w:val="left"/>
              <w:rPr>
                <w:color w:val="000000" w:themeColor="text1"/>
              </w:rPr>
            </w:pPr>
            <w:r w:rsidRPr="005769E5">
              <w:rPr>
                <w:color w:val="000000" w:themeColor="text1"/>
              </w:rPr>
              <w:t>Live-steam temperature (°C)</w:t>
            </w:r>
          </w:p>
        </w:tc>
        <w:tc>
          <w:tcPr>
            <w:tcW w:w="3019" w:type="dxa"/>
          </w:tcPr>
          <w:p w14:paraId="6F1AA431" w14:textId="77777777" w:rsidR="00507E7F" w:rsidRPr="005769E5" w:rsidRDefault="00000000">
            <w:pPr>
              <w:pStyle w:val="Compact"/>
              <w:jc w:val="left"/>
              <w:rPr>
                <w:color w:val="000000" w:themeColor="text1"/>
              </w:rPr>
            </w:pPr>
            <w:r w:rsidRPr="005769E5">
              <w:rPr>
                <w:color w:val="000000" w:themeColor="text1"/>
              </w:rPr>
              <w:t>uniform</w:t>
            </w:r>
          </w:p>
        </w:tc>
        <w:tc>
          <w:tcPr>
            <w:tcW w:w="3019" w:type="dxa"/>
          </w:tcPr>
          <w:p w14:paraId="6C19DDC4" w14:textId="77777777" w:rsidR="00507E7F" w:rsidRPr="005769E5" w:rsidRDefault="00000000" w:rsidP="00A96EC8">
            <w:pPr>
              <w:pStyle w:val="Compact"/>
              <w:jc w:val="left"/>
              <w:rPr>
                <w:color w:val="000000" w:themeColor="text1"/>
              </w:rPr>
            </w:pPr>
            <w:r w:rsidRPr="005769E5">
              <w:rPr>
                <w:color w:val="000000" w:themeColor="text1"/>
              </w:rPr>
              <w:t>uniform, 400 to 450</w:t>
            </w:r>
          </w:p>
        </w:tc>
      </w:tr>
      <w:tr w:rsidR="00507E7F" w:rsidRPr="005769E5" w14:paraId="7261AD47" w14:textId="77777777" w:rsidTr="00A96EC8">
        <w:trPr>
          <w:trHeight w:val="278"/>
        </w:trPr>
        <w:tc>
          <w:tcPr>
            <w:tcW w:w="3019" w:type="dxa"/>
          </w:tcPr>
          <w:p w14:paraId="1AEADF62" w14:textId="77777777" w:rsidR="00507E7F" w:rsidRPr="005769E5" w:rsidRDefault="00000000">
            <w:pPr>
              <w:pStyle w:val="Compact"/>
              <w:jc w:val="left"/>
              <w:rPr>
                <w:color w:val="000000" w:themeColor="text1"/>
              </w:rPr>
            </w:pPr>
            <w:r w:rsidRPr="005769E5">
              <w:rPr>
                <w:color w:val="000000" w:themeColor="text1"/>
              </w:rPr>
              <w:t>Live-steam pressure (bar)</w:t>
            </w:r>
          </w:p>
        </w:tc>
        <w:tc>
          <w:tcPr>
            <w:tcW w:w="3019" w:type="dxa"/>
          </w:tcPr>
          <w:p w14:paraId="3F8862DB" w14:textId="77777777" w:rsidR="00507E7F" w:rsidRPr="005769E5" w:rsidRDefault="00000000">
            <w:pPr>
              <w:pStyle w:val="Compact"/>
              <w:jc w:val="left"/>
              <w:rPr>
                <w:color w:val="000000" w:themeColor="text1"/>
              </w:rPr>
            </w:pPr>
            <w:r w:rsidRPr="005769E5">
              <w:rPr>
                <w:color w:val="000000" w:themeColor="text1"/>
              </w:rPr>
              <w:t>uniform</w:t>
            </w:r>
          </w:p>
        </w:tc>
        <w:tc>
          <w:tcPr>
            <w:tcW w:w="3019" w:type="dxa"/>
          </w:tcPr>
          <w:p w14:paraId="6E45447F" w14:textId="77777777" w:rsidR="00507E7F" w:rsidRPr="005769E5" w:rsidRDefault="00000000" w:rsidP="00A96EC8">
            <w:pPr>
              <w:pStyle w:val="Compact"/>
              <w:jc w:val="left"/>
              <w:rPr>
                <w:color w:val="000000" w:themeColor="text1"/>
              </w:rPr>
            </w:pPr>
            <w:r w:rsidRPr="005769E5">
              <w:rPr>
                <w:color w:val="000000" w:themeColor="text1"/>
              </w:rPr>
              <w:t>uniform, 40 to 60</w:t>
            </w:r>
          </w:p>
        </w:tc>
      </w:tr>
      <w:tr w:rsidR="00507E7F" w:rsidRPr="005769E5" w14:paraId="73DC0400" w14:textId="77777777" w:rsidTr="00A96EC8">
        <w:trPr>
          <w:trHeight w:val="263"/>
        </w:trPr>
        <w:tc>
          <w:tcPr>
            <w:tcW w:w="3019" w:type="dxa"/>
          </w:tcPr>
          <w:p w14:paraId="2841616C" w14:textId="77777777" w:rsidR="00507E7F" w:rsidRPr="005769E5" w:rsidRDefault="00000000">
            <w:pPr>
              <w:pStyle w:val="Compact"/>
              <w:jc w:val="left"/>
              <w:rPr>
                <w:color w:val="000000" w:themeColor="text1"/>
              </w:rPr>
            </w:pPr>
            <w:r w:rsidRPr="005769E5">
              <w:rPr>
                <w:color w:val="000000" w:themeColor="text1"/>
              </w:rPr>
              <w:t>District-heating effectiveness</w:t>
            </w:r>
          </w:p>
        </w:tc>
        <w:tc>
          <w:tcPr>
            <w:tcW w:w="3019" w:type="dxa"/>
          </w:tcPr>
          <w:p w14:paraId="6F4343F9" w14:textId="77777777" w:rsidR="00507E7F" w:rsidRPr="005769E5" w:rsidRDefault="00000000">
            <w:pPr>
              <w:pStyle w:val="Compact"/>
              <w:jc w:val="left"/>
              <w:rPr>
                <w:color w:val="000000" w:themeColor="text1"/>
              </w:rPr>
            </w:pPr>
            <w:r w:rsidRPr="005769E5">
              <w:rPr>
                <w:color w:val="000000" w:themeColor="text1"/>
              </w:rPr>
              <w:t>uniform</w:t>
            </w:r>
          </w:p>
        </w:tc>
        <w:tc>
          <w:tcPr>
            <w:tcW w:w="3019" w:type="dxa"/>
          </w:tcPr>
          <w:p w14:paraId="02939C33" w14:textId="77777777" w:rsidR="00507E7F" w:rsidRPr="005769E5" w:rsidRDefault="00000000" w:rsidP="00A96EC8">
            <w:pPr>
              <w:pStyle w:val="Compact"/>
              <w:jc w:val="left"/>
              <w:rPr>
                <w:color w:val="000000" w:themeColor="text1"/>
              </w:rPr>
            </w:pPr>
            <w:r w:rsidRPr="005769E5">
              <w:rPr>
                <w:color w:val="000000" w:themeColor="text1"/>
              </w:rPr>
              <w:t>uniform, 0.65 to 0.75</w:t>
            </w:r>
          </w:p>
        </w:tc>
      </w:tr>
      <w:tr w:rsidR="00507E7F" w:rsidRPr="005769E5" w14:paraId="01E760D8" w14:textId="77777777" w:rsidTr="00A96EC8">
        <w:trPr>
          <w:trHeight w:val="278"/>
        </w:trPr>
        <w:tc>
          <w:tcPr>
            <w:tcW w:w="3019" w:type="dxa"/>
          </w:tcPr>
          <w:p w14:paraId="5A926C09" w14:textId="77777777" w:rsidR="00507E7F" w:rsidRPr="005769E5" w:rsidRDefault="00000000">
            <w:pPr>
              <w:pStyle w:val="Compact"/>
              <w:jc w:val="left"/>
              <w:rPr>
                <w:color w:val="000000" w:themeColor="text1"/>
              </w:rPr>
            </w:pPr>
            <w:r w:rsidRPr="005769E5">
              <w:rPr>
                <w:color w:val="000000" w:themeColor="text1"/>
              </w:rPr>
              <w:t>Auxiliary power fraction</w:t>
            </w:r>
          </w:p>
        </w:tc>
        <w:tc>
          <w:tcPr>
            <w:tcW w:w="3019" w:type="dxa"/>
          </w:tcPr>
          <w:p w14:paraId="3E4785BD" w14:textId="77777777" w:rsidR="00507E7F" w:rsidRPr="005769E5" w:rsidRDefault="00000000">
            <w:pPr>
              <w:pStyle w:val="Compact"/>
              <w:jc w:val="left"/>
              <w:rPr>
                <w:color w:val="000000" w:themeColor="text1"/>
              </w:rPr>
            </w:pPr>
            <w:r w:rsidRPr="005769E5">
              <w:rPr>
                <w:color w:val="000000" w:themeColor="text1"/>
              </w:rPr>
              <w:t>uniform</w:t>
            </w:r>
          </w:p>
        </w:tc>
        <w:tc>
          <w:tcPr>
            <w:tcW w:w="3019" w:type="dxa"/>
          </w:tcPr>
          <w:p w14:paraId="58E26FC9" w14:textId="77777777" w:rsidR="00507E7F" w:rsidRPr="005769E5" w:rsidRDefault="00000000" w:rsidP="00A96EC8">
            <w:pPr>
              <w:pStyle w:val="Compact"/>
              <w:jc w:val="left"/>
              <w:rPr>
                <w:color w:val="000000" w:themeColor="text1"/>
              </w:rPr>
            </w:pPr>
            <w:r w:rsidRPr="005769E5">
              <w:rPr>
                <w:color w:val="000000" w:themeColor="text1"/>
              </w:rPr>
              <w:t>uniform, 0.03 to 0.06</w:t>
            </w:r>
          </w:p>
        </w:tc>
      </w:tr>
      <w:tr w:rsidR="00507E7F" w:rsidRPr="005769E5" w14:paraId="0A8CC8ED" w14:textId="77777777" w:rsidTr="00A96EC8">
        <w:trPr>
          <w:trHeight w:val="510"/>
        </w:trPr>
        <w:tc>
          <w:tcPr>
            <w:tcW w:w="3019" w:type="dxa"/>
          </w:tcPr>
          <w:p w14:paraId="247AE462" w14:textId="77777777" w:rsidR="00507E7F" w:rsidRPr="005769E5" w:rsidRDefault="00000000">
            <w:pPr>
              <w:pStyle w:val="Compact"/>
              <w:jc w:val="left"/>
              <w:rPr>
                <w:color w:val="000000" w:themeColor="text1"/>
              </w:rPr>
            </w:pPr>
            <w:r w:rsidRPr="005769E5">
              <w:rPr>
                <w:color w:val="000000" w:themeColor="text1"/>
              </w:rPr>
              <w:t>District-heat supply temperature (°C)</w:t>
            </w:r>
          </w:p>
        </w:tc>
        <w:tc>
          <w:tcPr>
            <w:tcW w:w="3019" w:type="dxa"/>
          </w:tcPr>
          <w:p w14:paraId="19985A00" w14:textId="77777777" w:rsidR="00507E7F" w:rsidRPr="005769E5" w:rsidRDefault="00000000">
            <w:pPr>
              <w:pStyle w:val="Compact"/>
              <w:jc w:val="left"/>
              <w:rPr>
                <w:color w:val="000000" w:themeColor="text1"/>
              </w:rPr>
            </w:pPr>
            <w:r w:rsidRPr="005769E5">
              <w:rPr>
                <w:color w:val="000000" w:themeColor="text1"/>
              </w:rPr>
              <w:t>uniform</w:t>
            </w:r>
          </w:p>
        </w:tc>
        <w:tc>
          <w:tcPr>
            <w:tcW w:w="3019" w:type="dxa"/>
          </w:tcPr>
          <w:p w14:paraId="04C166AE" w14:textId="77777777" w:rsidR="00507E7F" w:rsidRPr="005769E5" w:rsidRDefault="00000000" w:rsidP="00A96EC8">
            <w:pPr>
              <w:pStyle w:val="Compact"/>
              <w:jc w:val="left"/>
              <w:rPr>
                <w:color w:val="000000" w:themeColor="text1"/>
              </w:rPr>
            </w:pPr>
            <w:r w:rsidRPr="005769E5">
              <w:rPr>
                <w:color w:val="000000" w:themeColor="text1"/>
              </w:rPr>
              <w:t>uniform, 85 to 105</w:t>
            </w:r>
          </w:p>
        </w:tc>
      </w:tr>
      <w:tr w:rsidR="00507E7F" w:rsidRPr="005769E5" w14:paraId="443CAD74" w14:textId="77777777" w:rsidTr="00A96EC8">
        <w:trPr>
          <w:trHeight w:val="510"/>
        </w:trPr>
        <w:tc>
          <w:tcPr>
            <w:tcW w:w="3019" w:type="dxa"/>
          </w:tcPr>
          <w:p w14:paraId="5604E9EA" w14:textId="77777777" w:rsidR="00507E7F" w:rsidRPr="005769E5" w:rsidRDefault="00000000">
            <w:pPr>
              <w:pStyle w:val="Compact"/>
              <w:jc w:val="left"/>
              <w:rPr>
                <w:color w:val="000000" w:themeColor="text1"/>
              </w:rPr>
            </w:pPr>
            <w:r w:rsidRPr="005769E5">
              <w:rPr>
                <w:color w:val="000000" w:themeColor="text1"/>
              </w:rPr>
              <w:t>District-heat return temperature (°C)</w:t>
            </w:r>
          </w:p>
        </w:tc>
        <w:tc>
          <w:tcPr>
            <w:tcW w:w="3019" w:type="dxa"/>
          </w:tcPr>
          <w:p w14:paraId="158E8A3B" w14:textId="77777777" w:rsidR="00507E7F" w:rsidRPr="005769E5" w:rsidRDefault="00000000">
            <w:pPr>
              <w:pStyle w:val="Compact"/>
              <w:jc w:val="left"/>
              <w:rPr>
                <w:color w:val="000000" w:themeColor="text1"/>
              </w:rPr>
            </w:pPr>
            <w:r w:rsidRPr="005769E5">
              <w:rPr>
                <w:color w:val="000000" w:themeColor="text1"/>
              </w:rPr>
              <w:t>uniform</w:t>
            </w:r>
          </w:p>
        </w:tc>
        <w:tc>
          <w:tcPr>
            <w:tcW w:w="3019" w:type="dxa"/>
          </w:tcPr>
          <w:p w14:paraId="1859B335" w14:textId="77777777" w:rsidR="00507E7F" w:rsidRPr="005769E5" w:rsidRDefault="00000000" w:rsidP="00A96EC8">
            <w:pPr>
              <w:pStyle w:val="Compact"/>
              <w:jc w:val="left"/>
              <w:rPr>
                <w:color w:val="000000" w:themeColor="text1"/>
              </w:rPr>
            </w:pPr>
            <w:r w:rsidRPr="005769E5">
              <w:rPr>
                <w:color w:val="000000" w:themeColor="text1"/>
              </w:rPr>
              <w:t>uniform, 45 to 60</w:t>
            </w:r>
          </w:p>
        </w:tc>
      </w:tr>
      <w:tr w:rsidR="00507E7F" w:rsidRPr="005769E5" w14:paraId="344818DB" w14:textId="77777777" w:rsidTr="00A96EC8">
        <w:trPr>
          <w:trHeight w:val="278"/>
        </w:trPr>
        <w:tc>
          <w:tcPr>
            <w:tcW w:w="3019" w:type="dxa"/>
          </w:tcPr>
          <w:p w14:paraId="66D713A1" w14:textId="77777777" w:rsidR="00507E7F" w:rsidRPr="005769E5" w:rsidRDefault="00000000">
            <w:pPr>
              <w:pStyle w:val="Compact"/>
              <w:jc w:val="left"/>
              <w:rPr>
                <w:color w:val="000000" w:themeColor="text1"/>
              </w:rPr>
            </w:pPr>
            <w:r w:rsidRPr="005769E5">
              <w:rPr>
                <w:color w:val="000000" w:themeColor="text1"/>
              </w:rPr>
              <w:t>Stack temperature (°C)</w:t>
            </w:r>
          </w:p>
        </w:tc>
        <w:tc>
          <w:tcPr>
            <w:tcW w:w="3019" w:type="dxa"/>
          </w:tcPr>
          <w:p w14:paraId="6418F52E" w14:textId="77777777" w:rsidR="00507E7F" w:rsidRPr="005769E5" w:rsidRDefault="00000000">
            <w:pPr>
              <w:pStyle w:val="Compact"/>
              <w:jc w:val="left"/>
              <w:rPr>
                <w:color w:val="000000" w:themeColor="text1"/>
              </w:rPr>
            </w:pPr>
            <w:r w:rsidRPr="005769E5">
              <w:rPr>
                <w:color w:val="000000" w:themeColor="text1"/>
              </w:rPr>
              <w:t>uniform</w:t>
            </w:r>
          </w:p>
        </w:tc>
        <w:tc>
          <w:tcPr>
            <w:tcW w:w="3019" w:type="dxa"/>
          </w:tcPr>
          <w:p w14:paraId="2C82E2EB" w14:textId="77777777" w:rsidR="00507E7F" w:rsidRPr="005769E5" w:rsidRDefault="00000000" w:rsidP="00A96EC8">
            <w:pPr>
              <w:pStyle w:val="Compact"/>
              <w:jc w:val="left"/>
              <w:rPr>
                <w:color w:val="000000" w:themeColor="text1"/>
              </w:rPr>
            </w:pPr>
            <w:r w:rsidRPr="005769E5">
              <w:rPr>
                <w:color w:val="000000" w:themeColor="text1"/>
              </w:rPr>
              <w:t>uniform, 130 to 160</w:t>
            </w:r>
          </w:p>
        </w:tc>
      </w:tr>
      <w:tr w:rsidR="00507E7F" w:rsidRPr="005769E5" w14:paraId="12743275" w14:textId="77777777" w:rsidTr="00A96EC8">
        <w:trPr>
          <w:trHeight w:val="510"/>
        </w:trPr>
        <w:tc>
          <w:tcPr>
            <w:tcW w:w="3019" w:type="dxa"/>
          </w:tcPr>
          <w:p w14:paraId="4CEE47F9" w14:textId="77777777" w:rsidR="00507E7F" w:rsidRPr="005769E5" w:rsidRDefault="00000000">
            <w:pPr>
              <w:pStyle w:val="Compact"/>
              <w:jc w:val="left"/>
              <w:rPr>
                <w:color w:val="000000" w:themeColor="text1"/>
              </w:rPr>
            </w:pPr>
            <w:r w:rsidRPr="005769E5">
              <w:rPr>
                <w:color w:val="000000" w:themeColor="text1"/>
              </w:rPr>
              <w:t>District-heat demand limit (MW)</w:t>
            </w:r>
          </w:p>
        </w:tc>
        <w:tc>
          <w:tcPr>
            <w:tcW w:w="3019" w:type="dxa"/>
          </w:tcPr>
          <w:p w14:paraId="6C4C010F" w14:textId="77777777" w:rsidR="00507E7F" w:rsidRPr="005769E5" w:rsidRDefault="00000000">
            <w:pPr>
              <w:pStyle w:val="Compact"/>
              <w:jc w:val="left"/>
              <w:rPr>
                <w:color w:val="000000" w:themeColor="text1"/>
              </w:rPr>
            </w:pPr>
            <w:r w:rsidRPr="005769E5">
              <w:rPr>
                <w:color w:val="000000" w:themeColor="text1"/>
              </w:rPr>
              <w:t>uniform</w:t>
            </w:r>
          </w:p>
        </w:tc>
        <w:tc>
          <w:tcPr>
            <w:tcW w:w="3019" w:type="dxa"/>
          </w:tcPr>
          <w:p w14:paraId="3AD181FA" w14:textId="77777777" w:rsidR="00507E7F" w:rsidRPr="005769E5" w:rsidRDefault="00000000" w:rsidP="00A96EC8">
            <w:pPr>
              <w:pStyle w:val="Compact"/>
              <w:jc w:val="left"/>
              <w:rPr>
                <w:color w:val="000000" w:themeColor="text1"/>
              </w:rPr>
            </w:pPr>
            <w:r w:rsidRPr="005769E5">
              <w:rPr>
                <w:color w:val="000000" w:themeColor="text1"/>
              </w:rPr>
              <w:t>uniform, 20 to 40</w:t>
            </w:r>
          </w:p>
        </w:tc>
      </w:tr>
    </w:tbl>
    <w:p w14:paraId="349B75E0" w14:textId="77777777" w:rsidR="00A96EC8" w:rsidRPr="005769E5" w:rsidRDefault="00A96EC8">
      <w:pPr>
        <w:rPr>
          <w:color w:val="000000" w:themeColor="text1"/>
        </w:rPr>
      </w:pPr>
    </w:p>
    <w:p w14:paraId="0EC075CB" w14:textId="522D72D7" w:rsidR="00507E7F" w:rsidRPr="005769E5" w:rsidRDefault="00000000">
      <w:pPr>
        <w:rPr>
          <w:color w:val="000000" w:themeColor="text1"/>
        </w:rPr>
      </w:pPr>
      <w:r w:rsidRPr="005769E5">
        <w:rPr>
          <w:color w:val="000000" w:themeColor="text1"/>
        </w:rPr>
        <w:t>Gaussian copula correlations among the continuous inputs (all other pairs independent):</w:t>
      </w:r>
    </w:p>
    <w:tbl>
      <w:tblPr>
        <w:tblStyle w:val="Table"/>
        <w:tblW w:w="9178" w:type="dxa"/>
        <w:tblBorders>
          <w:top w:val="single" w:sz="6" w:space="0" w:color="808080"/>
          <w:left w:val="single" w:sz="6" w:space="0" w:color="808080"/>
          <w:bottom w:val="single" w:sz="6" w:space="0" w:color="808080"/>
          <w:right w:val="single" w:sz="6" w:space="0" w:color="808080"/>
          <w:insideH w:val="single" w:sz="4" w:space="0" w:color="BFBFBF"/>
          <w:insideV w:val="single" w:sz="4" w:space="0" w:color="BFBFBF"/>
        </w:tblBorders>
        <w:tblLayout w:type="fixed"/>
        <w:tblLook w:val="0020" w:firstRow="1" w:lastRow="0" w:firstColumn="0" w:lastColumn="0" w:noHBand="0" w:noVBand="0"/>
      </w:tblPr>
      <w:tblGrid>
        <w:gridCol w:w="4589"/>
        <w:gridCol w:w="4589"/>
      </w:tblGrid>
      <w:tr w:rsidR="00507E7F" w:rsidRPr="005769E5" w14:paraId="79626C48" w14:textId="77777777" w:rsidTr="00A96EC8">
        <w:trPr>
          <w:cnfStyle w:val="100000000000" w:firstRow="1" w:lastRow="0" w:firstColumn="0" w:lastColumn="0" w:oddVBand="0" w:evenVBand="0" w:oddHBand="0" w:evenHBand="0" w:firstRowFirstColumn="0" w:firstRowLastColumn="0" w:lastRowFirstColumn="0" w:lastRowLastColumn="0"/>
          <w:trHeight w:val="271"/>
          <w:tblHeader/>
        </w:trPr>
        <w:tc>
          <w:tcPr>
            <w:tcW w:w="4589" w:type="dxa"/>
          </w:tcPr>
          <w:p w14:paraId="0873A492" w14:textId="77777777" w:rsidR="00507E7F" w:rsidRPr="005769E5" w:rsidRDefault="00000000">
            <w:pPr>
              <w:pStyle w:val="Compact"/>
              <w:jc w:val="left"/>
              <w:rPr>
                <w:color w:val="000000" w:themeColor="text1"/>
              </w:rPr>
            </w:pPr>
            <w:r w:rsidRPr="005769E5">
              <w:rPr>
                <w:color w:val="000000" w:themeColor="text1"/>
              </w:rPr>
              <w:t>Pair</w:t>
            </w:r>
          </w:p>
        </w:tc>
        <w:tc>
          <w:tcPr>
            <w:tcW w:w="4589" w:type="dxa"/>
          </w:tcPr>
          <w:p w14:paraId="577D34E0" w14:textId="77777777" w:rsidR="00507E7F" w:rsidRPr="005769E5" w:rsidRDefault="00000000">
            <w:pPr>
              <w:pStyle w:val="Compact"/>
              <w:jc w:val="left"/>
              <w:rPr>
                <w:color w:val="000000" w:themeColor="text1"/>
              </w:rPr>
            </w:pPr>
            <w:r w:rsidRPr="005769E5">
              <w:rPr>
                <w:color w:val="000000" w:themeColor="text1"/>
              </w:rPr>
              <w:t>Correlation</w:t>
            </w:r>
          </w:p>
        </w:tc>
      </w:tr>
      <w:tr w:rsidR="00507E7F" w:rsidRPr="005769E5" w14:paraId="61000E16" w14:textId="77777777" w:rsidTr="00A96EC8">
        <w:trPr>
          <w:trHeight w:val="498"/>
        </w:trPr>
        <w:tc>
          <w:tcPr>
            <w:tcW w:w="4589" w:type="dxa"/>
          </w:tcPr>
          <w:p w14:paraId="4FE11079" w14:textId="77777777" w:rsidR="00507E7F" w:rsidRPr="005769E5" w:rsidRDefault="00000000">
            <w:pPr>
              <w:pStyle w:val="Compact"/>
              <w:jc w:val="left"/>
              <w:rPr>
                <w:color w:val="000000" w:themeColor="text1"/>
              </w:rPr>
            </w:pPr>
            <w:r w:rsidRPr="005769E5">
              <w:rPr>
                <w:color w:val="000000" w:themeColor="text1"/>
              </w:rPr>
              <w:t>Boiler heat-transfer effectiveness / Unburnt fuel fraction</w:t>
            </w:r>
          </w:p>
        </w:tc>
        <w:tc>
          <w:tcPr>
            <w:tcW w:w="4589" w:type="dxa"/>
          </w:tcPr>
          <w:p w14:paraId="0841D7CA" w14:textId="77777777" w:rsidR="00507E7F" w:rsidRPr="005769E5" w:rsidRDefault="00000000">
            <w:pPr>
              <w:pStyle w:val="Compact"/>
              <w:jc w:val="left"/>
              <w:rPr>
                <w:color w:val="000000" w:themeColor="text1"/>
              </w:rPr>
            </w:pPr>
            <w:r w:rsidRPr="005769E5">
              <w:rPr>
                <w:color w:val="000000" w:themeColor="text1"/>
              </w:rPr>
              <w:t>-0.30</w:t>
            </w:r>
          </w:p>
        </w:tc>
      </w:tr>
      <w:tr w:rsidR="00507E7F" w:rsidRPr="005769E5" w14:paraId="7B115F48" w14:textId="77777777" w:rsidTr="00A96EC8">
        <w:trPr>
          <w:trHeight w:val="498"/>
        </w:trPr>
        <w:tc>
          <w:tcPr>
            <w:tcW w:w="4589" w:type="dxa"/>
          </w:tcPr>
          <w:p w14:paraId="5A295A8D" w14:textId="77777777" w:rsidR="00507E7F" w:rsidRPr="005769E5" w:rsidRDefault="00000000">
            <w:pPr>
              <w:pStyle w:val="Compact"/>
              <w:jc w:val="left"/>
              <w:rPr>
                <w:color w:val="000000" w:themeColor="text1"/>
              </w:rPr>
            </w:pPr>
            <w:r w:rsidRPr="005769E5">
              <w:rPr>
                <w:color w:val="000000" w:themeColor="text1"/>
              </w:rPr>
              <w:t>Boiler heat-transfer effectiveness / Stack temperature (°C)</w:t>
            </w:r>
          </w:p>
        </w:tc>
        <w:tc>
          <w:tcPr>
            <w:tcW w:w="4589" w:type="dxa"/>
          </w:tcPr>
          <w:p w14:paraId="7F83B706" w14:textId="77777777" w:rsidR="00507E7F" w:rsidRPr="005769E5" w:rsidRDefault="00000000">
            <w:pPr>
              <w:pStyle w:val="Compact"/>
              <w:jc w:val="left"/>
              <w:rPr>
                <w:color w:val="000000" w:themeColor="text1"/>
              </w:rPr>
            </w:pPr>
            <w:r w:rsidRPr="005769E5">
              <w:rPr>
                <w:color w:val="000000" w:themeColor="text1"/>
              </w:rPr>
              <w:t>-0.45</w:t>
            </w:r>
          </w:p>
        </w:tc>
      </w:tr>
      <w:tr w:rsidR="00507E7F" w:rsidRPr="005769E5" w14:paraId="3F4F3699" w14:textId="77777777" w:rsidTr="00A96EC8">
        <w:trPr>
          <w:trHeight w:val="498"/>
        </w:trPr>
        <w:tc>
          <w:tcPr>
            <w:tcW w:w="4589" w:type="dxa"/>
          </w:tcPr>
          <w:p w14:paraId="648141F8" w14:textId="77777777" w:rsidR="00507E7F" w:rsidRPr="005769E5" w:rsidRDefault="00000000">
            <w:pPr>
              <w:pStyle w:val="Compact"/>
              <w:jc w:val="left"/>
              <w:rPr>
                <w:color w:val="000000" w:themeColor="text1"/>
              </w:rPr>
            </w:pPr>
            <w:r w:rsidRPr="005769E5">
              <w:rPr>
                <w:color w:val="000000" w:themeColor="text1"/>
              </w:rPr>
              <w:t>Live-steam temperature (°C) / Live-steam pressure (bar)</w:t>
            </w:r>
          </w:p>
        </w:tc>
        <w:tc>
          <w:tcPr>
            <w:tcW w:w="4589" w:type="dxa"/>
          </w:tcPr>
          <w:p w14:paraId="4DCCA7D3" w14:textId="77777777" w:rsidR="00507E7F" w:rsidRPr="005769E5" w:rsidRDefault="00000000">
            <w:pPr>
              <w:pStyle w:val="Compact"/>
              <w:jc w:val="left"/>
              <w:rPr>
                <w:color w:val="000000" w:themeColor="text1"/>
              </w:rPr>
            </w:pPr>
            <w:r w:rsidRPr="005769E5">
              <w:rPr>
                <w:color w:val="000000" w:themeColor="text1"/>
              </w:rPr>
              <w:t>0.60</w:t>
            </w:r>
          </w:p>
        </w:tc>
      </w:tr>
      <w:tr w:rsidR="00507E7F" w:rsidRPr="005769E5" w14:paraId="585140C4" w14:textId="77777777" w:rsidTr="00A96EC8">
        <w:trPr>
          <w:trHeight w:val="498"/>
        </w:trPr>
        <w:tc>
          <w:tcPr>
            <w:tcW w:w="4589" w:type="dxa"/>
          </w:tcPr>
          <w:p w14:paraId="5CEE6977" w14:textId="77777777" w:rsidR="00507E7F" w:rsidRPr="005769E5" w:rsidRDefault="00000000">
            <w:pPr>
              <w:pStyle w:val="Compact"/>
              <w:jc w:val="left"/>
              <w:rPr>
                <w:color w:val="000000" w:themeColor="text1"/>
              </w:rPr>
            </w:pPr>
            <w:r w:rsidRPr="005769E5">
              <w:rPr>
                <w:color w:val="000000" w:themeColor="text1"/>
              </w:rPr>
              <w:t>District-heating effectiveness / District-heat supply temperature (°C)</w:t>
            </w:r>
          </w:p>
        </w:tc>
        <w:tc>
          <w:tcPr>
            <w:tcW w:w="4589" w:type="dxa"/>
          </w:tcPr>
          <w:p w14:paraId="4150EAEC" w14:textId="77777777" w:rsidR="00507E7F" w:rsidRPr="005769E5" w:rsidRDefault="00000000">
            <w:pPr>
              <w:pStyle w:val="Compact"/>
              <w:jc w:val="left"/>
              <w:rPr>
                <w:color w:val="000000" w:themeColor="text1"/>
              </w:rPr>
            </w:pPr>
            <w:r w:rsidRPr="005769E5">
              <w:rPr>
                <w:color w:val="000000" w:themeColor="text1"/>
              </w:rPr>
              <w:t>0.35</w:t>
            </w:r>
          </w:p>
        </w:tc>
      </w:tr>
    </w:tbl>
    <w:p w14:paraId="402E81A9" w14:textId="77777777" w:rsidR="00507E7F" w:rsidRPr="005769E5" w:rsidRDefault="00000000">
      <w:pPr>
        <w:pStyle w:val="Heading2"/>
        <w:rPr>
          <w:color w:val="000000" w:themeColor="text1"/>
        </w:rPr>
      </w:pPr>
      <w:bookmarkStart w:id="29" w:name="X6e7f8040c61091ee7fbfdd502dedccb65bdf8d2"/>
      <w:bookmarkEnd w:id="28"/>
      <w:r w:rsidRPr="005769E5">
        <w:rPr>
          <w:color w:val="000000" w:themeColor="text1"/>
        </w:rPr>
        <w:t>Table S4. Exergy balance and allocation at the nominal point</w:t>
      </w:r>
    </w:p>
    <w:tbl>
      <w:tblPr>
        <w:tblStyle w:val="Table"/>
        <w:tblW w:w="7920" w:type="dxa"/>
        <w:tblBorders>
          <w:top w:val="single" w:sz="6" w:space="0" w:color="808080"/>
          <w:left w:val="single" w:sz="6" w:space="0" w:color="808080"/>
          <w:bottom w:val="single" w:sz="6" w:space="0" w:color="808080"/>
          <w:right w:val="single" w:sz="6" w:space="0" w:color="808080"/>
          <w:insideH w:val="single" w:sz="4" w:space="0" w:color="BFBFBF"/>
          <w:insideV w:val="single" w:sz="4" w:space="0" w:color="BFBFBF"/>
        </w:tblBorders>
        <w:tblLayout w:type="fixed"/>
        <w:tblLook w:val="0020" w:firstRow="1" w:lastRow="0" w:firstColumn="0" w:lastColumn="0" w:noHBand="0" w:noVBand="0"/>
      </w:tblPr>
      <w:tblGrid>
        <w:gridCol w:w="1980"/>
        <w:gridCol w:w="1980"/>
        <w:gridCol w:w="1980"/>
        <w:gridCol w:w="1980"/>
      </w:tblGrid>
      <w:tr w:rsidR="00507E7F" w:rsidRPr="005769E5" w14:paraId="7FB0266D" w14:textId="77777777" w:rsidTr="00507E7F">
        <w:trPr>
          <w:cnfStyle w:val="100000000000" w:firstRow="1" w:lastRow="0" w:firstColumn="0" w:lastColumn="0" w:oddVBand="0" w:evenVBand="0" w:oddHBand="0" w:evenHBand="0" w:firstRowFirstColumn="0" w:firstRowLastColumn="0" w:lastRowFirstColumn="0" w:lastRowLastColumn="0"/>
          <w:tblHeader/>
        </w:trPr>
        <w:tc>
          <w:tcPr>
            <w:tcW w:w="1980" w:type="dxa"/>
          </w:tcPr>
          <w:p w14:paraId="5330FDCB" w14:textId="77777777" w:rsidR="00507E7F" w:rsidRPr="005769E5" w:rsidRDefault="00000000">
            <w:pPr>
              <w:pStyle w:val="Compact"/>
              <w:jc w:val="left"/>
              <w:rPr>
                <w:color w:val="000000" w:themeColor="text1"/>
              </w:rPr>
            </w:pPr>
            <w:r w:rsidRPr="005769E5">
              <w:rPr>
                <w:color w:val="000000" w:themeColor="text1"/>
              </w:rPr>
              <w:t>Term</w:t>
            </w:r>
          </w:p>
        </w:tc>
        <w:tc>
          <w:tcPr>
            <w:tcW w:w="1980" w:type="dxa"/>
          </w:tcPr>
          <w:p w14:paraId="198546F1" w14:textId="77777777" w:rsidR="00507E7F" w:rsidRPr="005769E5" w:rsidRDefault="00000000">
            <w:pPr>
              <w:pStyle w:val="Compact"/>
              <w:jc w:val="left"/>
              <w:rPr>
                <w:color w:val="000000" w:themeColor="text1"/>
              </w:rPr>
            </w:pPr>
            <w:r w:rsidRPr="005769E5">
              <w:rPr>
                <w:color w:val="000000" w:themeColor="text1"/>
              </w:rPr>
              <w:t>Exergy rate (MW)</w:t>
            </w:r>
          </w:p>
        </w:tc>
        <w:tc>
          <w:tcPr>
            <w:tcW w:w="1980" w:type="dxa"/>
          </w:tcPr>
          <w:p w14:paraId="28FF3823" w14:textId="27DCE8D6" w:rsidR="00507E7F" w:rsidRPr="005769E5" w:rsidRDefault="00000000">
            <w:pPr>
              <w:pStyle w:val="Compact"/>
              <w:jc w:val="left"/>
              <w:rPr>
                <w:color w:val="000000" w:themeColor="text1"/>
              </w:rPr>
            </w:pPr>
            <w:r w:rsidRPr="005769E5">
              <w:rPr>
                <w:color w:val="000000" w:themeColor="text1"/>
              </w:rPr>
              <w:t>Share of B</w:t>
            </w:r>
            <w:r w:rsidRPr="005769E5">
              <w:rPr>
                <w:color w:val="000000" w:themeColor="text1"/>
                <w:vertAlign w:val="subscript"/>
              </w:rPr>
              <w:t>in</w:t>
            </w:r>
            <w:r w:rsidRPr="005769E5">
              <w:rPr>
                <w:color w:val="000000" w:themeColor="text1"/>
              </w:rPr>
              <w:t xml:space="preserve"> (%)</w:t>
            </w:r>
          </w:p>
        </w:tc>
        <w:tc>
          <w:tcPr>
            <w:tcW w:w="1980" w:type="dxa"/>
          </w:tcPr>
          <w:p w14:paraId="62194D1C" w14:textId="77777777" w:rsidR="00507E7F" w:rsidRPr="005769E5" w:rsidRDefault="00000000">
            <w:pPr>
              <w:pStyle w:val="Compact"/>
              <w:jc w:val="left"/>
              <w:rPr>
                <w:color w:val="000000" w:themeColor="text1"/>
              </w:rPr>
            </w:pPr>
            <w:r w:rsidRPr="005769E5">
              <w:rPr>
                <w:color w:val="000000" w:themeColor="text1"/>
              </w:rPr>
              <w:t>Allocation factor</w:t>
            </w:r>
          </w:p>
        </w:tc>
      </w:tr>
      <w:tr w:rsidR="00507E7F" w:rsidRPr="005769E5" w14:paraId="24371CCC" w14:textId="77777777" w:rsidTr="00507E7F">
        <w:tc>
          <w:tcPr>
            <w:tcW w:w="1980" w:type="dxa"/>
          </w:tcPr>
          <w:p w14:paraId="23BF1C16" w14:textId="77777777" w:rsidR="00507E7F" w:rsidRPr="005769E5" w:rsidRDefault="00000000">
            <w:pPr>
              <w:pStyle w:val="Compact"/>
              <w:jc w:val="left"/>
              <w:rPr>
                <w:color w:val="000000" w:themeColor="text1"/>
              </w:rPr>
            </w:pPr>
            <w:r w:rsidRPr="005769E5">
              <w:rPr>
                <w:color w:val="000000" w:themeColor="text1"/>
              </w:rPr>
              <w:t>Waste chemical exergy (input)</w:t>
            </w:r>
          </w:p>
        </w:tc>
        <w:tc>
          <w:tcPr>
            <w:tcW w:w="1980" w:type="dxa"/>
          </w:tcPr>
          <w:p w14:paraId="75A52E76" w14:textId="77777777" w:rsidR="00507E7F" w:rsidRPr="005769E5" w:rsidRDefault="00000000">
            <w:pPr>
              <w:pStyle w:val="Compact"/>
              <w:jc w:val="left"/>
              <w:rPr>
                <w:color w:val="000000" w:themeColor="text1"/>
              </w:rPr>
            </w:pPr>
            <w:r w:rsidRPr="005769E5">
              <w:rPr>
                <w:color w:val="000000" w:themeColor="text1"/>
              </w:rPr>
              <w:t>71.995</w:t>
            </w:r>
          </w:p>
        </w:tc>
        <w:tc>
          <w:tcPr>
            <w:tcW w:w="1980" w:type="dxa"/>
          </w:tcPr>
          <w:p w14:paraId="5CF46717" w14:textId="77777777" w:rsidR="00507E7F" w:rsidRPr="005769E5" w:rsidRDefault="00000000">
            <w:pPr>
              <w:pStyle w:val="Compact"/>
              <w:jc w:val="left"/>
              <w:rPr>
                <w:color w:val="000000" w:themeColor="text1"/>
              </w:rPr>
            </w:pPr>
            <w:r w:rsidRPr="005769E5">
              <w:rPr>
                <w:color w:val="000000" w:themeColor="text1"/>
              </w:rPr>
              <w:t>99.13</w:t>
            </w:r>
          </w:p>
        </w:tc>
        <w:tc>
          <w:tcPr>
            <w:tcW w:w="1980" w:type="dxa"/>
          </w:tcPr>
          <w:p w14:paraId="2723D1DF" w14:textId="77777777" w:rsidR="00507E7F" w:rsidRPr="005769E5" w:rsidRDefault="00000000">
            <w:pPr>
              <w:pStyle w:val="Compact"/>
              <w:jc w:val="left"/>
              <w:rPr>
                <w:color w:val="000000" w:themeColor="text1"/>
              </w:rPr>
            </w:pPr>
            <w:r w:rsidRPr="005769E5">
              <w:rPr>
                <w:color w:val="000000" w:themeColor="text1"/>
              </w:rPr>
              <w:t>–</w:t>
            </w:r>
          </w:p>
        </w:tc>
      </w:tr>
      <w:tr w:rsidR="00507E7F" w:rsidRPr="005769E5" w14:paraId="3100A2FD" w14:textId="77777777" w:rsidTr="00507E7F">
        <w:tc>
          <w:tcPr>
            <w:tcW w:w="1980" w:type="dxa"/>
          </w:tcPr>
          <w:p w14:paraId="71588E34" w14:textId="77777777" w:rsidR="00507E7F" w:rsidRPr="005769E5" w:rsidRDefault="00000000">
            <w:pPr>
              <w:pStyle w:val="Compact"/>
              <w:jc w:val="left"/>
              <w:rPr>
                <w:color w:val="000000" w:themeColor="text1"/>
              </w:rPr>
            </w:pPr>
            <w:r w:rsidRPr="005769E5">
              <w:rPr>
                <w:color w:val="000000" w:themeColor="text1"/>
              </w:rPr>
              <w:t>Auxiliary electricity (input)</w:t>
            </w:r>
          </w:p>
        </w:tc>
        <w:tc>
          <w:tcPr>
            <w:tcW w:w="1980" w:type="dxa"/>
          </w:tcPr>
          <w:p w14:paraId="6D5467C2" w14:textId="77777777" w:rsidR="00507E7F" w:rsidRPr="005769E5" w:rsidRDefault="00000000">
            <w:pPr>
              <w:pStyle w:val="Compact"/>
              <w:jc w:val="left"/>
              <w:rPr>
                <w:color w:val="000000" w:themeColor="text1"/>
              </w:rPr>
            </w:pPr>
            <w:r w:rsidRPr="005769E5">
              <w:rPr>
                <w:color w:val="000000" w:themeColor="text1"/>
              </w:rPr>
              <w:t>0.628</w:t>
            </w:r>
          </w:p>
        </w:tc>
        <w:tc>
          <w:tcPr>
            <w:tcW w:w="1980" w:type="dxa"/>
          </w:tcPr>
          <w:p w14:paraId="5A1D7BE1" w14:textId="77777777" w:rsidR="00507E7F" w:rsidRPr="005769E5" w:rsidRDefault="00000000">
            <w:pPr>
              <w:pStyle w:val="Compact"/>
              <w:jc w:val="left"/>
              <w:rPr>
                <w:color w:val="000000" w:themeColor="text1"/>
              </w:rPr>
            </w:pPr>
            <w:r w:rsidRPr="005769E5">
              <w:rPr>
                <w:color w:val="000000" w:themeColor="text1"/>
              </w:rPr>
              <w:t>0.87</w:t>
            </w:r>
          </w:p>
        </w:tc>
        <w:tc>
          <w:tcPr>
            <w:tcW w:w="1980" w:type="dxa"/>
          </w:tcPr>
          <w:p w14:paraId="38265110" w14:textId="77777777" w:rsidR="00507E7F" w:rsidRPr="005769E5" w:rsidRDefault="00000000">
            <w:pPr>
              <w:pStyle w:val="Compact"/>
              <w:jc w:val="left"/>
              <w:rPr>
                <w:color w:val="000000" w:themeColor="text1"/>
              </w:rPr>
            </w:pPr>
            <w:r w:rsidRPr="005769E5">
              <w:rPr>
                <w:color w:val="000000" w:themeColor="text1"/>
              </w:rPr>
              <w:t>–</w:t>
            </w:r>
          </w:p>
        </w:tc>
      </w:tr>
      <w:tr w:rsidR="00507E7F" w:rsidRPr="005769E5" w14:paraId="007884E6" w14:textId="77777777" w:rsidTr="00507E7F">
        <w:tc>
          <w:tcPr>
            <w:tcW w:w="1980" w:type="dxa"/>
          </w:tcPr>
          <w:p w14:paraId="00798507" w14:textId="77777777" w:rsidR="00507E7F" w:rsidRPr="005769E5" w:rsidRDefault="00000000">
            <w:pPr>
              <w:pStyle w:val="Compact"/>
              <w:jc w:val="left"/>
              <w:rPr>
                <w:color w:val="000000" w:themeColor="text1"/>
              </w:rPr>
            </w:pPr>
            <w:r w:rsidRPr="005769E5">
              <w:rPr>
                <w:color w:val="000000" w:themeColor="text1"/>
              </w:rPr>
              <w:t>Net electricity (co-product)</w:t>
            </w:r>
          </w:p>
        </w:tc>
        <w:tc>
          <w:tcPr>
            <w:tcW w:w="1980" w:type="dxa"/>
          </w:tcPr>
          <w:p w14:paraId="50F10B19" w14:textId="77777777" w:rsidR="00507E7F" w:rsidRPr="005769E5" w:rsidRDefault="00000000">
            <w:pPr>
              <w:pStyle w:val="Compact"/>
              <w:jc w:val="left"/>
              <w:rPr>
                <w:color w:val="000000" w:themeColor="text1"/>
              </w:rPr>
            </w:pPr>
            <w:r w:rsidRPr="005769E5">
              <w:rPr>
                <w:color w:val="000000" w:themeColor="text1"/>
              </w:rPr>
              <w:t>13.336</w:t>
            </w:r>
          </w:p>
        </w:tc>
        <w:tc>
          <w:tcPr>
            <w:tcW w:w="1980" w:type="dxa"/>
          </w:tcPr>
          <w:p w14:paraId="4A43A8B5" w14:textId="77777777" w:rsidR="00507E7F" w:rsidRPr="005769E5" w:rsidRDefault="00000000">
            <w:pPr>
              <w:pStyle w:val="Compact"/>
              <w:jc w:val="left"/>
              <w:rPr>
                <w:color w:val="000000" w:themeColor="text1"/>
              </w:rPr>
            </w:pPr>
            <w:r w:rsidRPr="005769E5">
              <w:rPr>
                <w:color w:val="000000" w:themeColor="text1"/>
              </w:rPr>
              <w:t>18.36</w:t>
            </w:r>
          </w:p>
        </w:tc>
        <w:tc>
          <w:tcPr>
            <w:tcW w:w="1980" w:type="dxa"/>
          </w:tcPr>
          <w:p w14:paraId="20ABF8E7" w14:textId="77777777" w:rsidR="00507E7F" w:rsidRPr="005769E5" w:rsidRDefault="00000000">
            <w:pPr>
              <w:pStyle w:val="Compact"/>
              <w:jc w:val="left"/>
              <w:rPr>
                <w:color w:val="000000" w:themeColor="text1"/>
              </w:rPr>
            </w:pPr>
            <w:r w:rsidRPr="005769E5">
              <w:rPr>
                <w:color w:val="000000" w:themeColor="text1"/>
              </w:rPr>
              <w:t>0.738</w:t>
            </w:r>
          </w:p>
        </w:tc>
      </w:tr>
      <w:tr w:rsidR="00507E7F" w:rsidRPr="005769E5" w14:paraId="6BB58C52" w14:textId="77777777" w:rsidTr="00507E7F">
        <w:tc>
          <w:tcPr>
            <w:tcW w:w="1980" w:type="dxa"/>
          </w:tcPr>
          <w:p w14:paraId="2A8F09E7" w14:textId="77777777" w:rsidR="00507E7F" w:rsidRPr="005769E5" w:rsidRDefault="00000000">
            <w:pPr>
              <w:pStyle w:val="Compact"/>
              <w:jc w:val="left"/>
              <w:rPr>
                <w:color w:val="000000" w:themeColor="text1"/>
              </w:rPr>
            </w:pPr>
            <w:r w:rsidRPr="005769E5">
              <w:rPr>
                <w:color w:val="000000" w:themeColor="text1"/>
              </w:rPr>
              <w:t>District heat (co-product)</w:t>
            </w:r>
          </w:p>
        </w:tc>
        <w:tc>
          <w:tcPr>
            <w:tcW w:w="1980" w:type="dxa"/>
          </w:tcPr>
          <w:p w14:paraId="4C7BAC0C" w14:textId="77777777" w:rsidR="00507E7F" w:rsidRPr="005769E5" w:rsidRDefault="00000000">
            <w:pPr>
              <w:pStyle w:val="Compact"/>
              <w:jc w:val="left"/>
              <w:rPr>
                <w:color w:val="000000" w:themeColor="text1"/>
              </w:rPr>
            </w:pPr>
            <w:r w:rsidRPr="005769E5">
              <w:rPr>
                <w:color w:val="000000" w:themeColor="text1"/>
              </w:rPr>
              <w:t>3.849</w:t>
            </w:r>
          </w:p>
        </w:tc>
        <w:tc>
          <w:tcPr>
            <w:tcW w:w="1980" w:type="dxa"/>
          </w:tcPr>
          <w:p w14:paraId="3F84387D" w14:textId="77777777" w:rsidR="00507E7F" w:rsidRPr="005769E5" w:rsidRDefault="00000000">
            <w:pPr>
              <w:pStyle w:val="Compact"/>
              <w:jc w:val="left"/>
              <w:rPr>
                <w:color w:val="000000" w:themeColor="text1"/>
              </w:rPr>
            </w:pPr>
            <w:r w:rsidRPr="005769E5">
              <w:rPr>
                <w:color w:val="000000" w:themeColor="text1"/>
              </w:rPr>
              <w:t>5.30</w:t>
            </w:r>
          </w:p>
        </w:tc>
        <w:tc>
          <w:tcPr>
            <w:tcW w:w="1980" w:type="dxa"/>
          </w:tcPr>
          <w:p w14:paraId="4E77F9C3" w14:textId="77777777" w:rsidR="00507E7F" w:rsidRPr="005769E5" w:rsidRDefault="00000000">
            <w:pPr>
              <w:pStyle w:val="Compact"/>
              <w:jc w:val="left"/>
              <w:rPr>
                <w:color w:val="000000" w:themeColor="text1"/>
              </w:rPr>
            </w:pPr>
            <w:r w:rsidRPr="005769E5">
              <w:rPr>
                <w:color w:val="000000" w:themeColor="text1"/>
              </w:rPr>
              <w:t>0.213</w:t>
            </w:r>
          </w:p>
        </w:tc>
      </w:tr>
      <w:tr w:rsidR="00507E7F" w:rsidRPr="005769E5" w14:paraId="53168D4A" w14:textId="77777777" w:rsidTr="00507E7F">
        <w:tc>
          <w:tcPr>
            <w:tcW w:w="1980" w:type="dxa"/>
          </w:tcPr>
          <w:p w14:paraId="2ED527DE" w14:textId="77777777" w:rsidR="00507E7F" w:rsidRPr="005769E5" w:rsidRDefault="00000000">
            <w:pPr>
              <w:pStyle w:val="Compact"/>
              <w:jc w:val="left"/>
              <w:rPr>
                <w:color w:val="000000" w:themeColor="text1"/>
              </w:rPr>
            </w:pPr>
            <w:r w:rsidRPr="005769E5">
              <w:rPr>
                <w:color w:val="000000" w:themeColor="text1"/>
              </w:rPr>
              <w:t>Bottom ash (co-product)</w:t>
            </w:r>
          </w:p>
        </w:tc>
        <w:tc>
          <w:tcPr>
            <w:tcW w:w="1980" w:type="dxa"/>
          </w:tcPr>
          <w:p w14:paraId="42672FB6" w14:textId="77777777" w:rsidR="00507E7F" w:rsidRPr="005769E5" w:rsidRDefault="00000000">
            <w:pPr>
              <w:pStyle w:val="Compact"/>
              <w:jc w:val="left"/>
              <w:rPr>
                <w:color w:val="000000" w:themeColor="text1"/>
              </w:rPr>
            </w:pPr>
            <w:r w:rsidRPr="005769E5">
              <w:rPr>
                <w:color w:val="000000" w:themeColor="text1"/>
              </w:rPr>
              <w:t>0.895</w:t>
            </w:r>
          </w:p>
        </w:tc>
        <w:tc>
          <w:tcPr>
            <w:tcW w:w="1980" w:type="dxa"/>
          </w:tcPr>
          <w:p w14:paraId="0B9E3E93" w14:textId="77777777" w:rsidR="00507E7F" w:rsidRPr="005769E5" w:rsidRDefault="00000000">
            <w:pPr>
              <w:pStyle w:val="Compact"/>
              <w:jc w:val="left"/>
              <w:rPr>
                <w:color w:val="000000" w:themeColor="text1"/>
              </w:rPr>
            </w:pPr>
            <w:r w:rsidRPr="005769E5">
              <w:rPr>
                <w:color w:val="000000" w:themeColor="text1"/>
              </w:rPr>
              <w:t>1.23</w:t>
            </w:r>
          </w:p>
        </w:tc>
        <w:tc>
          <w:tcPr>
            <w:tcW w:w="1980" w:type="dxa"/>
          </w:tcPr>
          <w:p w14:paraId="50D33EA1" w14:textId="77777777" w:rsidR="00507E7F" w:rsidRPr="005769E5" w:rsidRDefault="00000000">
            <w:pPr>
              <w:pStyle w:val="Compact"/>
              <w:jc w:val="left"/>
              <w:rPr>
                <w:color w:val="000000" w:themeColor="text1"/>
              </w:rPr>
            </w:pPr>
            <w:r w:rsidRPr="005769E5">
              <w:rPr>
                <w:color w:val="000000" w:themeColor="text1"/>
              </w:rPr>
              <w:t>0.050</w:t>
            </w:r>
          </w:p>
        </w:tc>
      </w:tr>
      <w:tr w:rsidR="00507E7F" w:rsidRPr="005769E5" w14:paraId="49A1A996" w14:textId="77777777" w:rsidTr="00507E7F">
        <w:tc>
          <w:tcPr>
            <w:tcW w:w="1980" w:type="dxa"/>
          </w:tcPr>
          <w:p w14:paraId="233731D1" w14:textId="77777777" w:rsidR="00507E7F" w:rsidRPr="005769E5" w:rsidRDefault="00000000">
            <w:pPr>
              <w:pStyle w:val="Compact"/>
              <w:jc w:val="left"/>
              <w:rPr>
                <w:color w:val="000000" w:themeColor="text1"/>
              </w:rPr>
            </w:pPr>
            <w:r w:rsidRPr="005769E5">
              <w:rPr>
                <w:color w:val="000000" w:themeColor="text1"/>
              </w:rPr>
              <w:t>Stack gas (loss)</w:t>
            </w:r>
          </w:p>
        </w:tc>
        <w:tc>
          <w:tcPr>
            <w:tcW w:w="1980" w:type="dxa"/>
          </w:tcPr>
          <w:p w14:paraId="177EE1EA" w14:textId="77777777" w:rsidR="00507E7F" w:rsidRPr="005769E5" w:rsidRDefault="00000000">
            <w:pPr>
              <w:pStyle w:val="Compact"/>
              <w:jc w:val="left"/>
              <w:rPr>
                <w:color w:val="000000" w:themeColor="text1"/>
              </w:rPr>
            </w:pPr>
            <w:r w:rsidRPr="005769E5">
              <w:rPr>
                <w:color w:val="000000" w:themeColor="text1"/>
              </w:rPr>
              <w:t>1.024</w:t>
            </w:r>
          </w:p>
        </w:tc>
        <w:tc>
          <w:tcPr>
            <w:tcW w:w="1980" w:type="dxa"/>
          </w:tcPr>
          <w:p w14:paraId="79AD9051" w14:textId="77777777" w:rsidR="00507E7F" w:rsidRPr="005769E5" w:rsidRDefault="00000000">
            <w:pPr>
              <w:pStyle w:val="Compact"/>
              <w:jc w:val="left"/>
              <w:rPr>
                <w:color w:val="000000" w:themeColor="text1"/>
              </w:rPr>
            </w:pPr>
            <w:r w:rsidRPr="005769E5">
              <w:rPr>
                <w:color w:val="000000" w:themeColor="text1"/>
              </w:rPr>
              <w:t>1.41</w:t>
            </w:r>
          </w:p>
        </w:tc>
        <w:tc>
          <w:tcPr>
            <w:tcW w:w="1980" w:type="dxa"/>
          </w:tcPr>
          <w:p w14:paraId="12866A1E" w14:textId="77777777" w:rsidR="00507E7F" w:rsidRPr="005769E5" w:rsidRDefault="00000000">
            <w:pPr>
              <w:pStyle w:val="Compact"/>
              <w:jc w:val="left"/>
              <w:rPr>
                <w:color w:val="000000" w:themeColor="text1"/>
              </w:rPr>
            </w:pPr>
            <w:r w:rsidRPr="005769E5">
              <w:rPr>
                <w:color w:val="000000" w:themeColor="text1"/>
              </w:rPr>
              <w:t>–</w:t>
            </w:r>
          </w:p>
        </w:tc>
      </w:tr>
      <w:tr w:rsidR="00507E7F" w:rsidRPr="005769E5" w14:paraId="0840CF6E" w14:textId="77777777" w:rsidTr="00507E7F">
        <w:tc>
          <w:tcPr>
            <w:tcW w:w="1980" w:type="dxa"/>
          </w:tcPr>
          <w:p w14:paraId="59F3AB2B" w14:textId="77777777" w:rsidR="00507E7F" w:rsidRPr="005769E5" w:rsidRDefault="00000000">
            <w:pPr>
              <w:pStyle w:val="Compact"/>
              <w:jc w:val="left"/>
              <w:rPr>
                <w:color w:val="000000" w:themeColor="text1"/>
              </w:rPr>
            </w:pPr>
            <w:r w:rsidRPr="005769E5">
              <w:rPr>
                <w:color w:val="000000" w:themeColor="text1"/>
              </w:rPr>
              <w:t>Casing loss</w:t>
            </w:r>
          </w:p>
        </w:tc>
        <w:tc>
          <w:tcPr>
            <w:tcW w:w="1980" w:type="dxa"/>
          </w:tcPr>
          <w:p w14:paraId="73FA7BFE" w14:textId="77777777" w:rsidR="00507E7F" w:rsidRPr="005769E5" w:rsidRDefault="00000000">
            <w:pPr>
              <w:pStyle w:val="Compact"/>
              <w:jc w:val="left"/>
              <w:rPr>
                <w:color w:val="000000" w:themeColor="text1"/>
              </w:rPr>
            </w:pPr>
            <w:r w:rsidRPr="005769E5">
              <w:rPr>
                <w:color w:val="000000" w:themeColor="text1"/>
              </w:rPr>
              <w:t>0.495</w:t>
            </w:r>
          </w:p>
        </w:tc>
        <w:tc>
          <w:tcPr>
            <w:tcW w:w="1980" w:type="dxa"/>
          </w:tcPr>
          <w:p w14:paraId="6B73A446" w14:textId="77777777" w:rsidR="00507E7F" w:rsidRPr="005769E5" w:rsidRDefault="00000000">
            <w:pPr>
              <w:pStyle w:val="Compact"/>
              <w:jc w:val="left"/>
              <w:rPr>
                <w:color w:val="000000" w:themeColor="text1"/>
              </w:rPr>
            </w:pPr>
            <w:r w:rsidRPr="005769E5">
              <w:rPr>
                <w:color w:val="000000" w:themeColor="text1"/>
              </w:rPr>
              <w:t>0.68</w:t>
            </w:r>
          </w:p>
        </w:tc>
        <w:tc>
          <w:tcPr>
            <w:tcW w:w="1980" w:type="dxa"/>
          </w:tcPr>
          <w:p w14:paraId="4E720BF0" w14:textId="77777777" w:rsidR="00507E7F" w:rsidRPr="005769E5" w:rsidRDefault="00000000">
            <w:pPr>
              <w:pStyle w:val="Compact"/>
              <w:jc w:val="left"/>
              <w:rPr>
                <w:color w:val="000000" w:themeColor="text1"/>
              </w:rPr>
            </w:pPr>
            <w:r w:rsidRPr="005769E5">
              <w:rPr>
                <w:color w:val="000000" w:themeColor="text1"/>
              </w:rPr>
              <w:t>–</w:t>
            </w:r>
          </w:p>
        </w:tc>
      </w:tr>
      <w:tr w:rsidR="00507E7F" w:rsidRPr="005769E5" w14:paraId="02B1983D" w14:textId="77777777" w:rsidTr="00507E7F">
        <w:tc>
          <w:tcPr>
            <w:tcW w:w="1980" w:type="dxa"/>
          </w:tcPr>
          <w:p w14:paraId="39626F40" w14:textId="77777777" w:rsidR="00507E7F" w:rsidRPr="005769E5" w:rsidRDefault="00000000">
            <w:pPr>
              <w:pStyle w:val="Compact"/>
              <w:jc w:val="left"/>
              <w:rPr>
                <w:color w:val="000000" w:themeColor="text1"/>
              </w:rPr>
            </w:pPr>
            <w:r w:rsidRPr="005769E5">
              <w:rPr>
                <w:color w:val="000000" w:themeColor="text1"/>
              </w:rPr>
              <w:t>Rejected condenser heat (loss)</w:t>
            </w:r>
          </w:p>
        </w:tc>
        <w:tc>
          <w:tcPr>
            <w:tcW w:w="1980" w:type="dxa"/>
          </w:tcPr>
          <w:p w14:paraId="1052BE3F" w14:textId="77777777" w:rsidR="00507E7F" w:rsidRPr="005769E5" w:rsidRDefault="00000000">
            <w:pPr>
              <w:pStyle w:val="Compact"/>
              <w:jc w:val="left"/>
              <w:rPr>
                <w:color w:val="000000" w:themeColor="text1"/>
              </w:rPr>
            </w:pPr>
            <w:r w:rsidRPr="005769E5">
              <w:rPr>
                <w:color w:val="000000" w:themeColor="text1"/>
              </w:rPr>
              <w:t>0.567</w:t>
            </w:r>
          </w:p>
        </w:tc>
        <w:tc>
          <w:tcPr>
            <w:tcW w:w="1980" w:type="dxa"/>
          </w:tcPr>
          <w:p w14:paraId="5159421D" w14:textId="77777777" w:rsidR="00507E7F" w:rsidRPr="005769E5" w:rsidRDefault="00000000">
            <w:pPr>
              <w:pStyle w:val="Compact"/>
              <w:jc w:val="left"/>
              <w:rPr>
                <w:color w:val="000000" w:themeColor="text1"/>
              </w:rPr>
            </w:pPr>
            <w:r w:rsidRPr="005769E5">
              <w:rPr>
                <w:color w:val="000000" w:themeColor="text1"/>
              </w:rPr>
              <w:t>0.78</w:t>
            </w:r>
          </w:p>
        </w:tc>
        <w:tc>
          <w:tcPr>
            <w:tcW w:w="1980" w:type="dxa"/>
          </w:tcPr>
          <w:p w14:paraId="684A3A75" w14:textId="77777777" w:rsidR="00507E7F" w:rsidRPr="005769E5" w:rsidRDefault="00000000">
            <w:pPr>
              <w:pStyle w:val="Compact"/>
              <w:jc w:val="left"/>
              <w:rPr>
                <w:color w:val="000000" w:themeColor="text1"/>
              </w:rPr>
            </w:pPr>
            <w:r w:rsidRPr="005769E5">
              <w:rPr>
                <w:color w:val="000000" w:themeColor="text1"/>
              </w:rPr>
              <w:t>–</w:t>
            </w:r>
          </w:p>
        </w:tc>
      </w:tr>
      <w:tr w:rsidR="00507E7F" w:rsidRPr="005769E5" w14:paraId="3CF3E0FC" w14:textId="77777777" w:rsidTr="00507E7F">
        <w:tc>
          <w:tcPr>
            <w:tcW w:w="1980" w:type="dxa"/>
          </w:tcPr>
          <w:p w14:paraId="722A07B1" w14:textId="77777777" w:rsidR="00507E7F" w:rsidRPr="005769E5" w:rsidRDefault="00000000">
            <w:pPr>
              <w:pStyle w:val="Compact"/>
              <w:jc w:val="left"/>
              <w:rPr>
                <w:color w:val="000000" w:themeColor="text1"/>
              </w:rPr>
            </w:pPr>
            <w:r w:rsidRPr="005769E5">
              <w:rPr>
                <w:color w:val="000000" w:themeColor="text1"/>
              </w:rPr>
              <w:t>Destruction, combustion</w:t>
            </w:r>
          </w:p>
        </w:tc>
        <w:tc>
          <w:tcPr>
            <w:tcW w:w="1980" w:type="dxa"/>
          </w:tcPr>
          <w:p w14:paraId="5175FF99" w14:textId="77777777" w:rsidR="00507E7F" w:rsidRPr="005769E5" w:rsidRDefault="00000000">
            <w:pPr>
              <w:pStyle w:val="Compact"/>
              <w:jc w:val="left"/>
              <w:rPr>
                <w:color w:val="000000" w:themeColor="text1"/>
              </w:rPr>
            </w:pPr>
            <w:r w:rsidRPr="005769E5">
              <w:rPr>
                <w:color w:val="000000" w:themeColor="text1"/>
              </w:rPr>
              <w:t>32.942</w:t>
            </w:r>
          </w:p>
        </w:tc>
        <w:tc>
          <w:tcPr>
            <w:tcW w:w="1980" w:type="dxa"/>
          </w:tcPr>
          <w:p w14:paraId="36DB6986" w14:textId="77777777" w:rsidR="00507E7F" w:rsidRPr="005769E5" w:rsidRDefault="00000000">
            <w:pPr>
              <w:pStyle w:val="Compact"/>
              <w:jc w:val="left"/>
              <w:rPr>
                <w:color w:val="000000" w:themeColor="text1"/>
              </w:rPr>
            </w:pPr>
            <w:r w:rsidRPr="005769E5">
              <w:rPr>
                <w:color w:val="000000" w:themeColor="text1"/>
              </w:rPr>
              <w:t>45.36</w:t>
            </w:r>
          </w:p>
        </w:tc>
        <w:tc>
          <w:tcPr>
            <w:tcW w:w="1980" w:type="dxa"/>
          </w:tcPr>
          <w:p w14:paraId="1A6C0476" w14:textId="77777777" w:rsidR="00507E7F" w:rsidRPr="005769E5" w:rsidRDefault="00000000">
            <w:pPr>
              <w:pStyle w:val="Compact"/>
              <w:jc w:val="left"/>
              <w:rPr>
                <w:color w:val="000000" w:themeColor="text1"/>
              </w:rPr>
            </w:pPr>
            <w:r w:rsidRPr="005769E5">
              <w:rPr>
                <w:color w:val="000000" w:themeColor="text1"/>
              </w:rPr>
              <w:t>–</w:t>
            </w:r>
          </w:p>
        </w:tc>
      </w:tr>
      <w:tr w:rsidR="00507E7F" w:rsidRPr="005769E5" w14:paraId="7B518B13" w14:textId="77777777" w:rsidTr="00507E7F">
        <w:tc>
          <w:tcPr>
            <w:tcW w:w="1980" w:type="dxa"/>
          </w:tcPr>
          <w:p w14:paraId="730AED46" w14:textId="77777777" w:rsidR="00507E7F" w:rsidRPr="005769E5" w:rsidRDefault="00000000">
            <w:pPr>
              <w:pStyle w:val="Compact"/>
              <w:jc w:val="left"/>
              <w:rPr>
                <w:color w:val="000000" w:themeColor="text1"/>
              </w:rPr>
            </w:pPr>
            <w:r w:rsidRPr="005769E5">
              <w:rPr>
                <w:color w:val="000000" w:themeColor="text1"/>
              </w:rPr>
              <w:t>Destruction, boiler</w:t>
            </w:r>
          </w:p>
        </w:tc>
        <w:tc>
          <w:tcPr>
            <w:tcW w:w="1980" w:type="dxa"/>
          </w:tcPr>
          <w:p w14:paraId="053D8C72" w14:textId="77777777" w:rsidR="00507E7F" w:rsidRPr="005769E5" w:rsidRDefault="00000000">
            <w:pPr>
              <w:pStyle w:val="Compact"/>
              <w:jc w:val="left"/>
              <w:rPr>
                <w:color w:val="000000" w:themeColor="text1"/>
              </w:rPr>
            </w:pPr>
            <w:r w:rsidRPr="005769E5">
              <w:rPr>
                <w:color w:val="000000" w:themeColor="text1"/>
              </w:rPr>
              <w:t>13.747</w:t>
            </w:r>
          </w:p>
        </w:tc>
        <w:tc>
          <w:tcPr>
            <w:tcW w:w="1980" w:type="dxa"/>
          </w:tcPr>
          <w:p w14:paraId="2541A830" w14:textId="77777777" w:rsidR="00507E7F" w:rsidRPr="005769E5" w:rsidRDefault="00000000">
            <w:pPr>
              <w:pStyle w:val="Compact"/>
              <w:jc w:val="left"/>
              <w:rPr>
                <w:color w:val="000000" w:themeColor="text1"/>
              </w:rPr>
            </w:pPr>
            <w:r w:rsidRPr="005769E5">
              <w:rPr>
                <w:color w:val="000000" w:themeColor="text1"/>
              </w:rPr>
              <w:t>18.93</w:t>
            </w:r>
          </w:p>
        </w:tc>
        <w:tc>
          <w:tcPr>
            <w:tcW w:w="1980" w:type="dxa"/>
          </w:tcPr>
          <w:p w14:paraId="62DE0ACF" w14:textId="77777777" w:rsidR="00507E7F" w:rsidRPr="005769E5" w:rsidRDefault="00000000">
            <w:pPr>
              <w:pStyle w:val="Compact"/>
              <w:jc w:val="left"/>
              <w:rPr>
                <w:color w:val="000000" w:themeColor="text1"/>
              </w:rPr>
            </w:pPr>
            <w:r w:rsidRPr="005769E5">
              <w:rPr>
                <w:color w:val="000000" w:themeColor="text1"/>
              </w:rPr>
              <w:t>–</w:t>
            </w:r>
          </w:p>
        </w:tc>
      </w:tr>
      <w:tr w:rsidR="00507E7F" w:rsidRPr="005769E5" w14:paraId="0A58E52A" w14:textId="77777777" w:rsidTr="00507E7F">
        <w:tc>
          <w:tcPr>
            <w:tcW w:w="1980" w:type="dxa"/>
          </w:tcPr>
          <w:p w14:paraId="02515CFB" w14:textId="77777777" w:rsidR="00507E7F" w:rsidRPr="005769E5" w:rsidRDefault="00000000">
            <w:pPr>
              <w:pStyle w:val="Compact"/>
              <w:jc w:val="left"/>
              <w:rPr>
                <w:color w:val="000000" w:themeColor="text1"/>
              </w:rPr>
            </w:pPr>
            <w:r w:rsidRPr="005769E5">
              <w:rPr>
                <w:color w:val="000000" w:themeColor="text1"/>
              </w:rPr>
              <w:lastRenderedPageBreak/>
              <w:t>Destruction, power block</w:t>
            </w:r>
          </w:p>
        </w:tc>
        <w:tc>
          <w:tcPr>
            <w:tcW w:w="1980" w:type="dxa"/>
          </w:tcPr>
          <w:p w14:paraId="0668AD14" w14:textId="77777777" w:rsidR="00507E7F" w:rsidRPr="005769E5" w:rsidRDefault="00000000">
            <w:pPr>
              <w:pStyle w:val="Compact"/>
              <w:jc w:val="left"/>
              <w:rPr>
                <w:color w:val="000000" w:themeColor="text1"/>
              </w:rPr>
            </w:pPr>
            <w:r w:rsidRPr="005769E5">
              <w:rPr>
                <w:color w:val="000000" w:themeColor="text1"/>
              </w:rPr>
              <w:t>5.769</w:t>
            </w:r>
          </w:p>
        </w:tc>
        <w:tc>
          <w:tcPr>
            <w:tcW w:w="1980" w:type="dxa"/>
          </w:tcPr>
          <w:p w14:paraId="78C48BF7" w14:textId="77777777" w:rsidR="00507E7F" w:rsidRPr="005769E5" w:rsidRDefault="00000000">
            <w:pPr>
              <w:pStyle w:val="Compact"/>
              <w:jc w:val="left"/>
              <w:rPr>
                <w:color w:val="000000" w:themeColor="text1"/>
              </w:rPr>
            </w:pPr>
            <w:r w:rsidRPr="005769E5">
              <w:rPr>
                <w:color w:val="000000" w:themeColor="text1"/>
              </w:rPr>
              <w:t>7.94</w:t>
            </w:r>
          </w:p>
        </w:tc>
        <w:tc>
          <w:tcPr>
            <w:tcW w:w="1980" w:type="dxa"/>
          </w:tcPr>
          <w:p w14:paraId="273A804E" w14:textId="77777777" w:rsidR="00507E7F" w:rsidRPr="005769E5" w:rsidRDefault="00000000">
            <w:pPr>
              <w:pStyle w:val="Compact"/>
              <w:jc w:val="left"/>
              <w:rPr>
                <w:color w:val="000000" w:themeColor="text1"/>
              </w:rPr>
            </w:pPr>
            <w:r w:rsidRPr="005769E5">
              <w:rPr>
                <w:color w:val="000000" w:themeColor="text1"/>
              </w:rPr>
              <w:t>–</w:t>
            </w:r>
          </w:p>
        </w:tc>
      </w:tr>
      <w:tr w:rsidR="00507E7F" w:rsidRPr="005769E5" w14:paraId="778450E1" w14:textId="77777777" w:rsidTr="00507E7F">
        <w:tc>
          <w:tcPr>
            <w:tcW w:w="1980" w:type="dxa"/>
          </w:tcPr>
          <w:p w14:paraId="0F5C31E9" w14:textId="5E6130DB" w:rsidR="00507E7F" w:rsidRPr="005769E5" w:rsidRDefault="00000000">
            <w:pPr>
              <w:pStyle w:val="Compact"/>
              <w:jc w:val="left"/>
              <w:rPr>
                <w:color w:val="000000" w:themeColor="text1"/>
              </w:rPr>
            </w:pPr>
            <w:r w:rsidRPr="005769E5">
              <w:rPr>
                <w:color w:val="000000" w:themeColor="text1"/>
              </w:rPr>
              <w:t>Total input B</w:t>
            </w:r>
            <w:r w:rsidRPr="005769E5">
              <w:rPr>
                <w:color w:val="000000" w:themeColor="text1"/>
                <w:vertAlign w:val="subscript"/>
              </w:rPr>
              <w:t>in</w:t>
            </w:r>
          </w:p>
        </w:tc>
        <w:tc>
          <w:tcPr>
            <w:tcW w:w="1980" w:type="dxa"/>
          </w:tcPr>
          <w:p w14:paraId="5EF36D37" w14:textId="77777777" w:rsidR="00507E7F" w:rsidRPr="005769E5" w:rsidRDefault="00000000">
            <w:pPr>
              <w:pStyle w:val="Compact"/>
              <w:jc w:val="left"/>
              <w:rPr>
                <w:color w:val="000000" w:themeColor="text1"/>
              </w:rPr>
            </w:pPr>
            <w:r w:rsidRPr="005769E5">
              <w:rPr>
                <w:color w:val="000000" w:themeColor="text1"/>
              </w:rPr>
              <w:t>72.624</w:t>
            </w:r>
          </w:p>
        </w:tc>
        <w:tc>
          <w:tcPr>
            <w:tcW w:w="1980" w:type="dxa"/>
          </w:tcPr>
          <w:p w14:paraId="3BB1D250" w14:textId="77777777" w:rsidR="00507E7F" w:rsidRPr="005769E5" w:rsidRDefault="00000000">
            <w:pPr>
              <w:pStyle w:val="Compact"/>
              <w:jc w:val="left"/>
              <w:rPr>
                <w:color w:val="000000" w:themeColor="text1"/>
              </w:rPr>
            </w:pPr>
            <w:r w:rsidRPr="005769E5">
              <w:rPr>
                <w:color w:val="000000" w:themeColor="text1"/>
              </w:rPr>
              <w:t>100.00</w:t>
            </w:r>
          </w:p>
        </w:tc>
        <w:tc>
          <w:tcPr>
            <w:tcW w:w="1980" w:type="dxa"/>
          </w:tcPr>
          <w:p w14:paraId="2FDE2027" w14:textId="77777777" w:rsidR="00507E7F" w:rsidRPr="005769E5" w:rsidRDefault="00000000">
            <w:pPr>
              <w:pStyle w:val="Compact"/>
              <w:jc w:val="left"/>
              <w:rPr>
                <w:color w:val="000000" w:themeColor="text1"/>
              </w:rPr>
            </w:pPr>
            <w:r w:rsidRPr="005769E5">
              <w:rPr>
                <w:color w:val="000000" w:themeColor="text1"/>
              </w:rPr>
              <w:t>–</w:t>
            </w:r>
          </w:p>
        </w:tc>
      </w:tr>
      <w:tr w:rsidR="00507E7F" w:rsidRPr="005769E5" w14:paraId="33BFBD77" w14:textId="77777777" w:rsidTr="00507E7F">
        <w:tc>
          <w:tcPr>
            <w:tcW w:w="1980" w:type="dxa"/>
          </w:tcPr>
          <w:p w14:paraId="2A1FCA57" w14:textId="60DD1CBA" w:rsidR="00507E7F" w:rsidRPr="005769E5" w:rsidRDefault="00000000">
            <w:pPr>
              <w:pStyle w:val="Compact"/>
              <w:jc w:val="left"/>
              <w:rPr>
                <w:color w:val="000000" w:themeColor="text1"/>
              </w:rPr>
            </w:pPr>
            <w:r w:rsidRPr="005769E5">
              <w:rPr>
                <w:color w:val="000000" w:themeColor="text1"/>
              </w:rPr>
              <w:t>Entropy generation S</w:t>
            </w:r>
            <w:r w:rsidRPr="005769E5">
              <w:rPr>
                <w:color w:val="000000" w:themeColor="text1"/>
                <w:vertAlign w:val="subscript"/>
              </w:rPr>
              <w:t>gen</w:t>
            </w:r>
          </w:p>
        </w:tc>
        <w:tc>
          <w:tcPr>
            <w:tcW w:w="1980" w:type="dxa"/>
          </w:tcPr>
          <w:p w14:paraId="20A23629" w14:textId="77777777" w:rsidR="00507E7F" w:rsidRPr="005769E5" w:rsidRDefault="00000000">
            <w:pPr>
              <w:pStyle w:val="Compact"/>
              <w:jc w:val="left"/>
              <w:rPr>
                <w:color w:val="000000" w:themeColor="text1"/>
              </w:rPr>
            </w:pPr>
            <w:r w:rsidRPr="005769E5">
              <w:rPr>
                <w:color w:val="000000" w:themeColor="text1"/>
              </w:rPr>
              <w:t>175.9 kW/K</w:t>
            </w:r>
          </w:p>
        </w:tc>
        <w:tc>
          <w:tcPr>
            <w:tcW w:w="1980" w:type="dxa"/>
          </w:tcPr>
          <w:p w14:paraId="0A049279" w14:textId="77777777" w:rsidR="00507E7F" w:rsidRPr="005769E5" w:rsidRDefault="00000000">
            <w:pPr>
              <w:pStyle w:val="Compact"/>
              <w:jc w:val="left"/>
              <w:rPr>
                <w:color w:val="000000" w:themeColor="text1"/>
              </w:rPr>
            </w:pPr>
            <w:r w:rsidRPr="005769E5">
              <w:rPr>
                <w:color w:val="000000" w:themeColor="text1"/>
              </w:rPr>
              <w:t>–</w:t>
            </w:r>
          </w:p>
        </w:tc>
        <w:tc>
          <w:tcPr>
            <w:tcW w:w="1980" w:type="dxa"/>
          </w:tcPr>
          <w:p w14:paraId="6C73DBAF" w14:textId="77777777" w:rsidR="00507E7F" w:rsidRPr="005769E5" w:rsidRDefault="00000000">
            <w:pPr>
              <w:pStyle w:val="Compact"/>
              <w:jc w:val="left"/>
              <w:rPr>
                <w:color w:val="000000" w:themeColor="text1"/>
              </w:rPr>
            </w:pPr>
            <w:r w:rsidRPr="005769E5">
              <w:rPr>
                <w:color w:val="000000" w:themeColor="text1"/>
              </w:rPr>
              <w:t>–</w:t>
            </w:r>
          </w:p>
        </w:tc>
      </w:tr>
      <w:tr w:rsidR="00507E7F" w:rsidRPr="005769E5" w14:paraId="674B825C" w14:textId="77777777" w:rsidTr="00507E7F">
        <w:tc>
          <w:tcPr>
            <w:tcW w:w="1980" w:type="dxa"/>
          </w:tcPr>
          <w:p w14:paraId="5DD43F7E" w14:textId="77777777" w:rsidR="00507E7F" w:rsidRPr="005769E5" w:rsidRDefault="00000000">
            <w:pPr>
              <w:pStyle w:val="Compact"/>
              <w:jc w:val="left"/>
              <w:rPr>
                <w:color w:val="000000" w:themeColor="text1"/>
              </w:rPr>
            </w:pPr>
            <w:r w:rsidRPr="005769E5">
              <w:rPr>
                <w:color w:val="000000" w:themeColor="text1"/>
              </w:rPr>
              <w:t>Balance residual, Eq. (2)</w:t>
            </w:r>
          </w:p>
        </w:tc>
        <w:tc>
          <w:tcPr>
            <w:tcW w:w="1980" w:type="dxa"/>
          </w:tcPr>
          <w:p w14:paraId="3294A6A2" w14:textId="77777777" w:rsidR="00507E7F" w:rsidRPr="005769E5" w:rsidRDefault="00000000">
            <w:pPr>
              <w:pStyle w:val="Compact"/>
              <w:jc w:val="left"/>
              <w:rPr>
                <w:color w:val="000000" w:themeColor="text1"/>
              </w:rPr>
            </w:pPr>
            <w:r w:rsidRPr="005769E5">
              <w:rPr>
                <w:color w:val="000000" w:themeColor="text1"/>
              </w:rPr>
              <w:t>9.8e-17</w:t>
            </w:r>
          </w:p>
        </w:tc>
        <w:tc>
          <w:tcPr>
            <w:tcW w:w="1980" w:type="dxa"/>
          </w:tcPr>
          <w:p w14:paraId="0BC950DF" w14:textId="77777777" w:rsidR="00507E7F" w:rsidRPr="005769E5" w:rsidRDefault="00000000">
            <w:pPr>
              <w:pStyle w:val="Compact"/>
              <w:jc w:val="left"/>
              <w:rPr>
                <w:color w:val="000000" w:themeColor="text1"/>
              </w:rPr>
            </w:pPr>
            <w:r w:rsidRPr="005769E5">
              <w:rPr>
                <w:color w:val="000000" w:themeColor="text1"/>
              </w:rPr>
              <w:t>–</w:t>
            </w:r>
          </w:p>
        </w:tc>
        <w:tc>
          <w:tcPr>
            <w:tcW w:w="1980" w:type="dxa"/>
          </w:tcPr>
          <w:p w14:paraId="45304172" w14:textId="77777777" w:rsidR="00507E7F" w:rsidRPr="005769E5" w:rsidRDefault="00000000">
            <w:pPr>
              <w:pStyle w:val="Compact"/>
              <w:jc w:val="left"/>
              <w:rPr>
                <w:color w:val="000000" w:themeColor="text1"/>
              </w:rPr>
            </w:pPr>
            <w:r w:rsidRPr="005769E5">
              <w:rPr>
                <w:color w:val="000000" w:themeColor="text1"/>
              </w:rPr>
              <w:t>–</w:t>
            </w:r>
          </w:p>
        </w:tc>
      </w:tr>
    </w:tbl>
    <w:p w14:paraId="56D4FC5B" w14:textId="77777777" w:rsidR="00507E7F" w:rsidRPr="005769E5" w:rsidRDefault="00000000">
      <w:pPr>
        <w:pStyle w:val="Heading2"/>
        <w:rPr>
          <w:color w:val="000000" w:themeColor="text1"/>
        </w:rPr>
      </w:pPr>
      <w:bookmarkStart w:id="30" w:name="table-s5.-surrogate-settings"/>
      <w:bookmarkEnd w:id="29"/>
      <w:r w:rsidRPr="005769E5">
        <w:rPr>
          <w:color w:val="000000" w:themeColor="text1"/>
        </w:rPr>
        <w:t>Table S5. Surrogate settings</w:t>
      </w:r>
    </w:p>
    <w:tbl>
      <w:tblPr>
        <w:tblStyle w:val="Table"/>
        <w:tblW w:w="7920" w:type="dxa"/>
        <w:tblBorders>
          <w:top w:val="single" w:sz="6" w:space="0" w:color="808080"/>
          <w:left w:val="single" w:sz="6" w:space="0" w:color="808080"/>
          <w:bottom w:val="single" w:sz="6" w:space="0" w:color="808080"/>
          <w:right w:val="single" w:sz="6" w:space="0" w:color="808080"/>
          <w:insideH w:val="single" w:sz="4" w:space="0" w:color="BFBFBF"/>
          <w:insideV w:val="single" w:sz="4" w:space="0" w:color="BFBFBF"/>
        </w:tblBorders>
        <w:tblLayout w:type="fixed"/>
        <w:tblLook w:val="0020" w:firstRow="1" w:lastRow="0" w:firstColumn="0" w:lastColumn="0" w:noHBand="0" w:noVBand="0"/>
      </w:tblPr>
      <w:tblGrid>
        <w:gridCol w:w="3960"/>
        <w:gridCol w:w="3960"/>
      </w:tblGrid>
      <w:tr w:rsidR="00507E7F" w:rsidRPr="005769E5" w14:paraId="3020EA0F" w14:textId="77777777" w:rsidTr="00507E7F">
        <w:trPr>
          <w:cnfStyle w:val="100000000000" w:firstRow="1" w:lastRow="0" w:firstColumn="0" w:lastColumn="0" w:oddVBand="0" w:evenVBand="0" w:oddHBand="0" w:evenHBand="0" w:firstRowFirstColumn="0" w:firstRowLastColumn="0" w:lastRowFirstColumn="0" w:lastRowLastColumn="0"/>
          <w:tblHeader/>
        </w:trPr>
        <w:tc>
          <w:tcPr>
            <w:tcW w:w="3960" w:type="dxa"/>
          </w:tcPr>
          <w:p w14:paraId="43E20F57" w14:textId="77777777" w:rsidR="00507E7F" w:rsidRPr="005769E5" w:rsidRDefault="00000000">
            <w:pPr>
              <w:pStyle w:val="Compact"/>
              <w:jc w:val="left"/>
              <w:rPr>
                <w:color w:val="000000" w:themeColor="text1"/>
              </w:rPr>
            </w:pPr>
            <w:r w:rsidRPr="005769E5">
              <w:rPr>
                <w:color w:val="000000" w:themeColor="text1"/>
              </w:rPr>
              <w:t>Setting</w:t>
            </w:r>
          </w:p>
        </w:tc>
        <w:tc>
          <w:tcPr>
            <w:tcW w:w="3960" w:type="dxa"/>
          </w:tcPr>
          <w:p w14:paraId="5273661B" w14:textId="77777777" w:rsidR="00507E7F" w:rsidRPr="005769E5" w:rsidRDefault="00000000">
            <w:pPr>
              <w:pStyle w:val="Compact"/>
              <w:jc w:val="left"/>
              <w:rPr>
                <w:color w:val="000000" w:themeColor="text1"/>
              </w:rPr>
            </w:pPr>
            <w:r w:rsidRPr="005769E5">
              <w:rPr>
                <w:color w:val="000000" w:themeColor="text1"/>
              </w:rPr>
              <w:t>Value</w:t>
            </w:r>
          </w:p>
        </w:tc>
      </w:tr>
      <w:tr w:rsidR="00507E7F" w:rsidRPr="005769E5" w14:paraId="78D593F6" w14:textId="77777777" w:rsidTr="00507E7F">
        <w:tc>
          <w:tcPr>
            <w:tcW w:w="3960" w:type="dxa"/>
          </w:tcPr>
          <w:p w14:paraId="79C00987" w14:textId="77777777" w:rsidR="00507E7F" w:rsidRPr="005769E5" w:rsidRDefault="00000000">
            <w:pPr>
              <w:pStyle w:val="Compact"/>
              <w:jc w:val="left"/>
              <w:rPr>
                <w:color w:val="000000" w:themeColor="text1"/>
              </w:rPr>
            </w:pPr>
            <w:r w:rsidRPr="005769E5">
              <w:rPr>
                <w:color w:val="000000" w:themeColor="text1"/>
              </w:rPr>
              <w:t>Training / test / collocation points</w:t>
            </w:r>
          </w:p>
        </w:tc>
        <w:tc>
          <w:tcPr>
            <w:tcW w:w="3960" w:type="dxa"/>
          </w:tcPr>
          <w:p w14:paraId="573A7634" w14:textId="77777777" w:rsidR="00507E7F" w:rsidRPr="005769E5" w:rsidRDefault="00000000">
            <w:pPr>
              <w:pStyle w:val="Compact"/>
              <w:jc w:val="left"/>
              <w:rPr>
                <w:color w:val="000000" w:themeColor="text1"/>
              </w:rPr>
            </w:pPr>
            <w:r w:rsidRPr="005769E5">
              <w:rPr>
                <w:color w:val="000000" w:themeColor="text1"/>
              </w:rPr>
              <w:t>240 / 240 / 200</w:t>
            </w:r>
          </w:p>
        </w:tc>
      </w:tr>
      <w:tr w:rsidR="00507E7F" w:rsidRPr="005769E5" w14:paraId="7B2BEFE3" w14:textId="77777777" w:rsidTr="00507E7F">
        <w:tc>
          <w:tcPr>
            <w:tcW w:w="3960" w:type="dxa"/>
          </w:tcPr>
          <w:p w14:paraId="349A33DD" w14:textId="77777777" w:rsidR="00507E7F" w:rsidRPr="005769E5" w:rsidRDefault="00000000">
            <w:pPr>
              <w:pStyle w:val="Compact"/>
              <w:jc w:val="left"/>
              <w:rPr>
                <w:color w:val="000000" w:themeColor="text1"/>
              </w:rPr>
            </w:pPr>
            <w:r w:rsidRPr="005769E5">
              <w:rPr>
                <w:color w:val="000000" w:themeColor="text1"/>
              </w:rPr>
              <w:t>Monte Carlo sample size</w:t>
            </w:r>
          </w:p>
        </w:tc>
        <w:tc>
          <w:tcPr>
            <w:tcW w:w="3960" w:type="dxa"/>
          </w:tcPr>
          <w:p w14:paraId="1AC4638E" w14:textId="77777777" w:rsidR="00507E7F" w:rsidRPr="005769E5" w:rsidRDefault="00000000">
            <w:pPr>
              <w:pStyle w:val="Compact"/>
              <w:jc w:val="left"/>
              <w:rPr>
                <w:color w:val="000000" w:themeColor="text1"/>
              </w:rPr>
            </w:pPr>
            <w:r w:rsidRPr="005769E5">
              <w:rPr>
                <w:color w:val="000000" w:themeColor="text1"/>
              </w:rPr>
              <w:t>10000</w:t>
            </w:r>
          </w:p>
        </w:tc>
      </w:tr>
      <w:tr w:rsidR="00507E7F" w:rsidRPr="005769E5" w14:paraId="76B33FE6" w14:textId="77777777" w:rsidTr="00507E7F">
        <w:tc>
          <w:tcPr>
            <w:tcW w:w="3960" w:type="dxa"/>
          </w:tcPr>
          <w:p w14:paraId="5F9EC53C" w14:textId="77777777" w:rsidR="00507E7F" w:rsidRPr="005769E5" w:rsidRDefault="00000000">
            <w:pPr>
              <w:pStyle w:val="Compact"/>
              <w:jc w:val="left"/>
              <w:rPr>
                <w:color w:val="000000" w:themeColor="text1"/>
              </w:rPr>
            </w:pPr>
            <w:r w:rsidRPr="005769E5">
              <w:rPr>
                <w:color w:val="000000" w:themeColor="text1"/>
              </w:rPr>
              <w:t>Repetitions (main / learning curve)</w:t>
            </w:r>
          </w:p>
        </w:tc>
        <w:tc>
          <w:tcPr>
            <w:tcW w:w="3960" w:type="dxa"/>
          </w:tcPr>
          <w:p w14:paraId="69016CAE" w14:textId="77777777" w:rsidR="00507E7F" w:rsidRPr="005769E5" w:rsidRDefault="00000000">
            <w:pPr>
              <w:pStyle w:val="Compact"/>
              <w:jc w:val="left"/>
              <w:rPr>
                <w:color w:val="000000" w:themeColor="text1"/>
              </w:rPr>
            </w:pPr>
            <w:r w:rsidRPr="005769E5">
              <w:rPr>
                <w:color w:val="000000" w:themeColor="text1"/>
              </w:rPr>
              <w:t>8 / 3</w:t>
            </w:r>
          </w:p>
        </w:tc>
      </w:tr>
      <w:tr w:rsidR="00507E7F" w:rsidRPr="005769E5" w14:paraId="7F649E91" w14:textId="77777777" w:rsidTr="00507E7F">
        <w:tc>
          <w:tcPr>
            <w:tcW w:w="3960" w:type="dxa"/>
          </w:tcPr>
          <w:p w14:paraId="55A761F3" w14:textId="77777777" w:rsidR="00507E7F" w:rsidRPr="005769E5" w:rsidRDefault="00000000">
            <w:pPr>
              <w:pStyle w:val="Compact"/>
              <w:jc w:val="left"/>
              <w:rPr>
                <w:color w:val="000000" w:themeColor="text1"/>
              </w:rPr>
            </w:pPr>
            <w:r w:rsidRPr="005769E5">
              <w:rPr>
                <w:color w:val="000000" w:themeColor="text1"/>
              </w:rPr>
              <w:t>Validator tolerance</w:t>
            </w:r>
          </w:p>
        </w:tc>
        <w:tc>
          <w:tcPr>
            <w:tcW w:w="3960" w:type="dxa"/>
          </w:tcPr>
          <w:p w14:paraId="116589D0" w14:textId="77777777" w:rsidR="00507E7F" w:rsidRPr="005769E5" w:rsidRDefault="00000000">
            <w:pPr>
              <w:pStyle w:val="Compact"/>
              <w:jc w:val="left"/>
              <w:rPr>
                <w:color w:val="000000" w:themeColor="text1"/>
              </w:rPr>
            </w:pPr>
            <w:r w:rsidRPr="005769E5">
              <w:rPr>
                <w:color w:val="000000" w:themeColor="text1"/>
              </w:rPr>
              <w:t>1e-</w:t>
            </w:r>
            <w:r w:rsidRPr="005769E5">
              <w:rPr>
                <w:color w:val="000000" w:themeColor="text1"/>
                <w:vertAlign w:val="superscript"/>
              </w:rPr>
              <w:t>02</w:t>
            </w:r>
          </w:p>
        </w:tc>
      </w:tr>
      <w:tr w:rsidR="00507E7F" w:rsidRPr="005769E5" w14:paraId="2ECA40DE" w14:textId="77777777" w:rsidTr="00507E7F">
        <w:tc>
          <w:tcPr>
            <w:tcW w:w="3960" w:type="dxa"/>
          </w:tcPr>
          <w:p w14:paraId="52240EBF" w14:textId="77777777" w:rsidR="00507E7F" w:rsidRPr="005769E5" w:rsidRDefault="00000000">
            <w:pPr>
              <w:pStyle w:val="Compact"/>
              <w:jc w:val="left"/>
              <w:rPr>
                <w:color w:val="000000" w:themeColor="text1"/>
              </w:rPr>
            </w:pPr>
            <w:r w:rsidRPr="005769E5">
              <w:rPr>
                <w:color w:val="000000" w:themeColor="text1"/>
              </w:rPr>
              <w:t>GP kernel</w:t>
            </w:r>
          </w:p>
        </w:tc>
        <w:tc>
          <w:tcPr>
            <w:tcW w:w="3960" w:type="dxa"/>
          </w:tcPr>
          <w:p w14:paraId="4C5688C8" w14:textId="77777777" w:rsidR="00507E7F" w:rsidRPr="005769E5" w:rsidRDefault="00000000">
            <w:pPr>
              <w:pStyle w:val="Compact"/>
              <w:jc w:val="left"/>
              <w:rPr>
                <w:color w:val="000000" w:themeColor="text1"/>
              </w:rPr>
            </w:pPr>
            <w:r w:rsidRPr="005769E5">
              <w:rPr>
                <w:color w:val="000000" w:themeColor="text1"/>
              </w:rPr>
              <w:t>Matérn-5/2 with automatic relevance determination</w:t>
            </w:r>
          </w:p>
        </w:tc>
      </w:tr>
      <w:tr w:rsidR="00507E7F" w:rsidRPr="005769E5" w14:paraId="00D73952" w14:textId="77777777" w:rsidTr="00507E7F">
        <w:tc>
          <w:tcPr>
            <w:tcW w:w="3960" w:type="dxa"/>
          </w:tcPr>
          <w:p w14:paraId="202740D1" w14:textId="77777777" w:rsidR="00507E7F" w:rsidRPr="005769E5" w:rsidRDefault="00000000">
            <w:pPr>
              <w:pStyle w:val="Compact"/>
              <w:jc w:val="left"/>
              <w:rPr>
                <w:color w:val="000000" w:themeColor="text1"/>
              </w:rPr>
            </w:pPr>
            <w:r w:rsidRPr="005769E5">
              <w:rPr>
                <w:color w:val="000000" w:themeColor="text1"/>
              </w:rPr>
              <w:t>GP hyperparameters</w:t>
            </w:r>
          </w:p>
        </w:tc>
        <w:tc>
          <w:tcPr>
            <w:tcW w:w="3960" w:type="dxa"/>
          </w:tcPr>
          <w:p w14:paraId="1CEE664C" w14:textId="77777777" w:rsidR="00507E7F" w:rsidRPr="005769E5" w:rsidRDefault="00000000">
            <w:pPr>
              <w:pStyle w:val="Compact"/>
              <w:jc w:val="left"/>
              <w:rPr>
                <w:color w:val="000000" w:themeColor="text1"/>
              </w:rPr>
            </w:pPr>
            <w:r w:rsidRPr="005769E5">
              <w:rPr>
                <w:color w:val="000000" w:themeColor="text1"/>
              </w:rPr>
              <w:t>marginal likelihood on a separate 480-point design, then fixed</w:t>
            </w:r>
          </w:p>
        </w:tc>
      </w:tr>
      <w:tr w:rsidR="00507E7F" w:rsidRPr="005769E5" w14:paraId="02F8C73F" w14:textId="77777777" w:rsidTr="00507E7F">
        <w:tc>
          <w:tcPr>
            <w:tcW w:w="3960" w:type="dxa"/>
          </w:tcPr>
          <w:p w14:paraId="5BBEABBF" w14:textId="77777777" w:rsidR="00507E7F" w:rsidRPr="005769E5" w:rsidRDefault="00000000">
            <w:pPr>
              <w:pStyle w:val="Compact"/>
              <w:jc w:val="left"/>
              <w:rPr>
                <w:color w:val="000000" w:themeColor="text1"/>
              </w:rPr>
            </w:pPr>
            <w:r w:rsidRPr="005769E5">
              <w:rPr>
                <w:color w:val="000000" w:themeColor="text1"/>
              </w:rPr>
              <w:t>GP jitter</w:t>
            </w:r>
          </w:p>
        </w:tc>
        <w:tc>
          <w:tcPr>
            <w:tcW w:w="3960" w:type="dxa"/>
          </w:tcPr>
          <w:p w14:paraId="3CCF97A1" w14:textId="77777777" w:rsidR="00507E7F" w:rsidRPr="005769E5" w:rsidRDefault="00000000">
            <w:pPr>
              <w:pStyle w:val="Compact"/>
              <w:jc w:val="left"/>
              <w:rPr>
                <w:color w:val="000000" w:themeColor="text1"/>
              </w:rPr>
            </w:pPr>
            <w:r w:rsidRPr="005769E5">
              <w:rPr>
                <w:color w:val="000000" w:themeColor="text1"/>
              </w:rPr>
              <w:t>1e-6</w:t>
            </w:r>
          </w:p>
        </w:tc>
      </w:tr>
      <w:tr w:rsidR="00507E7F" w:rsidRPr="005769E5" w14:paraId="23E43720" w14:textId="77777777" w:rsidTr="00507E7F">
        <w:tc>
          <w:tcPr>
            <w:tcW w:w="3960" w:type="dxa"/>
          </w:tcPr>
          <w:p w14:paraId="1D006181" w14:textId="77777777" w:rsidR="00507E7F" w:rsidRPr="005769E5" w:rsidRDefault="00000000">
            <w:pPr>
              <w:pStyle w:val="Compact"/>
              <w:jc w:val="left"/>
              <w:rPr>
                <w:color w:val="000000" w:themeColor="text1"/>
              </w:rPr>
            </w:pPr>
            <w:r w:rsidRPr="005769E5">
              <w:rPr>
                <w:color w:val="000000" w:themeColor="text1"/>
              </w:rPr>
              <w:t>Augmented Lagrangian</w:t>
            </w:r>
          </w:p>
        </w:tc>
        <w:tc>
          <w:tcPr>
            <w:tcW w:w="3960" w:type="dxa"/>
          </w:tcPr>
          <w:p w14:paraId="32A94C63" w14:textId="1DA3F43F" w:rsidR="00507E7F" w:rsidRPr="005769E5" w:rsidRDefault="00000000">
            <w:pPr>
              <w:pStyle w:val="Compact"/>
              <w:jc w:val="left"/>
              <w:rPr>
                <w:color w:val="000000" w:themeColor="text1"/>
              </w:rPr>
            </w:pPr>
            <w:r w:rsidRPr="005769E5">
              <w:rPr>
                <w:color w:val="000000" w:themeColor="text1"/>
              </w:rPr>
              <w:t>mu0 = 1, rho = 1.6, mu</w:t>
            </w:r>
            <w:r w:rsidRPr="005769E5">
              <w:rPr>
                <w:color w:val="000000" w:themeColor="text1"/>
                <w:vertAlign w:val="subscript"/>
              </w:rPr>
              <w:t>max</w:t>
            </w:r>
            <w:r w:rsidRPr="005769E5">
              <w:rPr>
                <w:color w:val="000000" w:themeColor="text1"/>
              </w:rPr>
              <w:t xml:space="preserve"> = 1e</w:t>
            </w:r>
            <w:r w:rsidRPr="005769E5">
              <w:rPr>
                <w:color w:val="000000" w:themeColor="text1"/>
                <w:vertAlign w:val="superscript"/>
              </w:rPr>
              <w:t>2</w:t>
            </w:r>
            <w:r w:rsidRPr="005769E5">
              <w:rPr>
                <w:color w:val="000000" w:themeColor="text1"/>
              </w:rPr>
              <w:t xml:space="preserve"> (network) / 1e</w:t>
            </w:r>
            <w:r w:rsidRPr="005769E5">
              <w:rPr>
                <w:color w:val="000000" w:themeColor="text1"/>
                <w:vertAlign w:val="superscript"/>
              </w:rPr>
              <w:t>4</w:t>
            </w:r>
            <w:r w:rsidRPr="005769E5">
              <w:rPr>
                <w:color w:val="000000" w:themeColor="text1"/>
              </w:rPr>
              <w:t xml:space="preserve"> (GP), 25 outer iterations (GP)</w:t>
            </w:r>
          </w:p>
        </w:tc>
      </w:tr>
      <w:tr w:rsidR="00507E7F" w:rsidRPr="005769E5" w14:paraId="795F2EA8" w14:textId="77777777" w:rsidTr="00507E7F">
        <w:tc>
          <w:tcPr>
            <w:tcW w:w="3960" w:type="dxa"/>
          </w:tcPr>
          <w:p w14:paraId="05239335" w14:textId="77777777" w:rsidR="00507E7F" w:rsidRPr="005769E5" w:rsidRDefault="00000000">
            <w:pPr>
              <w:pStyle w:val="Compact"/>
              <w:jc w:val="left"/>
              <w:rPr>
                <w:color w:val="000000" w:themeColor="text1"/>
              </w:rPr>
            </w:pPr>
            <w:r w:rsidRPr="005769E5">
              <w:rPr>
                <w:color w:val="000000" w:themeColor="text1"/>
              </w:rPr>
              <w:t>Network architecture</w:t>
            </w:r>
          </w:p>
        </w:tc>
        <w:tc>
          <w:tcPr>
            <w:tcW w:w="3960" w:type="dxa"/>
          </w:tcPr>
          <w:p w14:paraId="40D2FDCB" w14:textId="77777777" w:rsidR="00507E7F" w:rsidRPr="005769E5" w:rsidRDefault="00000000">
            <w:pPr>
              <w:pStyle w:val="Compact"/>
              <w:jc w:val="left"/>
              <w:rPr>
                <w:color w:val="000000" w:themeColor="text1"/>
              </w:rPr>
            </w:pPr>
            <w:r w:rsidRPr="005769E5">
              <w:rPr>
                <w:color w:val="000000" w:themeColor="text1"/>
              </w:rPr>
              <w:t>2 hidden layers x 64 ELU units, two output heads</w:t>
            </w:r>
          </w:p>
        </w:tc>
      </w:tr>
      <w:tr w:rsidR="00507E7F" w:rsidRPr="005769E5" w14:paraId="025F849B" w14:textId="77777777" w:rsidTr="00507E7F">
        <w:tc>
          <w:tcPr>
            <w:tcW w:w="3960" w:type="dxa"/>
          </w:tcPr>
          <w:p w14:paraId="538DE209" w14:textId="77777777" w:rsidR="00507E7F" w:rsidRPr="005769E5" w:rsidRDefault="00000000">
            <w:pPr>
              <w:pStyle w:val="Compact"/>
              <w:jc w:val="left"/>
              <w:rPr>
                <w:color w:val="000000" w:themeColor="text1"/>
              </w:rPr>
            </w:pPr>
            <w:r w:rsidRPr="005769E5">
              <w:rPr>
                <w:color w:val="000000" w:themeColor="text1"/>
              </w:rPr>
              <w:t>Network optimiser</w:t>
            </w:r>
          </w:p>
        </w:tc>
        <w:tc>
          <w:tcPr>
            <w:tcW w:w="3960" w:type="dxa"/>
          </w:tcPr>
          <w:p w14:paraId="0525489E" w14:textId="77777777" w:rsidR="00507E7F" w:rsidRPr="005769E5" w:rsidRDefault="00000000">
            <w:pPr>
              <w:pStyle w:val="Compact"/>
              <w:jc w:val="left"/>
              <w:rPr>
                <w:color w:val="000000" w:themeColor="text1"/>
              </w:rPr>
            </w:pPr>
            <w:r w:rsidRPr="005769E5">
              <w:rPr>
                <w:color w:val="000000" w:themeColor="text1"/>
              </w:rPr>
              <w:t>Adam, learning rate 3e</w:t>
            </w:r>
            <w:r w:rsidRPr="005769E5">
              <w:rPr>
                <w:color w:val="000000" w:themeColor="text1"/>
                <w:vertAlign w:val="superscript"/>
              </w:rPr>
              <w:t>-3</w:t>
            </w:r>
            <w:r w:rsidRPr="005769E5">
              <w:rPr>
                <w:color w:val="000000" w:themeColor="text1"/>
              </w:rPr>
              <w:t xml:space="preserve"> with cosine decay</w:t>
            </w:r>
          </w:p>
        </w:tc>
      </w:tr>
      <w:tr w:rsidR="00507E7F" w:rsidRPr="005769E5" w14:paraId="199C236C" w14:textId="77777777" w:rsidTr="00507E7F">
        <w:tc>
          <w:tcPr>
            <w:tcW w:w="3960" w:type="dxa"/>
          </w:tcPr>
          <w:p w14:paraId="256EF26C" w14:textId="77777777" w:rsidR="00507E7F" w:rsidRPr="005769E5" w:rsidRDefault="00000000">
            <w:pPr>
              <w:pStyle w:val="Compact"/>
              <w:jc w:val="left"/>
              <w:rPr>
                <w:color w:val="000000" w:themeColor="text1"/>
              </w:rPr>
            </w:pPr>
            <w:r w:rsidRPr="005769E5">
              <w:rPr>
                <w:color w:val="000000" w:themeColor="text1"/>
              </w:rPr>
              <w:t>Network epochs (main / learning curve)</w:t>
            </w:r>
          </w:p>
        </w:tc>
        <w:tc>
          <w:tcPr>
            <w:tcW w:w="3960" w:type="dxa"/>
          </w:tcPr>
          <w:p w14:paraId="2C56D0FC" w14:textId="77777777" w:rsidR="00507E7F" w:rsidRPr="005769E5" w:rsidRDefault="00000000">
            <w:pPr>
              <w:pStyle w:val="Compact"/>
              <w:jc w:val="left"/>
              <w:rPr>
                <w:color w:val="000000" w:themeColor="text1"/>
              </w:rPr>
            </w:pPr>
            <w:r w:rsidRPr="005769E5">
              <w:rPr>
                <w:color w:val="000000" w:themeColor="text1"/>
              </w:rPr>
              <w:t>10000 / 5000</w:t>
            </w:r>
          </w:p>
        </w:tc>
      </w:tr>
      <w:tr w:rsidR="00507E7F" w:rsidRPr="005769E5" w14:paraId="2FA2CB91" w14:textId="77777777" w:rsidTr="00507E7F">
        <w:tc>
          <w:tcPr>
            <w:tcW w:w="3960" w:type="dxa"/>
          </w:tcPr>
          <w:p w14:paraId="1607B1D7" w14:textId="77777777" w:rsidR="00507E7F" w:rsidRPr="005769E5" w:rsidRDefault="00000000">
            <w:pPr>
              <w:pStyle w:val="Compact"/>
              <w:jc w:val="left"/>
              <w:rPr>
                <w:color w:val="000000" w:themeColor="text1"/>
              </w:rPr>
            </w:pPr>
            <w:r w:rsidRPr="005769E5">
              <w:rPr>
                <w:color w:val="000000" w:themeColor="text1"/>
              </w:rPr>
              <w:t>Hardware</w:t>
            </w:r>
          </w:p>
        </w:tc>
        <w:tc>
          <w:tcPr>
            <w:tcW w:w="3960" w:type="dxa"/>
          </w:tcPr>
          <w:p w14:paraId="403E4325" w14:textId="77777777" w:rsidR="00507E7F" w:rsidRPr="005769E5" w:rsidRDefault="00000000">
            <w:pPr>
              <w:pStyle w:val="Compact"/>
              <w:jc w:val="left"/>
              <w:rPr>
                <w:color w:val="000000" w:themeColor="text1"/>
              </w:rPr>
            </w:pPr>
            <w:r w:rsidRPr="005769E5">
              <w:rPr>
                <w:color w:val="000000" w:themeColor="text1"/>
              </w:rPr>
              <w:t>single CPU core</w:t>
            </w:r>
          </w:p>
        </w:tc>
      </w:tr>
    </w:tbl>
    <w:p w14:paraId="13684D73" w14:textId="77777777" w:rsidR="00507E7F" w:rsidRPr="005769E5" w:rsidRDefault="00000000">
      <w:pPr>
        <w:pStyle w:val="Heading2"/>
        <w:rPr>
          <w:color w:val="000000" w:themeColor="text1"/>
        </w:rPr>
      </w:pPr>
      <w:bookmarkStart w:id="31" w:name="X063bcbbffe420b57d6d20ffba5ede255847af8e"/>
      <w:bookmarkEnd w:id="30"/>
      <w:r w:rsidRPr="005769E5">
        <w:rPr>
          <w:color w:val="000000" w:themeColor="text1"/>
        </w:rPr>
        <w:t>Table S6. Repeated-run statistics (mean and 95% confidence interval over 8 repetitions)</w:t>
      </w:r>
    </w:p>
    <w:tbl>
      <w:tblPr>
        <w:tblStyle w:val="Table"/>
        <w:tblW w:w="8923" w:type="dxa"/>
        <w:tblBorders>
          <w:top w:val="single" w:sz="6" w:space="0" w:color="808080"/>
          <w:left w:val="single" w:sz="6" w:space="0" w:color="808080"/>
          <w:bottom w:val="single" w:sz="6" w:space="0" w:color="808080"/>
          <w:right w:val="single" w:sz="6" w:space="0" w:color="808080"/>
          <w:insideH w:val="single" w:sz="4" w:space="0" w:color="BFBFBF"/>
          <w:insideV w:val="single" w:sz="4" w:space="0" w:color="BFBFBF"/>
        </w:tblBorders>
        <w:tblLayout w:type="fixed"/>
        <w:tblLook w:val="0020" w:firstRow="1" w:lastRow="0" w:firstColumn="0" w:lastColumn="0" w:noHBand="0" w:noVBand="0"/>
      </w:tblPr>
      <w:tblGrid>
        <w:gridCol w:w="985"/>
        <w:gridCol w:w="1984"/>
        <w:gridCol w:w="1559"/>
        <w:gridCol w:w="1276"/>
        <w:gridCol w:w="992"/>
        <w:gridCol w:w="1134"/>
        <w:gridCol w:w="993"/>
      </w:tblGrid>
      <w:tr w:rsidR="00507E7F" w:rsidRPr="005769E5" w14:paraId="66E45EB4" w14:textId="77777777" w:rsidTr="005769E5">
        <w:trPr>
          <w:cnfStyle w:val="100000000000" w:firstRow="1" w:lastRow="0" w:firstColumn="0" w:lastColumn="0" w:oddVBand="0" w:evenVBand="0" w:oddHBand="0" w:evenHBand="0" w:firstRowFirstColumn="0" w:firstRowLastColumn="0" w:lastRowFirstColumn="0" w:lastRowLastColumn="0"/>
          <w:trHeight w:val="762"/>
          <w:tblHeader/>
        </w:trPr>
        <w:tc>
          <w:tcPr>
            <w:tcW w:w="985" w:type="dxa"/>
          </w:tcPr>
          <w:p w14:paraId="236FEB1A" w14:textId="77777777" w:rsidR="00507E7F" w:rsidRPr="005769E5" w:rsidRDefault="00000000">
            <w:pPr>
              <w:pStyle w:val="Compact"/>
              <w:jc w:val="left"/>
              <w:rPr>
                <w:color w:val="000000" w:themeColor="text1"/>
              </w:rPr>
            </w:pPr>
            <w:r w:rsidRPr="005769E5">
              <w:rPr>
                <w:color w:val="000000" w:themeColor="text1"/>
              </w:rPr>
              <w:t>Variant</w:t>
            </w:r>
          </w:p>
        </w:tc>
        <w:tc>
          <w:tcPr>
            <w:tcW w:w="1984" w:type="dxa"/>
          </w:tcPr>
          <w:p w14:paraId="179B1260" w14:textId="77777777" w:rsidR="00507E7F" w:rsidRPr="005769E5" w:rsidRDefault="00000000">
            <w:pPr>
              <w:pStyle w:val="Compact"/>
              <w:jc w:val="left"/>
              <w:rPr>
                <w:color w:val="000000" w:themeColor="text1"/>
              </w:rPr>
            </w:pPr>
            <w:r w:rsidRPr="005769E5">
              <w:rPr>
                <w:color w:val="000000" w:themeColor="text1"/>
              </w:rPr>
              <w:t>MAE (pp)</w:t>
            </w:r>
          </w:p>
        </w:tc>
        <w:tc>
          <w:tcPr>
            <w:tcW w:w="1559" w:type="dxa"/>
          </w:tcPr>
          <w:p w14:paraId="331C9CC1" w14:textId="77777777" w:rsidR="00507E7F" w:rsidRPr="005769E5" w:rsidRDefault="00000000">
            <w:pPr>
              <w:pStyle w:val="Compact"/>
              <w:jc w:val="left"/>
              <w:rPr>
                <w:color w:val="000000" w:themeColor="text1"/>
              </w:rPr>
            </w:pPr>
            <w:r w:rsidRPr="005769E5">
              <w:rPr>
                <w:color w:val="000000" w:themeColor="text1"/>
              </w:rPr>
              <w:t>Max error (pp)</w:t>
            </w:r>
          </w:p>
        </w:tc>
        <w:tc>
          <w:tcPr>
            <w:tcW w:w="1276" w:type="dxa"/>
          </w:tcPr>
          <w:p w14:paraId="6BB67493" w14:textId="77777777" w:rsidR="00507E7F" w:rsidRPr="005769E5" w:rsidRDefault="00000000">
            <w:pPr>
              <w:pStyle w:val="Compact"/>
              <w:jc w:val="left"/>
              <w:rPr>
                <w:color w:val="000000" w:themeColor="text1"/>
              </w:rPr>
            </w:pPr>
            <w:r w:rsidRPr="005769E5">
              <w:rPr>
                <w:color w:val="000000" w:themeColor="text1"/>
              </w:rPr>
              <w:t>R2 (electricity)</w:t>
            </w:r>
          </w:p>
        </w:tc>
        <w:tc>
          <w:tcPr>
            <w:tcW w:w="992" w:type="dxa"/>
          </w:tcPr>
          <w:p w14:paraId="51A30AC9" w14:textId="6D2D76EC" w:rsidR="00507E7F" w:rsidRPr="005769E5" w:rsidRDefault="00000000">
            <w:pPr>
              <w:pStyle w:val="Compact"/>
              <w:jc w:val="left"/>
              <w:rPr>
                <w:color w:val="000000" w:themeColor="text1"/>
              </w:rPr>
            </w:pPr>
            <w:r w:rsidRPr="005769E5">
              <w:rPr>
                <w:color w:val="000000" w:themeColor="text1"/>
              </w:rPr>
              <w:t>Median abs(r</w:t>
            </w:r>
            <w:r w:rsidRPr="005769E5">
              <w:rPr>
                <w:color w:val="000000" w:themeColor="text1"/>
                <w:vertAlign w:val="subscript"/>
              </w:rPr>
              <w:t>B</w:t>
            </w:r>
            <w:r w:rsidRPr="005769E5">
              <w:rPr>
                <w:color w:val="000000" w:themeColor="text1"/>
              </w:rPr>
              <w:t>)</w:t>
            </w:r>
          </w:p>
        </w:tc>
        <w:tc>
          <w:tcPr>
            <w:tcW w:w="1134" w:type="dxa"/>
          </w:tcPr>
          <w:p w14:paraId="76E1A3B2" w14:textId="77777777" w:rsidR="00507E7F" w:rsidRPr="005769E5" w:rsidRDefault="00000000">
            <w:pPr>
              <w:pStyle w:val="Compact"/>
              <w:jc w:val="left"/>
              <w:rPr>
                <w:color w:val="000000" w:themeColor="text1"/>
              </w:rPr>
            </w:pPr>
            <w:r w:rsidRPr="005769E5">
              <w:rPr>
                <w:color w:val="000000" w:themeColor="text1"/>
              </w:rPr>
              <w:t>Rejections (%)</w:t>
            </w:r>
          </w:p>
        </w:tc>
        <w:tc>
          <w:tcPr>
            <w:tcW w:w="993" w:type="dxa"/>
          </w:tcPr>
          <w:p w14:paraId="4951EC55" w14:textId="77777777" w:rsidR="00507E7F" w:rsidRPr="005769E5" w:rsidRDefault="00000000">
            <w:pPr>
              <w:pStyle w:val="Compact"/>
              <w:jc w:val="left"/>
              <w:rPr>
                <w:color w:val="000000" w:themeColor="text1"/>
              </w:rPr>
            </w:pPr>
            <w:r w:rsidRPr="005769E5">
              <w:rPr>
                <w:color w:val="000000" w:themeColor="text1"/>
              </w:rPr>
              <w:t>Training time (s)</w:t>
            </w:r>
          </w:p>
        </w:tc>
      </w:tr>
      <w:tr w:rsidR="00507E7F" w:rsidRPr="005769E5" w14:paraId="0D7889AB" w14:textId="77777777" w:rsidTr="005769E5">
        <w:trPr>
          <w:trHeight w:val="746"/>
        </w:trPr>
        <w:tc>
          <w:tcPr>
            <w:tcW w:w="985" w:type="dxa"/>
          </w:tcPr>
          <w:p w14:paraId="621219D2" w14:textId="77777777" w:rsidR="00507E7F" w:rsidRPr="005769E5" w:rsidRDefault="00000000">
            <w:pPr>
              <w:pStyle w:val="Compact"/>
              <w:jc w:val="left"/>
              <w:rPr>
                <w:color w:val="000000" w:themeColor="text1"/>
              </w:rPr>
            </w:pPr>
            <w:r w:rsidRPr="005769E5">
              <w:rPr>
                <w:color w:val="000000" w:themeColor="text1"/>
              </w:rPr>
              <w:t>GP-PI</w:t>
            </w:r>
          </w:p>
        </w:tc>
        <w:tc>
          <w:tcPr>
            <w:tcW w:w="1984" w:type="dxa"/>
          </w:tcPr>
          <w:p w14:paraId="6B7585D9" w14:textId="77777777" w:rsidR="00507E7F" w:rsidRPr="005769E5" w:rsidRDefault="00000000">
            <w:pPr>
              <w:pStyle w:val="Compact"/>
              <w:jc w:val="left"/>
              <w:rPr>
                <w:color w:val="000000" w:themeColor="text1"/>
              </w:rPr>
            </w:pPr>
            <w:r w:rsidRPr="005769E5">
              <w:rPr>
                <w:color w:val="000000" w:themeColor="text1"/>
              </w:rPr>
              <w:t>0.092 (0.089–0.095)</w:t>
            </w:r>
          </w:p>
        </w:tc>
        <w:tc>
          <w:tcPr>
            <w:tcW w:w="1559" w:type="dxa"/>
          </w:tcPr>
          <w:p w14:paraId="169CB9A4" w14:textId="77777777" w:rsidR="00507E7F" w:rsidRPr="005769E5" w:rsidRDefault="00000000">
            <w:pPr>
              <w:pStyle w:val="Compact"/>
              <w:jc w:val="left"/>
              <w:rPr>
                <w:color w:val="000000" w:themeColor="text1"/>
              </w:rPr>
            </w:pPr>
            <w:r w:rsidRPr="005769E5">
              <w:rPr>
                <w:color w:val="000000" w:themeColor="text1"/>
              </w:rPr>
              <w:t>0.76</w:t>
            </w:r>
          </w:p>
        </w:tc>
        <w:tc>
          <w:tcPr>
            <w:tcW w:w="1276" w:type="dxa"/>
          </w:tcPr>
          <w:p w14:paraId="158A79F5" w14:textId="77777777" w:rsidR="00507E7F" w:rsidRPr="005769E5" w:rsidRDefault="00000000">
            <w:pPr>
              <w:pStyle w:val="Compact"/>
              <w:jc w:val="left"/>
              <w:rPr>
                <w:color w:val="000000" w:themeColor="text1"/>
              </w:rPr>
            </w:pPr>
            <w:r w:rsidRPr="005769E5">
              <w:rPr>
                <w:color w:val="000000" w:themeColor="text1"/>
              </w:rPr>
              <w:t>0.9949</w:t>
            </w:r>
          </w:p>
        </w:tc>
        <w:tc>
          <w:tcPr>
            <w:tcW w:w="992" w:type="dxa"/>
          </w:tcPr>
          <w:p w14:paraId="7C757A60" w14:textId="77777777" w:rsidR="00507E7F" w:rsidRPr="005769E5" w:rsidRDefault="00000000">
            <w:pPr>
              <w:pStyle w:val="Compact"/>
              <w:jc w:val="left"/>
              <w:rPr>
                <w:color w:val="000000" w:themeColor="text1"/>
              </w:rPr>
            </w:pPr>
            <w:r w:rsidRPr="005769E5">
              <w:rPr>
                <w:color w:val="000000" w:themeColor="text1"/>
              </w:rPr>
              <w:t>2.6e-04</w:t>
            </w:r>
          </w:p>
        </w:tc>
        <w:tc>
          <w:tcPr>
            <w:tcW w:w="1134" w:type="dxa"/>
          </w:tcPr>
          <w:p w14:paraId="41E4B4ED" w14:textId="77777777" w:rsidR="00507E7F" w:rsidRPr="005769E5" w:rsidRDefault="00000000">
            <w:pPr>
              <w:pStyle w:val="Compact"/>
              <w:jc w:val="left"/>
              <w:rPr>
                <w:color w:val="000000" w:themeColor="text1"/>
              </w:rPr>
            </w:pPr>
            <w:r w:rsidRPr="005769E5">
              <w:rPr>
                <w:color w:val="000000" w:themeColor="text1"/>
              </w:rPr>
              <w:t>0.00</w:t>
            </w:r>
          </w:p>
        </w:tc>
        <w:tc>
          <w:tcPr>
            <w:tcW w:w="993" w:type="dxa"/>
          </w:tcPr>
          <w:p w14:paraId="7DFDD245" w14:textId="77777777" w:rsidR="00507E7F" w:rsidRPr="005769E5" w:rsidRDefault="00000000">
            <w:pPr>
              <w:pStyle w:val="Compact"/>
              <w:jc w:val="left"/>
              <w:rPr>
                <w:color w:val="000000" w:themeColor="text1"/>
              </w:rPr>
            </w:pPr>
            <w:r w:rsidRPr="005769E5">
              <w:rPr>
                <w:color w:val="000000" w:themeColor="text1"/>
              </w:rPr>
              <w:t>4.5</w:t>
            </w:r>
          </w:p>
        </w:tc>
      </w:tr>
      <w:tr w:rsidR="00507E7F" w:rsidRPr="005769E5" w14:paraId="2A95CE14" w14:textId="77777777" w:rsidTr="005769E5">
        <w:trPr>
          <w:trHeight w:val="762"/>
        </w:trPr>
        <w:tc>
          <w:tcPr>
            <w:tcW w:w="985" w:type="dxa"/>
          </w:tcPr>
          <w:p w14:paraId="64462E79" w14:textId="77777777" w:rsidR="00507E7F" w:rsidRPr="005769E5" w:rsidRDefault="00000000">
            <w:pPr>
              <w:pStyle w:val="Compact"/>
              <w:jc w:val="left"/>
              <w:rPr>
                <w:color w:val="000000" w:themeColor="text1"/>
              </w:rPr>
            </w:pPr>
            <w:r w:rsidRPr="005769E5">
              <w:rPr>
                <w:color w:val="000000" w:themeColor="text1"/>
              </w:rPr>
              <w:t>GP-plain</w:t>
            </w:r>
          </w:p>
        </w:tc>
        <w:tc>
          <w:tcPr>
            <w:tcW w:w="1984" w:type="dxa"/>
          </w:tcPr>
          <w:p w14:paraId="7371D17D" w14:textId="77777777" w:rsidR="00507E7F" w:rsidRPr="005769E5" w:rsidRDefault="00000000">
            <w:pPr>
              <w:pStyle w:val="Compact"/>
              <w:jc w:val="left"/>
              <w:rPr>
                <w:color w:val="000000" w:themeColor="text1"/>
              </w:rPr>
            </w:pPr>
            <w:r w:rsidRPr="005769E5">
              <w:rPr>
                <w:color w:val="000000" w:themeColor="text1"/>
              </w:rPr>
              <w:t>0.091 (0.088–0.094)</w:t>
            </w:r>
          </w:p>
        </w:tc>
        <w:tc>
          <w:tcPr>
            <w:tcW w:w="1559" w:type="dxa"/>
          </w:tcPr>
          <w:p w14:paraId="707E9A13" w14:textId="77777777" w:rsidR="00507E7F" w:rsidRPr="005769E5" w:rsidRDefault="00000000">
            <w:pPr>
              <w:pStyle w:val="Compact"/>
              <w:jc w:val="left"/>
              <w:rPr>
                <w:color w:val="000000" w:themeColor="text1"/>
              </w:rPr>
            </w:pPr>
            <w:r w:rsidRPr="005769E5">
              <w:rPr>
                <w:color w:val="000000" w:themeColor="text1"/>
              </w:rPr>
              <w:t>0.74</w:t>
            </w:r>
          </w:p>
        </w:tc>
        <w:tc>
          <w:tcPr>
            <w:tcW w:w="1276" w:type="dxa"/>
          </w:tcPr>
          <w:p w14:paraId="43E9B9DF" w14:textId="77777777" w:rsidR="00507E7F" w:rsidRPr="005769E5" w:rsidRDefault="00000000">
            <w:pPr>
              <w:pStyle w:val="Compact"/>
              <w:jc w:val="left"/>
              <w:rPr>
                <w:color w:val="000000" w:themeColor="text1"/>
              </w:rPr>
            </w:pPr>
            <w:r w:rsidRPr="005769E5">
              <w:rPr>
                <w:color w:val="000000" w:themeColor="text1"/>
              </w:rPr>
              <w:t>0.9950</w:t>
            </w:r>
          </w:p>
        </w:tc>
        <w:tc>
          <w:tcPr>
            <w:tcW w:w="992" w:type="dxa"/>
          </w:tcPr>
          <w:p w14:paraId="788C7A4C" w14:textId="77777777" w:rsidR="00507E7F" w:rsidRPr="005769E5" w:rsidRDefault="00000000">
            <w:pPr>
              <w:pStyle w:val="Compact"/>
              <w:jc w:val="left"/>
              <w:rPr>
                <w:color w:val="000000" w:themeColor="text1"/>
              </w:rPr>
            </w:pPr>
            <w:r w:rsidRPr="005769E5">
              <w:rPr>
                <w:color w:val="000000" w:themeColor="text1"/>
              </w:rPr>
              <w:t>2.7e-04</w:t>
            </w:r>
          </w:p>
        </w:tc>
        <w:tc>
          <w:tcPr>
            <w:tcW w:w="1134" w:type="dxa"/>
          </w:tcPr>
          <w:p w14:paraId="403CB117" w14:textId="77777777" w:rsidR="00507E7F" w:rsidRPr="005769E5" w:rsidRDefault="00000000">
            <w:pPr>
              <w:pStyle w:val="Compact"/>
              <w:jc w:val="left"/>
              <w:rPr>
                <w:color w:val="000000" w:themeColor="text1"/>
              </w:rPr>
            </w:pPr>
            <w:r w:rsidRPr="005769E5">
              <w:rPr>
                <w:color w:val="000000" w:themeColor="text1"/>
              </w:rPr>
              <w:t>0.00</w:t>
            </w:r>
          </w:p>
        </w:tc>
        <w:tc>
          <w:tcPr>
            <w:tcW w:w="993" w:type="dxa"/>
          </w:tcPr>
          <w:p w14:paraId="7362A661" w14:textId="77777777" w:rsidR="00507E7F" w:rsidRPr="005769E5" w:rsidRDefault="00000000">
            <w:pPr>
              <w:pStyle w:val="Compact"/>
              <w:jc w:val="left"/>
              <w:rPr>
                <w:color w:val="000000" w:themeColor="text1"/>
              </w:rPr>
            </w:pPr>
            <w:r w:rsidRPr="005769E5">
              <w:rPr>
                <w:color w:val="000000" w:themeColor="text1"/>
              </w:rPr>
              <w:t>0.0</w:t>
            </w:r>
          </w:p>
        </w:tc>
      </w:tr>
      <w:tr w:rsidR="00507E7F" w:rsidRPr="005769E5" w14:paraId="70BB9720" w14:textId="77777777" w:rsidTr="005769E5">
        <w:trPr>
          <w:trHeight w:val="746"/>
        </w:trPr>
        <w:tc>
          <w:tcPr>
            <w:tcW w:w="985" w:type="dxa"/>
          </w:tcPr>
          <w:p w14:paraId="500F8C0A" w14:textId="77777777" w:rsidR="00507E7F" w:rsidRPr="005769E5" w:rsidRDefault="00000000">
            <w:pPr>
              <w:pStyle w:val="Compact"/>
              <w:jc w:val="left"/>
              <w:rPr>
                <w:color w:val="000000" w:themeColor="text1"/>
              </w:rPr>
            </w:pPr>
            <w:r w:rsidRPr="005769E5">
              <w:rPr>
                <w:color w:val="000000" w:themeColor="text1"/>
              </w:rPr>
              <w:t>NN-hard</w:t>
            </w:r>
          </w:p>
        </w:tc>
        <w:tc>
          <w:tcPr>
            <w:tcW w:w="1984" w:type="dxa"/>
          </w:tcPr>
          <w:p w14:paraId="7F7C2D00" w14:textId="77777777" w:rsidR="00507E7F" w:rsidRPr="005769E5" w:rsidRDefault="00000000">
            <w:pPr>
              <w:pStyle w:val="Compact"/>
              <w:jc w:val="left"/>
              <w:rPr>
                <w:color w:val="000000" w:themeColor="text1"/>
              </w:rPr>
            </w:pPr>
            <w:r w:rsidRPr="005769E5">
              <w:rPr>
                <w:color w:val="000000" w:themeColor="text1"/>
              </w:rPr>
              <w:t>2.601 (2.308–2.894)</w:t>
            </w:r>
          </w:p>
        </w:tc>
        <w:tc>
          <w:tcPr>
            <w:tcW w:w="1559" w:type="dxa"/>
          </w:tcPr>
          <w:p w14:paraId="59D7633E" w14:textId="77777777" w:rsidR="00507E7F" w:rsidRPr="005769E5" w:rsidRDefault="00000000">
            <w:pPr>
              <w:pStyle w:val="Compact"/>
              <w:jc w:val="left"/>
              <w:rPr>
                <w:color w:val="000000" w:themeColor="text1"/>
              </w:rPr>
            </w:pPr>
            <w:r w:rsidRPr="005769E5">
              <w:rPr>
                <w:color w:val="000000" w:themeColor="text1"/>
              </w:rPr>
              <w:t>16.83</w:t>
            </w:r>
          </w:p>
        </w:tc>
        <w:tc>
          <w:tcPr>
            <w:tcW w:w="1276" w:type="dxa"/>
          </w:tcPr>
          <w:p w14:paraId="3707204F" w14:textId="77777777" w:rsidR="00507E7F" w:rsidRPr="005769E5" w:rsidRDefault="00000000">
            <w:pPr>
              <w:pStyle w:val="Compact"/>
              <w:jc w:val="left"/>
              <w:rPr>
                <w:color w:val="000000" w:themeColor="text1"/>
              </w:rPr>
            </w:pPr>
            <w:r w:rsidRPr="005769E5">
              <w:rPr>
                <w:color w:val="000000" w:themeColor="text1"/>
              </w:rPr>
              <w:t>-2.5926</w:t>
            </w:r>
          </w:p>
        </w:tc>
        <w:tc>
          <w:tcPr>
            <w:tcW w:w="992" w:type="dxa"/>
          </w:tcPr>
          <w:p w14:paraId="276F47EC" w14:textId="77777777" w:rsidR="00507E7F" w:rsidRPr="005769E5" w:rsidRDefault="00000000">
            <w:pPr>
              <w:pStyle w:val="Compact"/>
              <w:jc w:val="left"/>
              <w:rPr>
                <w:color w:val="000000" w:themeColor="text1"/>
              </w:rPr>
            </w:pPr>
            <w:r w:rsidRPr="005769E5">
              <w:rPr>
                <w:color w:val="000000" w:themeColor="text1"/>
              </w:rPr>
              <w:t>9.4e-03</w:t>
            </w:r>
          </w:p>
        </w:tc>
        <w:tc>
          <w:tcPr>
            <w:tcW w:w="1134" w:type="dxa"/>
          </w:tcPr>
          <w:p w14:paraId="7326FEAD" w14:textId="77777777" w:rsidR="00507E7F" w:rsidRPr="005769E5" w:rsidRDefault="00000000">
            <w:pPr>
              <w:pStyle w:val="Compact"/>
              <w:jc w:val="left"/>
              <w:rPr>
                <w:color w:val="000000" w:themeColor="text1"/>
              </w:rPr>
            </w:pPr>
            <w:r w:rsidRPr="005769E5">
              <w:rPr>
                <w:color w:val="000000" w:themeColor="text1"/>
              </w:rPr>
              <w:t>47.34</w:t>
            </w:r>
          </w:p>
        </w:tc>
        <w:tc>
          <w:tcPr>
            <w:tcW w:w="993" w:type="dxa"/>
          </w:tcPr>
          <w:p w14:paraId="3A0519CD" w14:textId="77777777" w:rsidR="00507E7F" w:rsidRPr="005769E5" w:rsidRDefault="00000000">
            <w:pPr>
              <w:pStyle w:val="Compact"/>
              <w:jc w:val="left"/>
              <w:rPr>
                <w:color w:val="000000" w:themeColor="text1"/>
              </w:rPr>
            </w:pPr>
            <w:r w:rsidRPr="005769E5">
              <w:rPr>
                <w:color w:val="000000" w:themeColor="text1"/>
              </w:rPr>
              <w:t>17.0</w:t>
            </w:r>
          </w:p>
        </w:tc>
      </w:tr>
      <w:tr w:rsidR="00507E7F" w:rsidRPr="005769E5" w14:paraId="21A5B85F" w14:textId="77777777" w:rsidTr="005769E5">
        <w:trPr>
          <w:trHeight w:val="746"/>
        </w:trPr>
        <w:tc>
          <w:tcPr>
            <w:tcW w:w="985" w:type="dxa"/>
          </w:tcPr>
          <w:p w14:paraId="67A195AB" w14:textId="77777777" w:rsidR="00507E7F" w:rsidRPr="005769E5" w:rsidRDefault="00000000">
            <w:pPr>
              <w:pStyle w:val="Compact"/>
              <w:jc w:val="left"/>
              <w:rPr>
                <w:color w:val="000000" w:themeColor="text1"/>
              </w:rPr>
            </w:pPr>
            <w:r w:rsidRPr="005769E5">
              <w:rPr>
                <w:color w:val="000000" w:themeColor="text1"/>
              </w:rPr>
              <w:t>NN-soft</w:t>
            </w:r>
          </w:p>
        </w:tc>
        <w:tc>
          <w:tcPr>
            <w:tcW w:w="1984" w:type="dxa"/>
          </w:tcPr>
          <w:p w14:paraId="3CF7A274" w14:textId="77777777" w:rsidR="00507E7F" w:rsidRPr="005769E5" w:rsidRDefault="00000000">
            <w:pPr>
              <w:pStyle w:val="Compact"/>
              <w:jc w:val="left"/>
              <w:rPr>
                <w:color w:val="000000" w:themeColor="text1"/>
              </w:rPr>
            </w:pPr>
            <w:r w:rsidRPr="005769E5">
              <w:rPr>
                <w:color w:val="000000" w:themeColor="text1"/>
              </w:rPr>
              <w:t>0.697 (0.651–0.743)</w:t>
            </w:r>
          </w:p>
        </w:tc>
        <w:tc>
          <w:tcPr>
            <w:tcW w:w="1559" w:type="dxa"/>
          </w:tcPr>
          <w:p w14:paraId="0320141C" w14:textId="77777777" w:rsidR="00507E7F" w:rsidRPr="005769E5" w:rsidRDefault="00000000">
            <w:pPr>
              <w:pStyle w:val="Compact"/>
              <w:jc w:val="left"/>
              <w:rPr>
                <w:color w:val="000000" w:themeColor="text1"/>
              </w:rPr>
            </w:pPr>
            <w:r w:rsidRPr="005769E5">
              <w:rPr>
                <w:color w:val="000000" w:themeColor="text1"/>
              </w:rPr>
              <w:t>4.18</w:t>
            </w:r>
          </w:p>
        </w:tc>
        <w:tc>
          <w:tcPr>
            <w:tcW w:w="1276" w:type="dxa"/>
          </w:tcPr>
          <w:p w14:paraId="00B03318" w14:textId="77777777" w:rsidR="00507E7F" w:rsidRPr="005769E5" w:rsidRDefault="00000000">
            <w:pPr>
              <w:pStyle w:val="Compact"/>
              <w:jc w:val="left"/>
              <w:rPr>
                <w:color w:val="000000" w:themeColor="text1"/>
              </w:rPr>
            </w:pPr>
            <w:r w:rsidRPr="005769E5">
              <w:rPr>
                <w:color w:val="000000" w:themeColor="text1"/>
              </w:rPr>
              <w:t>0.7993</w:t>
            </w:r>
          </w:p>
        </w:tc>
        <w:tc>
          <w:tcPr>
            <w:tcW w:w="992" w:type="dxa"/>
          </w:tcPr>
          <w:p w14:paraId="02A4C6B0" w14:textId="77777777" w:rsidR="00507E7F" w:rsidRPr="005769E5" w:rsidRDefault="00000000">
            <w:pPr>
              <w:pStyle w:val="Compact"/>
              <w:jc w:val="left"/>
              <w:rPr>
                <w:color w:val="000000" w:themeColor="text1"/>
              </w:rPr>
            </w:pPr>
            <w:r w:rsidRPr="005769E5">
              <w:rPr>
                <w:color w:val="000000" w:themeColor="text1"/>
              </w:rPr>
              <w:t>7.4e-03</w:t>
            </w:r>
          </w:p>
        </w:tc>
        <w:tc>
          <w:tcPr>
            <w:tcW w:w="1134" w:type="dxa"/>
          </w:tcPr>
          <w:p w14:paraId="0667036F" w14:textId="77777777" w:rsidR="00507E7F" w:rsidRPr="005769E5" w:rsidRDefault="00000000">
            <w:pPr>
              <w:pStyle w:val="Compact"/>
              <w:jc w:val="left"/>
              <w:rPr>
                <w:color w:val="000000" w:themeColor="text1"/>
              </w:rPr>
            </w:pPr>
            <w:r w:rsidRPr="005769E5">
              <w:rPr>
                <w:color w:val="000000" w:themeColor="text1"/>
              </w:rPr>
              <w:t>37.19</w:t>
            </w:r>
          </w:p>
        </w:tc>
        <w:tc>
          <w:tcPr>
            <w:tcW w:w="993" w:type="dxa"/>
          </w:tcPr>
          <w:p w14:paraId="38FB7434" w14:textId="77777777" w:rsidR="00507E7F" w:rsidRPr="005769E5" w:rsidRDefault="00000000">
            <w:pPr>
              <w:pStyle w:val="Compact"/>
              <w:jc w:val="left"/>
              <w:rPr>
                <w:color w:val="000000" w:themeColor="text1"/>
              </w:rPr>
            </w:pPr>
            <w:r w:rsidRPr="005769E5">
              <w:rPr>
                <w:color w:val="000000" w:themeColor="text1"/>
              </w:rPr>
              <w:t>15.7</w:t>
            </w:r>
          </w:p>
        </w:tc>
      </w:tr>
      <w:tr w:rsidR="00507E7F" w:rsidRPr="005769E5" w14:paraId="4EFB75F6" w14:textId="77777777" w:rsidTr="005769E5">
        <w:trPr>
          <w:trHeight w:val="762"/>
        </w:trPr>
        <w:tc>
          <w:tcPr>
            <w:tcW w:w="985" w:type="dxa"/>
          </w:tcPr>
          <w:p w14:paraId="6D9EC7D6" w14:textId="77777777" w:rsidR="00507E7F" w:rsidRPr="005769E5" w:rsidRDefault="00000000">
            <w:pPr>
              <w:pStyle w:val="Compact"/>
              <w:jc w:val="left"/>
              <w:rPr>
                <w:color w:val="000000" w:themeColor="text1"/>
              </w:rPr>
            </w:pPr>
            <w:r w:rsidRPr="005769E5">
              <w:rPr>
                <w:color w:val="000000" w:themeColor="text1"/>
              </w:rPr>
              <w:t>NN-plain</w:t>
            </w:r>
          </w:p>
        </w:tc>
        <w:tc>
          <w:tcPr>
            <w:tcW w:w="1984" w:type="dxa"/>
          </w:tcPr>
          <w:p w14:paraId="7F6546D6" w14:textId="77777777" w:rsidR="00507E7F" w:rsidRPr="005769E5" w:rsidRDefault="00000000">
            <w:pPr>
              <w:pStyle w:val="Compact"/>
              <w:jc w:val="left"/>
              <w:rPr>
                <w:color w:val="000000" w:themeColor="text1"/>
              </w:rPr>
            </w:pPr>
            <w:r w:rsidRPr="005769E5">
              <w:rPr>
                <w:color w:val="000000" w:themeColor="text1"/>
              </w:rPr>
              <w:t>0.698 (0.653–0.743)</w:t>
            </w:r>
          </w:p>
        </w:tc>
        <w:tc>
          <w:tcPr>
            <w:tcW w:w="1559" w:type="dxa"/>
          </w:tcPr>
          <w:p w14:paraId="6B5B87BC" w14:textId="77777777" w:rsidR="00507E7F" w:rsidRPr="005769E5" w:rsidRDefault="00000000">
            <w:pPr>
              <w:pStyle w:val="Compact"/>
              <w:jc w:val="left"/>
              <w:rPr>
                <w:color w:val="000000" w:themeColor="text1"/>
              </w:rPr>
            </w:pPr>
            <w:r w:rsidRPr="005769E5">
              <w:rPr>
                <w:color w:val="000000" w:themeColor="text1"/>
              </w:rPr>
              <w:t>4.34</w:t>
            </w:r>
          </w:p>
        </w:tc>
        <w:tc>
          <w:tcPr>
            <w:tcW w:w="1276" w:type="dxa"/>
          </w:tcPr>
          <w:p w14:paraId="31732B36" w14:textId="77777777" w:rsidR="00507E7F" w:rsidRPr="005769E5" w:rsidRDefault="00000000">
            <w:pPr>
              <w:pStyle w:val="Compact"/>
              <w:jc w:val="left"/>
              <w:rPr>
                <w:color w:val="000000" w:themeColor="text1"/>
              </w:rPr>
            </w:pPr>
            <w:r w:rsidRPr="005769E5">
              <w:rPr>
                <w:color w:val="000000" w:themeColor="text1"/>
              </w:rPr>
              <w:t>0.8020</w:t>
            </w:r>
          </w:p>
        </w:tc>
        <w:tc>
          <w:tcPr>
            <w:tcW w:w="992" w:type="dxa"/>
          </w:tcPr>
          <w:p w14:paraId="2A4D9075" w14:textId="77777777" w:rsidR="00507E7F" w:rsidRPr="005769E5" w:rsidRDefault="00000000">
            <w:pPr>
              <w:pStyle w:val="Compact"/>
              <w:jc w:val="left"/>
              <w:rPr>
                <w:color w:val="000000" w:themeColor="text1"/>
              </w:rPr>
            </w:pPr>
            <w:r w:rsidRPr="005769E5">
              <w:rPr>
                <w:color w:val="000000" w:themeColor="text1"/>
              </w:rPr>
              <w:t>1.0e-02</w:t>
            </w:r>
          </w:p>
        </w:tc>
        <w:tc>
          <w:tcPr>
            <w:tcW w:w="1134" w:type="dxa"/>
          </w:tcPr>
          <w:p w14:paraId="7CABAA2C" w14:textId="77777777" w:rsidR="00507E7F" w:rsidRPr="005769E5" w:rsidRDefault="00000000">
            <w:pPr>
              <w:pStyle w:val="Compact"/>
              <w:jc w:val="left"/>
              <w:rPr>
                <w:color w:val="000000" w:themeColor="text1"/>
              </w:rPr>
            </w:pPr>
            <w:r w:rsidRPr="005769E5">
              <w:rPr>
                <w:color w:val="000000" w:themeColor="text1"/>
              </w:rPr>
              <w:t>51.56</w:t>
            </w:r>
          </w:p>
        </w:tc>
        <w:tc>
          <w:tcPr>
            <w:tcW w:w="993" w:type="dxa"/>
          </w:tcPr>
          <w:p w14:paraId="60AC59BC" w14:textId="77777777" w:rsidR="00507E7F" w:rsidRPr="005769E5" w:rsidRDefault="00000000">
            <w:pPr>
              <w:pStyle w:val="Compact"/>
              <w:jc w:val="left"/>
              <w:rPr>
                <w:color w:val="000000" w:themeColor="text1"/>
              </w:rPr>
            </w:pPr>
            <w:r w:rsidRPr="005769E5">
              <w:rPr>
                <w:color w:val="000000" w:themeColor="text1"/>
              </w:rPr>
              <w:t>8.3</w:t>
            </w:r>
          </w:p>
        </w:tc>
      </w:tr>
    </w:tbl>
    <w:p w14:paraId="784CC6CD" w14:textId="77777777" w:rsidR="00A96EC8" w:rsidRPr="005769E5" w:rsidRDefault="00A96EC8">
      <w:pPr>
        <w:rPr>
          <w:color w:val="000000" w:themeColor="text1"/>
        </w:rPr>
      </w:pPr>
    </w:p>
    <w:p w14:paraId="093453DB" w14:textId="77777777" w:rsidR="005769E5" w:rsidRDefault="005769E5">
      <w:pPr>
        <w:rPr>
          <w:color w:val="000000" w:themeColor="text1"/>
        </w:rPr>
      </w:pPr>
    </w:p>
    <w:p w14:paraId="02EE5B40" w14:textId="77777777" w:rsidR="005769E5" w:rsidRDefault="005769E5">
      <w:pPr>
        <w:rPr>
          <w:color w:val="000000" w:themeColor="text1"/>
        </w:rPr>
      </w:pPr>
    </w:p>
    <w:p w14:paraId="1FE93117" w14:textId="3781A045" w:rsidR="00507E7F" w:rsidRPr="005769E5" w:rsidRDefault="00000000">
      <w:pPr>
        <w:rPr>
          <w:color w:val="000000" w:themeColor="text1"/>
        </w:rPr>
      </w:pPr>
      <w:r w:rsidRPr="005769E5">
        <w:rPr>
          <w:color w:val="000000" w:themeColor="text1"/>
        </w:rPr>
        <w:lastRenderedPageBreak/>
        <w:t>Kolmogorov–Smirnov comparison against the 10,000-sample Monte Carlo marginals (fraction of repetitions in which equality is rejected at the 5% level):</w:t>
      </w:r>
    </w:p>
    <w:tbl>
      <w:tblPr>
        <w:tblStyle w:val="Table"/>
        <w:tblW w:w="7920" w:type="dxa"/>
        <w:tblBorders>
          <w:top w:val="single" w:sz="6" w:space="0" w:color="808080"/>
          <w:left w:val="single" w:sz="6" w:space="0" w:color="808080"/>
          <w:bottom w:val="single" w:sz="6" w:space="0" w:color="808080"/>
          <w:right w:val="single" w:sz="6" w:space="0" w:color="808080"/>
          <w:insideH w:val="single" w:sz="4" w:space="0" w:color="BFBFBF"/>
          <w:insideV w:val="single" w:sz="4" w:space="0" w:color="BFBFBF"/>
        </w:tblBorders>
        <w:tblLayout w:type="fixed"/>
        <w:tblLook w:val="0020" w:firstRow="1" w:lastRow="0" w:firstColumn="0" w:lastColumn="0" w:noHBand="0" w:noVBand="0"/>
      </w:tblPr>
      <w:tblGrid>
        <w:gridCol w:w="1584"/>
        <w:gridCol w:w="1584"/>
        <w:gridCol w:w="1584"/>
        <w:gridCol w:w="1584"/>
        <w:gridCol w:w="1584"/>
      </w:tblGrid>
      <w:tr w:rsidR="00507E7F" w:rsidRPr="005769E5" w14:paraId="0A1A46C0" w14:textId="77777777" w:rsidTr="00507E7F">
        <w:trPr>
          <w:cnfStyle w:val="100000000000" w:firstRow="1" w:lastRow="0" w:firstColumn="0" w:lastColumn="0" w:oddVBand="0" w:evenVBand="0" w:oddHBand="0" w:evenHBand="0" w:firstRowFirstColumn="0" w:firstRowLastColumn="0" w:lastRowFirstColumn="0" w:lastRowLastColumn="0"/>
          <w:tblHeader/>
        </w:trPr>
        <w:tc>
          <w:tcPr>
            <w:tcW w:w="1584" w:type="dxa"/>
          </w:tcPr>
          <w:p w14:paraId="500D0736" w14:textId="77777777" w:rsidR="00507E7F" w:rsidRPr="005769E5" w:rsidRDefault="00000000">
            <w:pPr>
              <w:pStyle w:val="Compact"/>
              <w:jc w:val="left"/>
              <w:rPr>
                <w:color w:val="000000" w:themeColor="text1"/>
              </w:rPr>
            </w:pPr>
            <w:r w:rsidRPr="005769E5">
              <w:rPr>
                <w:color w:val="000000" w:themeColor="text1"/>
              </w:rPr>
              <w:t>Variant</w:t>
            </w:r>
          </w:p>
        </w:tc>
        <w:tc>
          <w:tcPr>
            <w:tcW w:w="1584" w:type="dxa"/>
          </w:tcPr>
          <w:p w14:paraId="1EDA83E0" w14:textId="77777777" w:rsidR="00507E7F" w:rsidRPr="005769E5" w:rsidRDefault="00000000">
            <w:pPr>
              <w:pStyle w:val="Compact"/>
              <w:jc w:val="left"/>
              <w:rPr>
                <w:color w:val="000000" w:themeColor="text1"/>
              </w:rPr>
            </w:pPr>
            <w:r w:rsidRPr="005769E5">
              <w:rPr>
                <w:color w:val="000000" w:themeColor="text1"/>
              </w:rPr>
              <w:t>Electricity</w:t>
            </w:r>
          </w:p>
        </w:tc>
        <w:tc>
          <w:tcPr>
            <w:tcW w:w="1584" w:type="dxa"/>
          </w:tcPr>
          <w:p w14:paraId="4001F95F" w14:textId="77777777" w:rsidR="00507E7F" w:rsidRPr="005769E5" w:rsidRDefault="00000000">
            <w:pPr>
              <w:pStyle w:val="Compact"/>
              <w:jc w:val="left"/>
              <w:rPr>
                <w:color w:val="000000" w:themeColor="text1"/>
              </w:rPr>
            </w:pPr>
            <w:r w:rsidRPr="005769E5">
              <w:rPr>
                <w:color w:val="000000" w:themeColor="text1"/>
              </w:rPr>
              <w:t>District heat</w:t>
            </w:r>
          </w:p>
        </w:tc>
        <w:tc>
          <w:tcPr>
            <w:tcW w:w="1584" w:type="dxa"/>
          </w:tcPr>
          <w:p w14:paraId="26C898EA" w14:textId="77777777" w:rsidR="00507E7F" w:rsidRPr="005769E5" w:rsidRDefault="00000000">
            <w:pPr>
              <w:pStyle w:val="Compact"/>
              <w:jc w:val="left"/>
              <w:rPr>
                <w:color w:val="000000" w:themeColor="text1"/>
              </w:rPr>
            </w:pPr>
            <w:r w:rsidRPr="005769E5">
              <w:rPr>
                <w:color w:val="000000" w:themeColor="text1"/>
              </w:rPr>
              <w:t>Bottom ash</w:t>
            </w:r>
          </w:p>
        </w:tc>
        <w:tc>
          <w:tcPr>
            <w:tcW w:w="1584" w:type="dxa"/>
          </w:tcPr>
          <w:p w14:paraId="789F15F5" w14:textId="77777777" w:rsidR="00507E7F" w:rsidRPr="005769E5" w:rsidRDefault="00000000">
            <w:pPr>
              <w:pStyle w:val="Compact"/>
              <w:jc w:val="left"/>
              <w:rPr>
                <w:color w:val="000000" w:themeColor="text1"/>
              </w:rPr>
            </w:pPr>
            <w:r w:rsidRPr="005769E5">
              <w:rPr>
                <w:color w:val="000000" w:themeColor="text1"/>
              </w:rPr>
              <w:t>Mean statistic D (electricity)</w:t>
            </w:r>
          </w:p>
        </w:tc>
      </w:tr>
      <w:tr w:rsidR="00507E7F" w:rsidRPr="005769E5" w14:paraId="2A83573F" w14:textId="77777777" w:rsidTr="00507E7F">
        <w:tc>
          <w:tcPr>
            <w:tcW w:w="1584" w:type="dxa"/>
          </w:tcPr>
          <w:p w14:paraId="2D18F936" w14:textId="77777777" w:rsidR="00507E7F" w:rsidRPr="005769E5" w:rsidRDefault="00000000">
            <w:pPr>
              <w:pStyle w:val="Compact"/>
              <w:jc w:val="left"/>
              <w:rPr>
                <w:color w:val="000000" w:themeColor="text1"/>
              </w:rPr>
            </w:pPr>
            <w:r w:rsidRPr="005769E5">
              <w:rPr>
                <w:color w:val="000000" w:themeColor="text1"/>
              </w:rPr>
              <w:t>GP-PI</w:t>
            </w:r>
          </w:p>
        </w:tc>
        <w:tc>
          <w:tcPr>
            <w:tcW w:w="1584" w:type="dxa"/>
          </w:tcPr>
          <w:p w14:paraId="321D4EB5" w14:textId="77777777" w:rsidR="00507E7F" w:rsidRPr="005769E5" w:rsidRDefault="00000000">
            <w:pPr>
              <w:pStyle w:val="Compact"/>
              <w:jc w:val="left"/>
              <w:rPr>
                <w:color w:val="000000" w:themeColor="text1"/>
              </w:rPr>
            </w:pPr>
            <w:r w:rsidRPr="005769E5">
              <w:rPr>
                <w:color w:val="000000" w:themeColor="text1"/>
              </w:rPr>
              <w:t>0%</w:t>
            </w:r>
          </w:p>
        </w:tc>
        <w:tc>
          <w:tcPr>
            <w:tcW w:w="1584" w:type="dxa"/>
          </w:tcPr>
          <w:p w14:paraId="2961312C" w14:textId="77777777" w:rsidR="00507E7F" w:rsidRPr="005769E5" w:rsidRDefault="00000000">
            <w:pPr>
              <w:pStyle w:val="Compact"/>
              <w:jc w:val="left"/>
              <w:rPr>
                <w:color w:val="000000" w:themeColor="text1"/>
              </w:rPr>
            </w:pPr>
            <w:r w:rsidRPr="005769E5">
              <w:rPr>
                <w:color w:val="000000" w:themeColor="text1"/>
              </w:rPr>
              <w:t>0%</w:t>
            </w:r>
          </w:p>
        </w:tc>
        <w:tc>
          <w:tcPr>
            <w:tcW w:w="1584" w:type="dxa"/>
          </w:tcPr>
          <w:p w14:paraId="10A84066" w14:textId="77777777" w:rsidR="00507E7F" w:rsidRPr="005769E5" w:rsidRDefault="00000000">
            <w:pPr>
              <w:pStyle w:val="Compact"/>
              <w:jc w:val="left"/>
              <w:rPr>
                <w:color w:val="000000" w:themeColor="text1"/>
              </w:rPr>
            </w:pPr>
            <w:r w:rsidRPr="005769E5">
              <w:rPr>
                <w:color w:val="000000" w:themeColor="text1"/>
              </w:rPr>
              <w:t>0%</w:t>
            </w:r>
          </w:p>
        </w:tc>
        <w:tc>
          <w:tcPr>
            <w:tcW w:w="1584" w:type="dxa"/>
          </w:tcPr>
          <w:p w14:paraId="21BB539C" w14:textId="77777777" w:rsidR="00507E7F" w:rsidRPr="005769E5" w:rsidRDefault="00000000">
            <w:pPr>
              <w:pStyle w:val="Compact"/>
              <w:jc w:val="left"/>
              <w:rPr>
                <w:color w:val="000000" w:themeColor="text1"/>
              </w:rPr>
            </w:pPr>
            <w:r w:rsidRPr="005769E5">
              <w:rPr>
                <w:color w:val="000000" w:themeColor="text1"/>
              </w:rPr>
              <w:t>0.0065</w:t>
            </w:r>
          </w:p>
        </w:tc>
      </w:tr>
      <w:tr w:rsidR="00507E7F" w:rsidRPr="005769E5" w14:paraId="4448A12D" w14:textId="77777777" w:rsidTr="00507E7F">
        <w:tc>
          <w:tcPr>
            <w:tcW w:w="1584" w:type="dxa"/>
          </w:tcPr>
          <w:p w14:paraId="0BB6E1FC" w14:textId="77777777" w:rsidR="00507E7F" w:rsidRPr="005769E5" w:rsidRDefault="00000000">
            <w:pPr>
              <w:pStyle w:val="Compact"/>
              <w:jc w:val="left"/>
              <w:rPr>
                <w:color w:val="000000" w:themeColor="text1"/>
              </w:rPr>
            </w:pPr>
            <w:r w:rsidRPr="005769E5">
              <w:rPr>
                <w:color w:val="000000" w:themeColor="text1"/>
              </w:rPr>
              <w:t>GP-plain</w:t>
            </w:r>
          </w:p>
        </w:tc>
        <w:tc>
          <w:tcPr>
            <w:tcW w:w="1584" w:type="dxa"/>
          </w:tcPr>
          <w:p w14:paraId="020828B6" w14:textId="77777777" w:rsidR="00507E7F" w:rsidRPr="005769E5" w:rsidRDefault="00000000">
            <w:pPr>
              <w:pStyle w:val="Compact"/>
              <w:jc w:val="left"/>
              <w:rPr>
                <w:color w:val="000000" w:themeColor="text1"/>
              </w:rPr>
            </w:pPr>
            <w:r w:rsidRPr="005769E5">
              <w:rPr>
                <w:color w:val="000000" w:themeColor="text1"/>
              </w:rPr>
              <w:t>0%</w:t>
            </w:r>
          </w:p>
        </w:tc>
        <w:tc>
          <w:tcPr>
            <w:tcW w:w="1584" w:type="dxa"/>
          </w:tcPr>
          <w:p w14:paraId="0E0E8F62" w14:textId="77777777" w:rsidR="00507E7F" w:rsidRPr="005769E5" w:rsidRDefault="00000000">
            <w:pPr>
              <w:pStyle w:val="Compact"/>
              <w:jc w:val="left"/>
              <w:rPr>
                <w:color w:val="000000" w:themeColor="text1"/>
              </w:rPr>
            </w:pPr>
            <w:r w:rsidRPr="005769E5">
              <w:rPr>
                <w:color w:val="000000" w:themeColor="text1"/>
              </w:rPr>
              <w:t>0%</w:t>
            </w:r>
          </w:p>
        </w:tc>
        <w:tc>
          <w:tcPr>
            <w:tcW w:w="1584" w:type="dxa"/>
          </w:tcPr>
          <w:p w14:paraId="5F9F5E18" w14:textId="77777777" w:rsidR="00507E7F" w:rsidRPr="005769E5" w:rsidRDefault="00000000">
            <w:pPr>
              <w:pStyle w:val="Compact"/>
              <w:jc w:val="left"/>
              <w:rPr>
                <w:color w:val="000000" w:themeColor="text1"/>
              </w:rPr>
            </w:pPr>
            <w:r w:rsidRPr="005769E5">
              <w:rPr>
                <w:color w:val="000000" w:themeColor="text1"/>
              </w:rPr>
              <w:t>0%</w:t>
            </w:r>
          </w:p>
        </w:tc>
        <w:tc>
          <w:tcPr>
            <w:tcW w:w="1584" w:type="dxa"/>
          </w:tcPr>
          <w:p w14:paraId="7FE9B819" w14:textId="77777777" w:rsidR="00507E7F" w:rsidRPr="005769E5" w:rsidRDefault="00000000">
            <w:pPr>
              <w:pStyle w:val="Compact"/>
              <w:jc w:val="left"/>
              <w:rPr>
                <w:color w:val="000000" w:themeColor="text1"/>
              </w:rPr>
            </w:pPr>
            <w:r w:rsidRPr="005769E5">
              <w:rPr>
                <w:color w:val="000000" w:themeColor="text1"/>
              </w:rPr>
              <w:t>0.0052</w:t>
            </w:r>
          </w:p>
        </w:tc>
      </w:tr>
      <w:tr w:rsidR="00507E7F" w:rsidRPr="005769E5" w14:paraId="55DB75AB" w14:textId="77777777" w:rsidTr="00507E7F">
        <w:tc>
          <w:tcPr>
            <w:tcW w:w="1584" w:type="dxa"/>
          </w:tcPr>
          <w:p w14:paraId="315C0C32" w14:textId="77777777" w:rsidR="00507E7F" w:rsidRPr="005769E5" w:rsidRDefault="00000000">
            <w:pPr>
              <w:pStyle w:val="Compact"/>
              <w:jc w:val="left"/>
              <w:rPr>
                <w:color w:val="000000" w:themeColor="text1"/>
              </w:rPr>
            </w:pPr>
            <w:r w:rsidRPr="005769E5">
              <w:rPr>
                <w:color w:val="000000" w:themeColor="text1"/>
              </w:rPr>
              <w:t>NN-hard</w:t>
            </w:r>
          </w:p>
        </w:tc>
        <w:tc>
          <w:tcPr>
            <w:tcW w:w="1584" w:type="dxa"/>
          </w:tcPr>
          <w:p w14:paraId="334CB3A1" w14:textId="77777777" w:rsidR="00507E7F" w:rsidRPr="005769E5" w:rsidRDefault="00000000">
            <w:pPr>
              <w:pStyle w:val="Compact"/>
              <w:jc w:val="left"/>
              <w:rPr>
                <w:color w:val="000000" w:themeColor="text1"/>
              </w:rPr>
            </w:pPr>
            <w:r w:rsidRPr="005769E5">
              <w:rPr>
                <w:color w:val="000000" w:themeColor="text1"/>
              </w:rPr>
              <w:t>100%</w:t>
            </w:r>
          </w:p>
        </w:tc>
        <w:tc>
          <w:tcPr>
            <w:tcW w:w="1584" w:type="dxa"/>
          </w:tcPr>
          <w:p w14:paraId="2093FCAF" w14:textId="77777777" w:rsidR="00507E7F" w:rsidRPr="005769E5" w:rsidRDefault="00000000">
            <w:pPr>
              <w:pStyle w:val="Compact"/>
              <w:jc w:val="left"/>
              <w:rPr>
                <w:color w:val="000000" w:themeColor="text1"/>
              </w:rPr>
            </w:pPr>
            <w:r w:rsidRPr="005769E5">
              <w:rPr>
                <w:color w:val="000000" w:themeColor="text1"/>
              </w:rPr>
              <w:t>100%</w:t>
            </w:r>
          </w:p>
        </w:tc>
        <w:tc>
          <w:tcPr>
            <w:tcW w:w="1584" w:type="dxa"/>
          </w:tcPr>
          <w:p w14:paraId="68518D34" w14:textId="77777777" w:rsidR="00507E7F" w:rsidRPr="005769E5" w:rsidRDefault="00000000">
            <w:pPr>
              <w:pStyle w:val="Compact"/>
              <w:jc w:val="left"/>
              <w:rPr>
                <w:color w:val="000000" w:themeColor="text1"/>
              </w:rPr>
            </w:pPr>
            <w:r w:rsidRPr="005769E5">
              <w:rPr>
                <w:color w:val="000000" w:themeColor="text1"/>
              </w:rPr>
              <w:t>100%</w:t>
            </w:r>
          </w:p>
        </w:tc>
        <w:tc>
          <w:tcPr>
            <w:tcW w:w="1584" w:type="dxa"/>
          </w:tcPr>
          <w:p w14:paraId="1BA2F69C" w14:textId="77777777" w:rsidR="00507E7F" w:rsidRPr="005769E5" w:rsidRDefault="00000000">
            <w:pPr>
              <w:pStyle w:val="Compact"/>
              <w:jc w:val="left"/>
              <w:rPr>
                <w:color w:val="000000" w:themeColor="text1"/>
              </w:rPr>
            </w:pPr>
            <w:r w:rsidRPr="005769E5">
              <w:rPr>
                <w:color w:val="000000" w:themeColor="text1"/>
              </w:rPr>
              <w:t>0.1828</w:t>
            </w:r>
          </w:p>
        </w:tc>
      </w:tr>
      <w:tr w:rsidR="00507E7F" w:rsidRPr="005769E5" w14:paraId="099314F6" w14:textId="77777777" w:rsidTr="00507E7F">
        <w:tc>
          <w:tcPr>
            <w:tcW w:w="1584" w:type="dxa"/>
          </w:tcPr>
          <w:p w14:paraId="5F3E0766" w14:textId="77777777" w:rsidR="00507E7F" w:rsidRPr="005769E5" w:rsidRDefault="00000000">
            <w:pPr>
              <w:pStyle w:val="Compact"/>
              <w:jc w:val="left"/>
              <w:rPr>
                <w:color w:val="000000" w:themeColor="text1"/>
              </w:rPr>
            </w:pPr>
            <w:r w:rsidRPr="005769E5">
              <w:rPr>
                <w:color w:val="000000" w:themeColor="text1"/>
              </w:rPr>
              <w:t>NN-soft</w:t>
            </w:r>
          </w:p>
        </w:tc>
        <w:tc>
          <w:tcPr>
            <w:tcW w:w="1584" w:type="dxa"/>
          </w:tcPr>
          <w:p w14:paraId="69AEAB92" w14:textId="77777777" w:rsidR="00507E7F" w:rsidRPr="005769E5" w:rsidRDefault="00000000">
            <w:pPr>
              <w:pStyle w:val="Compact"/>
              <w:jc w:val="left"/>
              <w:rPr>
                <w:color w:val="000000" w:themeColor="text1"/>
              </w:rPr>
            </w:pPr>
            <w:r w:rsidRPr="005769E5">
              <w:rPr>
                <w:color w:val="000000" w:themeColor="text1"/>
              </w:rPr>
              <w:t>25%</w:t>
            </w:r>
          </w:p>
        </w:tc>
        <w:tc>
          <w:tcPr>
            <w:tcW w:w="1584" w:type="dxa"/>
          </w:tcPr>
          <w:p w14:paraId="6CF8DFDF" w14:textId="77777777" w:rsidR="00507E7F" w:rsidRPr="005769E5" w:rsidRDefault="00000000">
            <w:pPr>
              <w:pStyle w:val="Compact"/>
              <w:jc w:val="left"/>
              <w:rPr>
                <w:color w:val="000000" w:themeColor="text1"/>
              </w:rPr>
            </w:pPr>
            <w:r w:rsidRPr="005769E5">
              <w:rPr>
                <w:color w:val="000000" w:themeColor="text1"/>
              </w:rPr>
              <w:t>88%</w:t>
            </w:r>
          </w:p>
        </w:tc>
        <w:tc>
          <w:tcPr>
            <w:tcW w:w="1584" w:type="dxa"/>
          </w:tcPr>
          <w:p w14:paraId="22B15411" w14:textId="77777777" w:rsidR="00507E7F" w:rsidRPr="005769E5" w:rsidRDefault="00000000">
            <w:pPr>
              <w:pStyle w:val="Compact"/>
              <w:jc w:val="left"/>
              <w:rPr>
                <w:color w:val="000000" w:themeColor="text1"/>
              </w:rPr>
            </w:pPr>
            <w:r w:rsidRPr="005769E5">
              <w:rPr>
                <w:color w:val="000000" w:themeColor="text1"/>
              </w:rPr>
              <w:t>75%</w:t>
            </w:r>
          </w:p>
        </w:tc>
        <w:tc>
          <w:tcPr>
            <w:tcW w:w="1584" w:type="dxa"/>
          </w:tcPr>
          <w:p w14:paraId="07F2D2F1" w14:textId="77777777" w:rsidR="00507E7F" w:rsidRPr="005769E5" w:rsidRDefault="00000000">
            <w:pPr>
              <w:pStyle w:val="Compact"/>
              <w:jc w:val="left"/>
              <w:rPr>
                <w:color w:val="000000" w:themeColor="text1"/>
              </w:rPr>
            </w:pPr>
            <w:r w:rsidRPr="005769E5">
              <w:rPr>
                <w:color w:val="000000" w:themeColor="text1"/>
              </w:rPr>
              <w:t>0.0181</w:t>
            </w:r>
          </w:p>
        </w:tc>
      </w:tr>
      <w:tr w:rsidR="00507E7F" w:rsidRPr="005769E5" w14:paraId="4E38A66C" w14:textId="77777777" w:rsidTr="00507E7F">
        <w:tc>
          <w:tcPr>
            <w:tcW w:w="1584" w:type="dxa"/>
          </w:tcPr>
          <w:p w14:paraId="6A97D7B0" w14:textId="77777777" w:rsidR="00507E7F" w:rsidRPr="005769E5" w:rsidRDefault="00000000">
            <w:pPr>
              <w:pStyle w:val="Compact"/>
              <w:jc w:val="left"/>
              <w:rPr>
                <w:color w:val="000000" w:themeColor="text1"/>
              </w:rPr>
            </w:pPr>
            <w:r w:rsidRPr="005769E5">
              <w:rPr>
                <w:color w:val="000000" w:themeColor="text1"/>
              </w:rPr>
              <w:t>NN-plain</w:t>
            </w:r>
          </w:p>
        </w:tc>
        <w:tc>
          <w:tcPr>
            <w:tcW w:w="1584" w:type="dxa"/>
          </w:tcPr>
          <w:p w14:paraId="5E3A6F3A" w14:textId="77777777" w:rsidR="00507E7F" w:rsidRPr="005769E5" w:rsidRDefault="00000000">
            <w:pPr>
              <w:pStyle w:val="Compact"/>
              <w:jc w:val="left"/>
              <w:rPr>
                <w:color w:val="000000" w:themeColor="text1"/>
              </w:rPr>
            </w:pPr>
            <w:r w:rsidRPr="005769E5">
              <w:rPr>
                <w:color w:val="000000" w:themeColor="text1"/>
              </w:rPr>
              <w:t>38%</w:t>
            </w:r>
          </w:p>
        </w:tc>
        <w:tc>
          <w:tcPr>
            <w:tcW w:w="1584" w:type="dxa"/>
          </w:tcPr>
          <w:p w14:paraId="02C9DA51" w14:textId="77777777" w:rsidR="00507E7F" w:rsidRPr="005769E5" w:rsidRDefault="00000000">
            <w:pPr>
              <w:pStyle w:val="Compact"/>
              <w:jc w:val="left"/>
              <w:rPr>
                <w:color w:val="000000" w:themeColor="text1"/>
              </w:rPr>
            </w:pPr>
            <w:r w:rsidRPr="005769E5">
              <w:rPr>
                <w:color w:val="000000" w:themeColor="text1"/>
              </w:rPr>
              <w:t>100%</w:t>
            </w:r>
          </w:p>
        </w:tc>
        <w:tc>
          <w:tcPr>
            <w:tcW w:w="1584" w:type="dxa"/>
          </w:tcPr>
          <w:p w14:paraId="14C90B87" w14:textId="77777777" w:rsidR="00507E7F" w:rsidRPr="005769E5" w:rsidRDefault="00000000">
            <w:pPr>
              <w:pStyle w:val="Compact"/>
              <w:jc w:val="left"/>
              <w:rPr>
                <w:color w:val="000000" w:themeColor="text1"/>
              </w:rPr>
            </w:pPr>
            <w:r w:rsidRPr="005769E5">
              <w:rPr>
                <w:color w:val="000000" w:themeColor="text1"/>
              </w:rPr>
              <w:t>62%</w:t>
            </w:r>
          </w:p>
        </w:tc>
        <w:tc>
          <w:tcPr>
            <w:tcW w:w="1584" w:type="dxa"/>
          </w:tcPr>
          <w:p w14:paraId="7FCBF310" w14:textId="77777777" w:rsidR="00507E7F" w:rsidRPr="005769E5" w:rsidRDefault="00000000">
            <w:pPr>
              <w:pStyle w:val="Compact"/>
              <w:jc w:val="left"/>
              <w:rPr>
                <w:color w:val="000000" w:themeColor="text1"/>
              </w:rPr>
            </w:pPr>
            <w:r w:rsidRPr="005769E5">
              <w:rPr>
                <w:color w:val="000000" w:themeColor="text1"/>
              </w:rPr>
              <w:t>0.0185</w:t>
            </w:r>
          </w:p>
        </w:tc>
      </w:tr>
    </w:tbl>
    <w:p w14:paraId="6E554F94" w14:textId="77777777" w:rsidR="00507E7F" w:rsidRPr="005769E5" w:rsidRDefault="00000000">
      <w:pPr>
        <w:rPr>
          <w:color w:val="000000" w:themeColor="text1"/>
        </w:rPr>
      </w:pPr>
      <w:r w:rsidRPr="005769E5">
        <w:rPr>
          <w:color w:val="000000" w:themeColor="text1"/>
        </w:rPr>
        <w:t>Learning curves, mean MAE in percentage points:</w:t>
      </w:r>
    </w:p>
    <w:tbl>
      <w:tblPr>
        <w:tblStyle w:val="Table"/>
        <w:tblW w:w="7920" w:type="dxa"/>
        <w:tblBorders>
          <w:top w:val="single" w:sz="6" w:space="0" w:color="808080"/>
          <w:left w:val="single" w:sz="6" w:space="0" w:color="808080"/>
          <w:bottom w:val="single" w:sz="6" w:space="0" w:color="808080"/>
          <w:right w:val="single" w:sz="6" w:space="0" w:color="808080"/>
          <w:insideH w:val="single" w:sz="4" w:space="0" w:color="BFBFBF"/>
          <w:insideV w:val="single" w:sz="4" w:space="0" w:color="BFBFBF"/>
        </w:tblBorders>
        <w:tblLayout w:type="fixed"/>
        <w:tblLook w:val="0020" w:firstRow="1" w:lastRow="0" w:firstColumn="0" w:lastColumn="0" w:noHBand="0" w:noVBand="0"/>
      </w:tblPr>
      <w:tblGrid>
        <w:gridCol w:w="1584"/>
        <w:gridCol w:w="1584"/>
        <w:gridCol w:w="1584"/>
        <w:gridCol w:w="1584"/>
        <w:gridCol w:w="1584"/>
      </w:tblGrid>
      <w:tr w:rsidR="00507E7F" w:rsidRPr="005769E5" w14:paraId="22ED9865" w14:textId="77777777" w:rsidTr="00507E7F">
        <w:trPr>
          <w:cnfStyle w:val="100000000000" w:firstRow="1" w:lastRow="0" w:firstColumn="0" w:lastColumn="0" w:oddVBand="0" w:evenVBand="0" w:oddHBand="0" w:evenHBand="0" w:firstRowFirstColumn="0" w:firstRowLastColumn="0" w:lastRowFirstColumn="0" w:lastRowLastColumn="0"/>
          <w:tblHeader/>
        </w:trPr>
        <w:tc>
          <w:tcPr>
            <w:tcW w:w="1584" w:type="dxa"/>
          </w:tcPr>
          <w:p w14:paraId="59DAD281" w14:textId="77777777" w:rsidR="00507E7F" w:rsidRPr="005769E5" w:rsidRDefault="00000000">
            <w:pPr>
              <w:pStyle w:val="Compact"/>
              <w:jc w:val="left"/>
              <w:rPr>
                <w:color w:val="000000" w:themeColor="text1"/>
              </w:rPr>
            </w:pPr>
            <w:r w:rsidRPr="005769E5">
              <w:rPr>
                <w:color w:val="000000" w:themeColor="text1"/>
              </w:rPr>
              <w:t>Variant</w:t>
            </w:r>
          </w:p>
        </w:tc>
        <w:tc>
          <w:tcPr>
            <w:tcW w:w="1584" w:type="dxa"/>
          </w:tcPr>
          <w:p w14:paraId="3ACA94E0" w14:textId="77777777" w:rsidR="00507E7F" w:rsidRPr="005769E5" w:rsidRDefault="00000000">
            <w:pPr>
              <w:pStyle w:val="Compact"/>
              <w:jc w:val="left"/>
              <w:rPr>
                <w:color w:val="000000" w:themeColor="text1"/>
              </w:rPr>
            </w:pPr>
            <w:r w:rsidRPr="005769E5">
              <w:rPr>
                <w:color w:val="000000" w:themeColor="text1"/>
              </w:rPr>
              <w:t>60 points</w:t>
            </w:r>
          </w:p>
        </w:tc>
        <w:tc>
          <w:tcPr>
            <w:tcW w:w="1584" w:type="dxa"/>
          </w:tcPr>
          <w:p w14:paraId="08BE3271" w14:textId="77777777" w:rsidR="00507E7F" w:rsidRPr="005769E5" w:rsidRDefault="00000000">
            <w:pPr>
              <w:pStyle w:val="Compact"/>
              <w:jc w:val="left"/>
              <w:rPr>
                <w:color w:val="000000" w:themeColor="text1"/>
              </w:rPr>
            </w:pPr>
            <w:r w:rsidRPr="005769E5">
              <w:rPr>
                <w:color w:val="000000" w:themeColor="text1"/>
              </w:rPr>
              <w:t>120 points</w:t>
            </w:r>
          </w:p>
        </w:tc>
        <w:tc>
          <w:tcPr>
            <w:tcW w:w="1584" w:type="dxa"/>
          </w:tcPr>
          <w:p w14:paraId="03A1BD18" w14:textId="77777777" w:rsidR="00507E7F" w:rsidRPr="005769E5" w:rsidRDefault="00000000">
            <w:pPr>
              <w:pStyle w:val="Compact"/>
              <w:jc w:val="left"/>
              <w:rPr>
                <w:color w:val="000000" w:themeColor="text1"/>
              </w:rPr>
            </w:pPr>
            <w:r w:rsidRPr="005769E5">
              <w:rPr>
                <w:color w:val="000000" w:themeColor="text1"/>
              </w:rPr>
              <w:t>240 points</w:t>
            </w:r>
          </w:p>
        </w:tc>
        <w:tc>
          <w:tcPr>
            <w:tcW w:w="1584" w:type="dxa"/>
          </w:tcPr>
          <w:p w14:paraId="6EE0035A" w14:textId="77777777" w:rsidR="00507E7F" w:rsidRPr="005769E5" w:rsidRDefault="00000000">
            <w:pPr>
              <w:pStyle w:val="Compact"/>
              <w:jc w:val="left"/>
              <w:rPr>
                <w:color w:val="000000" w:themeColor="text1"/>
              </w:rPr>
            </w:pPr>
            <w:r w:rsidRPr="005769E5">
              <w:rPr>
                <w:color w:val="000000" w:themeColor="text1"/>
              </w:rPr>
              <w:t>480 points</w:t>
            </w:r>
          </w:p>
        </w:tc>
      </w:tr>
      <w:tr w:rsidR="00507E7F" w:rsidRPr="005769E5" w14:paraId="5CF2BCE2" w14:textId="77777777" w:rsidTr="00507E7F">
        <w:tc>
          <w:tcPr>
            <w:tcW w:w="1584" w:type="dxa"/>
          </w:tcPr>
          <w:p w14:paraId="0FFC288C" w14:textId="77777777" w:rsidR="00507E7F" w:rsidRPr="005769E5" w:rsidRDefault="00000000">
            <w:pPr>
              <w:pStyle w:val="Compact"/>
              <w:jc w:val="left"/>
              <w:rPr>
                <w:color w:val="000000" w:themeColor="text1"/>
              </w:rPr>
            </w:pPr>
            <w:r w:rsidRPr="005769E5">
              <w:rPr>
                <w:color w:val="000000" w:themeColor="text1"/>
              </w:rPr>
              <w:t>GP-PI</w:t>
            </w:r>
          </w:p>
        </w:tc>
        <w:tc>
          <w:tcPr>
            <w:tcW w:w="1584" w:type="dxa"/>
          </w:tcPr>
          <w:p w14:paraId="57AC2BC5" w14:textId="77777777" w:rsidR="00507E7F" w:rsidRPr="005769E5" w:rsidRDefault="00000000">
            <w:pPr>
              <w:pStyle w:val="Compact"/>
              <w:jc w:val="left"/>
              <w:rPr>
                <w:color w:val="000000" w:themeColor="text1"/>
              </w:rPr>
            </w:pPr>
            <w:r w:rsidRPr="005769E5">
              <w:rPr>
                <w:color w:val="000000" w:themeColor="text1"/>
              </w:rPr>
              <w:t>0.284</w:t>
            </w:r>
          </w:p>
        </w:tc>
        <w:tc>
          <w:tcPr>
            <w:tcW w:w="1584" w:type="dxa"/>
          </w:tcPr>
          <w:p w14:paraId="03180527" w14:textId="77777777" w:rsidR="00507E7F" w:rsidRPr="005769E5" w:rsidRDefault="00000000">
            <w:pPr>
              <w:pStyle w:val="Compact"/>
              <w:jc w:val="left"/>
              <w:rPr>
                <w:color w:val="000000" w:themeColor="text1"/>
              </w:rPr>
            </w:pPr>
            <w:r w:rsidRPr="005769E5">
              <w:rPr>
                <w:color w:val="000000" w:themeColor="text1"/>
              </w:rPr>
              <w:t>0.138</w:t>
            </w:r>
          </w:p>
        </w:tc>
        <w:tc>
          <w:tcPr>
            <w:tcW w:w="1584" w:type="dxa"/>
          </w:tcPr>
          <w:p w14:paraId="4B8A61D0" w14:textId="77777777" w:rsidR="00507E7F" w:rsidRPr="005769E5" w:rsidRDefault="00000000">
            <w:pPr>
              <w:pStyle w:val="Compact"/>
              <w:jc w:val="left"/>
              <w:rPr>
                <w:color w:val="000000" w:themeColor="text1"/>
              </w:rPr>
            </w:pPr>
            <w:r w:rsidRPr="005769E5">
              <w:rPr>
                <w:color w:val="000000" w:themeColor="text1"/>
              </w:rPr>
              <w:t>0.097</w:t>
            </w:r>
          </w:p>
        </w:tc>
        <w:tc>
          <w:tcPr>
            <w:tcW w:w="1584" w:type="dxa"/>
          </w:tcPr>
          <w:p w14:paraId="16D74EB2" w14:textId="77777777" w:rsidR="00507E7F" w:rsidRPr="005769E5" w:rsidRDefault="00000000">
            <w:pPr>
              <w:pStyle w:val="Compact"/>
              <w:jc w:val="left"/>
              <w:rPr>
                <w:color w:val="000000" w:themeColor="text1"/>
              </w:rPr>
            </w:pPr>
            <w:r w:rsidRPr="005769E5">
              <w:rPr>
                <w:color w:val="000000" w:themeColor="text1"/>
              </w:rPr>
              <w:t>0.077</w:t>
            </w:r>
          </w:p>
        </w:tc>
      </w:tr>
      <w:tr w:rsidR="00507E7F" w:rsidRPr="005769E5" w14:paraId="09839FAA" w14:textId="77777777" w:rsidTr="00507E7F">
        <w:tc>
          <w:tcPr>
            <w:tcW w:w="1584" w:type="dxa"/>
          </w:tcPr>
          <w:p w14:paraId="6745091C" w14:textId="77777777" w:rsidR="00507E7F" w:rsidRPr="005769E5" w:rsidRDefault="00000000">
            <w:pPr>
              <w:pStyle w:val="Compact"/>
              <w:jc w:val="left"/>
              <w:rPr>
                <w:color w:val="000000" w:themeColor="text1"/>
              </w:rPr>
            </w:pPr>
            <w:r w:rsidRPr="005769E5">
              <w:rPr>
                <w:color w:val="000000" w:themeColor="text1"/>
              </w:rPr>
              <w:t>GP-plain</w:t>
            </w:r>
          </w:p>
        </w:tc>
        <w:tc>
          <w:tcPr>
            <w:tcW w:w="1584" w:type="dxa"/>
          </w:tcPr>
          <w:p w14:paraId="5E7B5D4C" w14:textId="77777777" w:rsidR="00507E7F" w:rsidRPr="005769E5" w:rsidRDefault="00000000">
            <w:pPr>
              <w:pStyle w:val="Compact"/>
              <w:jc w:val="left"/>
              <w:rPr>
                <w:color w:val="000000" w:themeColor="text1"/>
              </w:rPr>
            </w:pPr>
            <w:r w:rsidRPr="005769E5">
              <w:rPr>
                <w:color w:val="000000" w:themeColor="text1"/>
              </w:rPr>
              <w:t>0.190</w:t>
            </w:r>
          </w:p>
        </w:tc>
        <w:tc>
          <w:tcPr>
            <w:tcW w:w="1584" w:type="dxa"/>
          </w:tcPr>
          <w:p w14:paraId="3DB71C8D" w14:textId="77777777" w:rsidR="00507E7F" w:rsidRPr="005769E5" w:rsidRDefault="00000000">
            <w:pPr>
              <w:pStyle w:val="Compact"/>
              <w:jc w:val="left"/>
              <w:rPr>
                <w:color w:val="000000" w:themeColor="text1"/>
              </w:rPr>
            </w:pPr>
            <w:r w:rsidRPr="005769E5">
              <w:rPr>
                <w:color w:val="000000" w:themeColor="text1"/>
              </w:rPr>
              <w:t>0.135</w:t>
            </w:r>
          </w:p>
        </w:tc>
        <w:tc>
          <w:tcPr>
            <w:tcW w:w="1584" w:type="dxa"/>
          </w:tcPr>
          <w:p w14:paraId="34CF354D" w14:textId="77777777" w:rsidR="00507E7F" w:rsidRPr="005769E5" w:rsidRDefault="00000000">
            <w:pPr>
              <w:pStyle w:val="Compact"/>
              <w:jc w:val="left"/>
              <w:rPr>
                <w:color w:val="000000" w:themeColor="text1"/>
              </w:rPr>
            </w:pPr>
            <w:r w:rsidRPr="005769E5">
              <w:rPr>
                <w:color w:val="000000" w:themeColor="text1"/>
              </w:rPr>
              <w:t>0.096</w:t>
            </w:r>
          </w:p>
        </w:tc>
        <w:tc>
          <w:tcPr>
            <w:tcW w:w="1584" w:type="dxa"/>
          </w:tcPr>
          <w:p w14:paraId="0C3C89EA" w14:textId="77777777" w:rsidR="00507E7F" w:rsidRPr="005769E5" w:rsidRDefault="00000000">
            <w:pPr>
              <w:pStyle w:val="Compact"/>
              <w:jc w:val="left"/>
              <w:rPr>
                <w:color w:val="000000" w:themeColor="text1"/>
              </w:rPr>
            </w:pPr>
            <w:r w:rsidRPr="005769E5">
              <w:rPr>
                <w:color w:val="000000" w:themeColor="text1"/>
              </w:rPr>
              <w:t>0.077</w:t>
            </w:r>
          </w:p>
        </w:tc>
      </w:tr>
      <w:tr w:rsidR="00507E7F" w:rsidRPr="005769E5" w14:paraId="06CA6314" w14:textId="77777777" w:rsidTr="00507E7F">
        <w:tc>
          <w:tcPr>
            <w:tcW w:w="1584" w:type="dxa"/>
          </w:tcPr>
          <w:p w14:paraId="19910571" w14:textId="77777777" w:rsidR="00507E7F" w:rsidRPr="005769E5" w:rsidRDefault="00000000">
            <w:pPr>
              <w:pStyle w:val="Compact"/>
              <w:jc w:val="left"/>
              <w:rPr>
                <w:color w:val="000000" w:themeColor="text1"/>
              </w:rPr>
            </w:pPr>
            <w:r w:rsidRPr="005769E5">
              <w:rPr>
                <w:color w:val="000000" w:themeColor="text1"/>
              </w:rPr>
              <w:t>NN-hard</w:t>
            </w:r>
          </w:p>
        </w:tc>
        <w:tc>
          <w:tcPr>
            <w:tcW w:w="1584" w:type="dxa"/>
          </w:tcPr>
          <w:p w14:paraId="6B8A7ADE" w14:textId="77777777" w:rsidR="00507E7F" w:rsidRPr="005769E5" w:rsidRDefault="00000000">
            <w:pPr>
              <w:pStyle w:val="Compact"/>
              <w:jc w:val="left"/>
              <w:rPr>
                <w:color w:val="000000" w:themeColor="text1"/>
              </w:rPr>
            </w:pPr>
            <w:r w:rsidRPr="005769E5">
              <w:rPr>
                <w:color w:val="000000" w:themeColor="text1"/>
              </w:rPr>
              <w:t>6.511</w:t>
            </w:r>
          </w:p>
        </w:tc>
        <w:tc>
          <w:tcPr>
            <w:tcW w:w="1584" w:type="dxa"/>
          </w:tcPr>
          <w:p w14:paraId="3A98870B" w14:textId="77777777" w:rsidR="00507E7F" w:rsidRPr="005769E5" w:rsidRDefault="00000000">
            <w:pPr>
              <w:pStyle w:val="Compact"/>
              <w:jc w:val="left"/>
              <w:rPr>
                <w:color w:val="000000" w:themeColor="text1"/>
              </w:rPr>
            </w:pPr>
            <w:r w:rsidRPr="005769E5">
              <w:rPr>
                <w:color w:val="000000" w:themeColor="text1"/>
              </w:rPr>
              <w:t>4.432</w:t>
            </w:r>
          </w:p>
        </w:tc>
        <w:tc>
          <w:tcPr>
            <w:tcW w:w="1584" w:type="dxa"/>
          </w:tcPr>
          <w:p w14:paraId="08817629" w14:textId="77777777" w:rsidR="00507E7F" w:rsidRPr="005769E5" w:rsidRDefault="00000000">
            <w:pPr>
              <w:pStyle w:val="Compact"/>
              <w:jc w:val="left"/>
              <w:rPr>
                <w:color w:val="000000" w:themeColor="text1"/>
              </w:rPr>
            </w:pPr>
            <w:r w:rsidRPr="005769E5">
              <w:rPr>
                <w:color w:val="000000" w:themeColor="text1"/>
              </w:rPr>
              <w:t>2.644</w:t>
            </w:r>
          </w:p>
        </w:tc>
        <w:tc>
          <w:tcPr>
            <w:tcW w:w="1584" w:type="dxa"/>
          </w:tcPr>
          <w:p w14:paraId="699EA91B" w14:textId="77777777" w:rsidR="00507E7F" w:rsidRPr="005769E5" w:rsidRDefault="00000000">
            <w:pPr>
              <w:pStyle w:val="Compact"/>
              <w:jc w:val="left"/>
              <w:rPr>
                <w:color w:val="000000" w:themeColor="text1"/>
              </w:rPr>
            </w:pPr>
            <w:r w:rsidRPr="005769E5">
              <w:rPr>
                <w:color w:val="000000" w:themeColor="text1"/>
              </w:rPr>
              <w:t>1.500</w:t>
            </w:r>
          </w:p>
        </w:tc>
      </w:tr>
      <w:tr w:rsidR="00507E7F" w:rsidRPr="005769E5" w14:paraId="7EE5E4CE" w14:textId="77777777" w:rsidTr="00507E7F">
        <w:tc>
          <w:tcPr>
            <w:tcW w:w="1584" w:type="dxa"/>
          </w:tcPr>
          <w:p w14:paraId="1D47A9D2" w14:textId="77777777" w:rsidR="00507E7F" w:rsidRPr="005769E5" w:rsidRDefault="00000000">
            <w:pPr>
              <w:pStyle w:val="Compact"/>
              <w:jc w:val="left"/>
              <w:rPr>
                <w:color w:val="000000" w:themeColor="text1"/>
              </w:rPr>
            </w:pPr>
            <w:r w:rsidRPr="005769E5">
              <w:rPr>
                <w:color w:val="000000" w:themeColor="text1"/>
              </w:rPr>
              <w:t>NN-soft</w:t>
            </w:r>
          </w:p>
        </w:tc>
        <w:tc>
          <w:tcPr>
            <w:tcW w:w="1584" w:type="dxa"/>
          </w:tcPr>
          <w:p w14:paraId="614A8F90" w14:textId="77777777" w:rsidR="00507E7F" w:rsidRPr="005769E5" w:rsidRDefault="00000000">
            <w:pPr>
              <w:pStyle w:val="Compact"/>
              <w:jc w:val="left"/>
              <w:rPr>
                <w:color w:val="000000" w:themeColor="text1"/>
              </w:rPr>
            </w:pPr>
            <w:r w:rsidRPr="005769E5">
              <w:rPr>
                <w:color w:val="000000" w:themeColor="text1"/>
              </w:rPr>
              <w:t>1.343</w:t>
            </w:r>
          </w:p>
        </w:tc>
        <w:tc>
          <w:tcPr>
            <w:tcW w:w="1584" w:type="dxa"/>
          </w:tcPr>
          <w:p w14:paraId="047282F3" w14:textId="77777777" w:rsidR="00507E7F" w:rsidRPr="005769E5" w:rsidRDefault="00000000">
            <w:pPr>
              <w:pStyle w:val="Compact"/>
              <w:jc w:val="left"/>
              <w:rPr>
                <w:color w:val="000000" w:themeColor="text1"/>
              </w:rPr>
            </w:pPr>
            <w:r w:rsidRPr="005769E5">
              <w:rPr>
                <w:color w:val="000000" w:themeColor="text1"/>
              </w:rPr>
              <w:t>0.971</w:t>
            </w:r>
          </w:p>
        </w:tc>
        <w:tc>
          <w:tcPr>
            <w:tcW w:w="1584" w:type="dxa"/>
          </w:tcPr>
          <w:p w14:paraId="38164C84" w14:textId="77777777" w:rsidR="00507E7F" w:rsidRPr="005769E5" w:rsidRDefault="00000000">
            <w:pPr>
              <w:pStyle w:val="Compact"/>
              <w:jc w:val="left"/>
              <w:rPr>
                <w:color w:val="000000" w:themeColor="text1"/>
              </w:rPr>
            </w:pPr>
            <w:r w:rsidRPr="005769E5">
              <w:rPr>
                <w:color w:val="000000" w:themeColor="text1"/>
              </w:rPr>
              <w:t>0.680</w:t>
            </w:r>
          </w:p>
        </w:tc>
        <w:tc>
          <w:tcPr>
            <w:tcW w:w="1584" w:type="dxa"/>
          </w:tcPr>
          <w:p w14:paraId="4A822C2F" w14:textId="77777777" w:rsidR="00507E7F" w:rsidRPr="005769E5" w:rsidRDefault="00000000">
            <w:pPr>
              <w:pStyle w:val="Compact"/>
              <w:jc w:val="left"/>
              <w:rPr>
                <w:color w:val="000000" w:themeColor="text1"/>
              </w:rPr>
            </w:pPr>
            <w:r w:rsidRPr="005769E5">
              <w:rPr>
                <w:color w:val="000000" w:themeColor="text1"/>
              </w:rPr>
              <w:t>0.335</w:t>
            </w:r>
          </w:p>
        </w:tc>
      </w:tr>
      <w:tr w:rsidR="00507E7F" w:rsidRPr="005769E5" w14:paraId="129E8999" w14:textId="77777777" w:rsidTr="00507E7F">
        <w:tc>
          <w:tcPr>
            <w:tcW w:w="1584" w:type="dxa"/>
          </w:tcPr>
          <w:p w14:paraId="5487BBF4" w14:textId="77777777" w:rsidR="00507E7F" w:rsidRPr="005769E5" w:rsidRDefault="00000000">
            <w:pPr>
              <w:pStyle w:val="Compact"/>
              <w:jc w:val="left"/>
              <w:rPr>
                <w:color w:val="000000" w:themeColor="text1"/>
              </w:rPr>
            </w:pPr>
            <w:r w:rsidRPr="005769E5">
              <w:rPr>
                <w:color w:val="000000" w:themeColor="text1"/>
              </w:rPr>
              <w:t>NN-plain</w:t>
            </w:r>
          </w:p>
        </w:tc>
        <w:tc>
          <w:tcPr>
            <w:tcW w:w="1584" w:type="dxa"/>
          </w:tcPr>
          <w:p w14:paraId="76426910" w14:textId="77777777" w:rsidR="00507E7F" w:rsidRPr="005769E5" w:rsidRDefault="00000000">
            <w:pPr>
              <w:pStyle w:val="Compact"/>
              <w:jc w:val="left"/>
              <w:rPr>
                <w:color w:val="000000" w:themeColor="text1"/>
              </w:rPr>
            </w:pPr>
            <w:r w:rsidRPr="005769E5">
              <w:rPr>
                <w:color w:val="000000" w:themeColor="text1"/>
              </w:rPr>
              <w:t>1.327</w:t>
            </w:r>
          </w:p>
        </w:tc>
        <w:tc>
          <w:tcPr>
            <w:tcW w:w="1584" w:type="dxa"/>
          </w:tcPr>
          <w:p w14:paraId="6CC57A74" w14:textId="77777777" w:rsidR="00507E7F" w:rsidRPr="005769E5" w:rsidRDefault="00000000">
            <w:pPr>
              <w:pStyle w:val="Compact"/>
              <w:jc w:val="left"/>
              <w:rPr>
                <w:color w:val="000000" w:themeColor="text1"/>
              </w:rPr>
            </w:pPr>
            <w:r w:rsidRPr="005769E5">
              <w:rPr>
                <w:color w:val="000000" w:themeColor="text1"/>
              </w:rPr>
              <w:t>0.958</w:t>
            </w:r>
          </w:p>
        </w:tc>
        <w:tc>
          <w:tcPr>
            <w:tcW w:w="1584" w:type="dxa"/>
          </w:tcPr>
          <w:p w14:paraId="6EF7A6DA" w14:textId="77777777" w:rsidR="00507E7F" w:rsidRPr="005769E5" w:rsidRDefault="00000000">
            <w:pPr>
              <w:pStyle w:val="Compact"/>
              <w:jc w:val="left"/>
              <w:rPr>
                <w:color w:val="000000" w:themeColor="text1"/>
              </w:rPr>
            </w:pPr>
            <w:r w:rsidRPr="005769E5">
              <w:rPr>
                <w:color w:val="000000" w:themeColor="text1"/>
              </w:rPr>
              <w:t>0.689</w:t>
            </w:r>
          </w:p>
        </w:tc>
        <w:tc>
          <w:tcPr>
            <w:tcW w:w="1584" w:type="dxa"/>
          </w:tcPr>
          <w:p w14:paraId="2DC8FCFF" w14:textId="77777777" w:rsidR="00507E7F" w:rsidRPr="005769E5" w:rsidRDefault="00000000">
            <w:pPr>
              <w:pStyle w:val="Compact"/>
              <w:jc w:val="left"/>
              <w:rPr>
                <w:color w:val="000000" w:themeColor="text1"/>
              </w:rPr>
            </w:pPr>
            <w:r w:rsidRPr="005769E5">
              <w:rPr>
                <w:color w:val="000000" w:themeColor="text1"/>
              </w:rPr>
              <w:t>0.343</w:t>
            </w:r>
          </w:p>
        </w:tc>
      </w:tr>
    </w:tbl>
    <w:p w14:paraId="67116695" w14:textId="77777777" w:rsidR="00507E7F" w:rsidRPr="005769E5" w:rsidRDefault="00000000">
      <w:pPr>
        <w:rPr>
          <w:color w:val="000000" w:themeColor="text1"/>
        </w:rPr>
      </w:pPr>
      <w:r w:rsidRPr="005769E5">
        <w:rPr>
          <w:color w:val="000000" w:themeColor="text1"/>
        </w:rPr>
        <w:t>Validator fallback over the 10,000-sample analysis:</w:t>
      </w:r>
    </w:p>
    <w:tbl>
      <w:tblPr>
        <w:tblStyle w:val="Table"/>
        <w:tblW w:w="7920" w:type="dxa"/>
        <w:tblBorders>
          <w:top w:val="single" w:sz="6" w:space="0" w:color="808080"/>
          <w:left w:val="single" w:sz="6" w:space="0" w:color="808080"/>
          <w:bottom w:val="single" w:sz="6" w:space="0" w:color="808080"/>
          <w:right w:val="single" w:sz="6" w:space="0" w:color="808080"/>
          <w:insideH w:val="single" w:sz="4" w:space="0" w:color="BFBFBF"/>
          <w:insideV w:val="single" w:sz="4" w:space="0" w:color="BFBFBF"/>
        </w:tblBorders>
        <w:tblLayout w:type="fixed"/>
        <w:tblLook w:val="0020" w:firstRow="1" w:lastRow="0" w:firstColumn="0" w:lastColumn="0" w:noHBand="0" w:noVBand="0"/>
      </w:tblPr>
      <w:tblGrid>
        <w:gridCol w:w="1584"/>
        <w:gridCol w:w="1584"/>
        <w:gridCol w:w="1584"/>
        <w:gridCol w:w="1584"/>
        <w:gridCol w:w="1584"/>
      </w:tblGrid>
      <w:tr w:rsidR="00507E7F" w:rsidRPr="005769E5" w14:paraId="36CE70CB" w14:textId="77777777" w:rsidTr="00507E7F">
        <w:trPr>
          <w:cnfStyle w:val="100000000000" w:firstRow="1" w:lastRow="0" w:firstColumn="0" w:lastColumn="0" w:oddVBand="0" w:evenVBand="0" w:oddHBand="0" w:evenHBand="0" w:firstRowFirstColumn="0" w:firstRowLastColumn="0" w:lastRowFirstColumn="0" w:lastRowLastColumn="0"/>
          <w:tblHeader/>
        </w:trPr>
        <w:tc>
          <w:tcPr>
            <w:tcW w:w="1584" w:type="dxa"/>
          </w:tcPr>
          <w:p w14:paraId="21993E38" w14:textId="77777777" w:rsidR="00507E7F" w:rsidRPr="005769E5" w:rsidRDefault="00000000">
            <w:pPr>
              <w:pStyle w:val="Compact"/>
              <w:jc w:val="left"/>
              <w:rPr>
                <w:color w:val="000000" w:themeColor="text1"/>
              </w:rPr>
            </w:pPr>
            <w:r w:rsidRPr="005769E5">
              <w:rPr>
                <w:color w:val="000000" w:themeColor="text1"/>
              </w:rPr>
              <w:t>Variant</w:t>
            </w:r>
          </w:p>
        </w:tc>
        <w:tc>
          <w:tcPr>
            <w:tcW w:w="1584" w:type="dxa"/>
          </w:tcPr>
          <w:p w14:paraId="0EF4A6E4" w14:textId="77777777" w:rsidR="00507E7F" w:rsidRPr="005769E5" w:rsidRDefault="00000000">
            <w:pPr>
              <w:pStyle w:val="Compact"/>
              <w:jc w:val="left"/>
              <w:rPr>
                <w:color w:val="000000" w:themeColor="text1"/>
              </w:rPr>
            </w:pPr>
            <w:r w:rsidRPr="005769E5">
              <w:rPr>
                <w:color w:val="000000" w:themeColor="text1"/>
              </w:rPr>
              <w:t>Rejections (%)</w:t>
            </w:r>
          </w:p>
        </w:tc>
        <w:tc>
          <w:tcPr>
            <w:tcW w:w="1584" w:type="dxa"/>
          </w:tcPr>
          <w:p w14:paraId="5AB32350" w14:textId="77777777" w:rsidR="00507E7F" w:rsidRPr="005769E5" w:rsidRDefault="00000000">
            <w:pPr>
              <w:pStyle w:val="Compact"/>
              <w:jc w:val="left"/>
              <w:rPr>
                <w:color w:val="000000" w:themeColor="text1"/>
              </w:rPr>
            </w:pPr>
            <w:r w:rsidRPr="005769E5">
              <w:rPr>
                <w:color w:val="000000" w:themeColor="text1"/>
              </w:rPr>
              <w:t>MAE before (pp)</w:t>
            </w:r>
          </w:p>
        </w:tc>
        <w:tc>
          <w:tcPr>
            <w:tcW w:w="1584" w:type="dxa"/>
          </w:tcPr>
          <w:p w14:paraId="255E8D87" w14:textId="77777777" w:rsidR="00507E7F" w:rsidRPr="005769E5" w:rsidRDefault="00000000">
            <w:pPr>
              <w:pStyle w:val="Compact"/>
              <w:jc w:val="left"/>
              <w:rPr>
                <w:color w:val="000000" w:themeColor="text1"/>
              </w:rPr>
            </w:pPr>
            <w:r w:rsidRPr="005769E5">
              <w:rPr>
                <w:color w:val="000000" w:themeColor="text1"/>
              </w:rPr>
              <w:t>MAE after fallback (pp)</w:t>
            </w:r>
          </w:p>
        </w:tc>
        <w:tc>
          <w:tcPr>
            <w:tcW w:w="1584" w:type="dxa"/>
          </w:tcPr>
          <w:p w14:paraId="3768493D" w14:textId="77777777" w:rsidR="00507E7F" w:rsidRPr="005769E5" w:rsidRDefault="00000000">
            <w:pPr>
              <w:pStyle w:val="Compact"/>
              <w:jc w:val="left"/>
              <w:rPr>
                <w:color w:val="000000" w:themeColor="text1"/>
              </w:rPr>
            </w:pPr>
            <w:r w:rsidRPr="005769E5">
              <w:rPr>
                <w:color w:val="000000" w:themeColor="text1"/>
              </w:rPr>
              <w:t>Reference-model calls</w:t>
            </w:r>
          </w:p>
        </w:tc>
      </w:tr>
      <w:tr w:rsidR="00507E7F" w:rsidRPr="005769E5" w14:paraId="0ABB6DB7" w14:textId="77777777" w:rsidTr="00507E7F">
        <w:tc>
          <w:tcPr>
            <w:tcW w:w="1584" w:type="dxa"/>
          </w:tcPr>
          <w:p w14:paraId="28C9E81A" w14:textId="77777777" w:rsidR="00507E7F" w:rsidRPr="005769E5" w:rsidRDefault="00000000">
            <w:pPr>
              <w:pStyle w:val="Compact"/>
              <w:jc w:val="left"/>
              <w:rPr>
                <w:color w:val="000000" w:themeColor="text1"/>
              </w:rPr>
            </w:pPr>
            <w:r w:rsidRPr="005769E5">
              <w:rPr>
                <w:color w:val="000000" w:themeColor="text1"/>
              </w:rPr>
              <w:t>GP-PI</w:t>
            </w:r>
          </w:p>
        </w:tc>
        <w:tc>
          <w:tcPr>
            <w:tcW w:w="1584" w:type="dxa"/>
          </w:tcPr>
          <w:p w14:paraId="64D9E471" w14:textId="77777777" w:rsidR="00507E7F" w:rsidRPr="005769E5" w:rsidRDefault="00000000">
            <w:pPr>
              <w:pStyle w:val="Compact"/>
              <w:jc w:val="left"/>
              <w:rPr>
                <w:color w:val="000000" w:themeColor="text1"/>
              </w:rPr>
            </w:pPr>
            <w:r w:rsidRPr="005769E5">
              <w:rPr>
                <w:color w:val="000000" w:themeColor="text1"/>
              </w:rPr>
              <w:t>0.00</w:t>
            </w:r>
          </w:p>
        </w:tc>
        <w:tc>
          <w:tcPr>
            <w:tcW w:w="1584" w:type="dxa"/>
          </w:tcPr>
          <w:p w14:paraId="161DA955" w14:textId="77777777" w:rsidR="00507E7F" w:rsidRPr="005769E5" w:rsidRDefault="00000000">
            <w:pPr>
              <w:pStyle w:val="Compact"/>
              <w:jc w:val="left"/>
              <w:rPr>
                <w:color w:val="000000" w:themeColor="text1"/>
              </w:rPr>
            </w:pPr>
            <w:r w:rsidRPr="005769E5">
              <w:rPr>
                <w:color w:val="000000" w:themeColor="text1"/>
              </w:rPr>
              <w:t>0.096</w:t>
            </w:r>
          </w:p>
        </w:tc>
        <w:tc>
          <w:tcPr>
            <w:tcW w:w="1584" w:type="dxa"/>
          </w:tcPr>
          <w:p w14:paraId="0AF5D309" w14:textId="77777777" w:rsidR="00507E7F" w:rsidRPr="005769E5" w:rsidRDefault="00000000">
            <w:pPr>
              <w:pStyle w:val="Compact"/>
              <w:jc w:val="left"/>
              <w:rPr>
                <w:color w:val="000000" w:themeColor="text1"/>
              </w:rPr>
            </w:pPr>
            <w:r w:rsidRPr="005769E5">
              <w:rPr>
                <w:color w:val="000000" w:themeColor="text1"/>
              </w:rPr>
              <w:t>0.096</w:t>
            </w:r>
          </w:p>
        </w:tc>
        <w:tc>
          <w:tcPr>
            <w:tcW w:w="1584" w:type="dxa"/>
          </w:tcPr>
          <w:p w14:paraId="13ADB9BE" w14:textId="77777777" w:rsidR="00507E7F" w:rsidRPr="005769E5" w:rsidRDefault="00000000">
            <w:pPr>
              <w:pStyle w:val="Compact"/>
              <w:jc w:val="left"/>
              <w:rPr>
                <w:color w:val="000000" w:themeColor="text1"/>
              </w:rPr>
            </w:pPr>
            <w:r w:rsidRPr="005769E5">
              <w:rPr>
                <w:color w:val="000000" w:themeColor="text1"/>
              </w:rPr>
              <w:t>440</w:t>
            </w:r>
          </w:p>
        </w:tc>
      </w:tr>
      <w:tr w:rsidR="00507E7F" w:rsidRPr="005769E5" w14:paraId="7D0DE6FE" w14:textId="77777777" w:rsidTr="00507E7F">
        <w:tc>
          <w:tcPr>
            <w:tcW w:w="1584" w:type="dxa"/>
          </w:tcPr>
          <w:p w14:paraId="536CC817" w14:textId="77777777" w:rsidR="00507E7F" w:rsidRPr="005769E5" w:rsidRDefault="00000000">
            <w:pPr>
              <w:pStyle w:val="Compact"/>
              <w:jc w:val="left"/>
              <w:rPr>
                <w:color w:val="000000" w:themeColor="text1"/>
              </w:rPr>
            </w:pPr>
            <w:r w:rsidRPr="005769E5">
              <w:rPr>
                <w:color w:val="000000" w:themeColor="text1"/>
              </w:rPr>
              <w:t>GP-plain</w:t>
            </w:r>
          </w:p>
        </w:tc>
        <w:tc>
          <w:tcPr>
            <w:tcW w:w="1584" w:type="dxa"/>
          </w:tcPr>
          <w:p w14:paraId="0F45068E" w14:textId="77777777" w:rsidR="00507E7F" w:rsidRPr="005769E5" w:rsidRDefault="00000000">
            <w:pPr>
              <w:pStyle w:val="Compact"/>
              <w:jc w:val="left"/>
              <w:rPr>
                <w:color w:val="000000" w:themeColor="text1"/>
              </w:rPr>
            </w:pPr>
            <w:r w:rsidRPr="005769E5">
              <w:rPr>
                <w:color w:val="000000" w:themeColor="text1"/>
              </w:rPr>
              <w:t>0.00</w:t>
            </w:r>
          </w:p>
        </w:tc>
        <w:tc>
          <w:tcPr>
            <w:tcW w:w="1584" w:type="dxa"/>
          </w:tcPr>
          <w:p w14:paraId="66193426" w14:textId="77777777" w:rsidR="00507E7F" w:rsidRPr="005769E5" w:rsidRDefault="00000000">
            <w:pPr>
              <w:pStyle w:val="Compact"/>
              <w:jc w:val="left"/>
              <w:rPr>
                <w:color w:val="000000" w:themeColor="text1"/>
              </w:rPr>
            </w:pPr>
            <w:r w:rsidRPr="005769E5">
              <w:rPr>
                <w:color w:val="000000" w:themeColor="text1"/>
              </w:rPr>
              <w:t>0.096</w:t>
            </w:r>
          </w:p>
        </w:tc>
        <w:tc>
          <w:tcPr>
            <w:tcW w:w="1584" w:type="dxa"/>
          </w:tcPr>
          <w:p w14:paraId="6FF28957" w14:textId="77777777" w:rsidR="00507E7F" w:rsidRPr="005769E5" w:rsidRDefault="00000000">
            <w:pPr>
              <w:pStyle w:val="Compact"/>
              <w:jc w:val="left"/>
              <w:rPr>
                <w:color w:val="000000" w:themeColor="text1"/>
              </w:rPr>
            </w:pPr>
            <w:r w:rsidRPr="005769E5">
              <w:rPr>
                <w:color w:val="000000" w:themeColor="text1"/>
              </w:rPr>
              <w:t>0.096</w:t>
            </w:r>
          </w:p>
        </w:tc>
        <w:tc>
          <w:tcPr>
            <w:tcW w:w="1584" w:type="dxa"/>
          </w:tcPr>
          <w:p w14:paraId="468BD241" w14:textId="77777777" w:rsidR="00507E7F" w:rsidRPr="005769E5" w:rsidRDefault="00000000">
            <w:pPr>
              <w:pStyle w:val="Compact"/>
              <w:jc w:val="left"/>
              <w:rPr>
                <w:color w:val="000000" w:themeColor="text1"/>
              </w:rPr>
            </w:pPr>
            <w:r w:rsidRPr="005769E5">
              <w:rPr>
                <w:color w:val="000000" w:themeColor="text1"/>
              </w:rPr>
              <w:t>440</w:t>
            </w:r>
          </w:p>
        </w:tc>
      </w:tr>
      <w:tr w:rsidR="00507E7F" w:rsidRPr="005769E5" w14:paraId="4E9FD801" w14:textId="77777777" w:rsidTr="00507E7F">
        <w:tc>
          <w:tcPr>
            <w:tcW w:w="1584" w:type="dxa"/>
          </w:tcPr>
          <w:p w14:paraId="1963A73F" w14:textId="77777777" w:rsidR="00507E7F" w:rsidRPr="005769E5" w:rsidRDefault="00000000">
            <w:pPr>
              <w:pStyle w:val="Compact"/>
              <w:jc w:val="left"/>
              <w:rPr>
                <w:color w:val="000000" w:themeColor="text1"/>
              </w:rPr>
            </w:pPr>
            <w:r w:rsidRPr="005769E5">
              <w:rPr>
                <w:color w:val="000000" w:themeColor="text1"/>
              </w:rPr>
              <w:t>NN-hard</w:t>
            </w:r>
          </w:p>
        </w:tc>
        <w:tc>
          <w:tcPr>
            <w:tcW w:w="1584" w:type="dxa"/>
          </w:tcPr>
          <w:p w14:paraId="1F13D0DD" w14:textId="77777777" w:rsidR="00507E7F" w:rsidRPr="005769E5" w:rsidRDefault="00000000">
            <w:pPr>
              <w:pStyle w:val="Compact"/>
              <w:jc w:val="left"/>
              <w:rPr>
                <w:color w:val="000000" w:themeColor="text1"/>
              </w:rPr>
            </w:pPr>
            <w:r w:rsidRPr="005769E5">
              <w:rPr>
                <w:color w:val="000000" w:themeColor="text1"/>
              </w:rPr>
              <w:t>45.75</w:t>
            </w:r>
          </w:p>
        </w:tc>
        <w:tc>
          <w:tcPr>
            <w:tcW w:w="1584" w:type="dxa"/>
          </w:tcPr>
          <w:p w14:paraId="564071DF" w14:textId="77777777" w:rsidR="00507E7F" w:rsidRPr="005769E5" w:rsidRDefault="00000000">
            <w:pPr>
              <w:pStyle w:val="Compact"/>
              <w:jc w:val="left"/>
              <w:rPr>
                <w:color w:val="000000" w:themeColor="text1"/>
              </w:rPr>
            </w:pPr>
            <w:r w:rsidRPr="005769E5">
              <w:rPr>
                <w:color w:val="000000" w:themeColor="text1"/>
              </w:rPr>
              <w:t>3.152</w:t>
            </w:r>
          </w:p>
        </w:tc>
        <w:tc>
          <w:tcPr>
            <w:tcW w:w="1584" w:type="dxa"/>
          </w:tcPr>
          <w:p w14:paraId="015D4BB6" w14:textId="77777777" w:rsidR="00507E7F" w:rsidRPr="005769E5" w:rsidRDefault="00000000">
            <w:pPr>
              <w:pStyle w:val="Compact"/>
              <w:jc w:val="left"/>
              <w:rPr>
                <w:color w:val="000000" w:themeColor="text1"/>
              </w:rPr>
            </w:pPr>
            <w:r w:rsidRPr="005769E5">
              <w:rPr>
                <w:color w:val="000000" w:themeColor="text1"/>
              </w:rPr>
              <w:t>1.612</w:t>
            </w:r>
          </w:p>
        </w:tc>
        <w:tc>
          <w:tcPr>
            <w:tcW w:w="1584" w:type="dxa"/>
          </w:tcPr>
          <w:p w14:paraId="732E3478" w14:textId="77777777" w:rsidR="00507E7F" w:rsidRPr="005769E5" w:rsidRDefault="00000000">
            <w:pPr>
              <w:pStyle w:val="Compact"/>
              <w:jc w:val="left"/>
              <w:rPr>
                <w:color w:val="000000" w:themeColor="text1"/>
              </w:rPr>
            </w:pPr>
            <w:r w:rsidRPr="005769E5">
              <w:rPr>
                <w:color w:val="000000" w:themeColor="text1"/>
              </w:rPr>
              <w:t>5015</w:t>
            </w:r>
          </w:p>
        </w:tc>
      </w:tr>
      <w:tr w:rsidR="00507E7F" w:rsidRPr="005769E5" w14:paraId="69BE15AD" w14:textId="77777777" w:rsidTr="00507E7F">
        <w:tc>
          <w:tcPr>
            <w:tcW w:w="1584" w:type="dxa"/>
          </w:tcPr>
          <w:p w14:paraId="652E7FD8" w14:textId="77777777" w:rsidR="00507E7F" w:rsidRPr="005769E5" w:rsidRDefault="00000000">
            <w:pPr>
              <w:pStyle w:val="Compact"/>
              <w:jc w:val="left"/>
              <w:rPr>
                <w:color w:val="000000" w:themeColor="text1"/>
              </w:rPr>
            </w:pPr>
            <w:r w:rsidRPr="005769E5">
              <w:rPr>
                <w:color w:val="000000" w:themeColor="text1"/>
              </w:rPr>
              <w:t>NN-soft</w:t>
            </w:r>
          </w:p>
        </w:tc>
        <w:tc>
          <w:tcPr>
            <w:tcW w:w="1584" w:type="dxa"/>
          </w:tcPr>
          <w:p w14:paraId="43EB675F" w14:textId="77777777" w:rsidR="00507E7F" w:rsidRPr="005769E5" w:rsidRDefault="00000000">
            <w:pPr>
              <w:pStyle w:val="Compact"/>
              <w:jc w:val="left"/>
              <w:rPr>
                <w:color w:val="000000" w:themeColor="text1"/>
              </w:rPr>
            </w:pPr>
            <w:r w:rsidRPr="005769E5">
              <w:rPr>
                <w:color w:val="000000" w:themeColor="text1"/>
              </w:rPr>
              <w:t>39.08</w:t>
            </w:r>
          </w:p>
        </w:tc>
        <w:tc>
          <w:tcPr>
            <w:tcW w:w="1584" w:type="dxa"/>
          </w:tcPr>
          <w:p w14:paraId="38E9828D" w14:textId="77777777" w:rsidR="00507E7F" w:rsidRPr="005769E5" w:rsidRDefault="00000000">
            <w:pPr>
              <w:pStyle w:val="Compact"/>
              <w:jc w:val="left"/>
              <w:rPr>
                <w:color w:val="000000" w:themeColor="text1"/>
              </w:rPr>
            </w:pPr>
            <w:r w:rsidRPr="005769E5">
              <w:rPr>
                <w:color w:val="000000" w:themeColor="text1"/>
              </w:rPr>
              <w:t>0.697</w:t>
            </w:r>
          </w:p>
        </w:tc>
        <w:tc>
          <w:tcPr>
            <w:tcW w:w="1584" w:type="dxa"/>
          </w:tcPr>
          <w:p w14:paraId="7142294C" w14:textId="77777777" w:rsidR="00507E7F" w:rsidRPr="005769E5" w:rsidRDefault="00000000">
            <w:pPr>
              <w:pStyle w:val="Compact"/>
              <w:jc w:val="left"/>
              <w:rPr>
                <w:color w:val="000000" w:themeColor="text1"/>
              </w:rPr>
            </w:pPr>
            <w:r w:rsidRPr="005769E5">
              <w:rPr>
                <w:color w:val="000000" w:themeColor="text1"/>
              </w:rPr>
              <w:t>0.409</w:t>
            </w:r>
          </w:p>
        </w:tc>
        <w:tc>
          <w:tcPr>
            <w:tcW w:w="1584" w:type="dxa"/>
          </w:tcPr>
          <w:p w14:paraId="12372CCB" w14:textId="77777777" w:rsidR="00507E7F" w:rsidRPr="005769E5" w:rsidRDefault="00000000">
            <w:pPr>
              <w:pStyle w:val="Compact"/>
              <w:jc w:val="left"/>
              <w:rPr>
                <w:color w:val="000000" w:themeColor="text1"/>
              </w:rPr>
            </w:pPr>
            <w:r w:rsidRPr="005769E5">
              <w:rPr>
                <w:color w:val="000000" w:themeColor="text1"/>
              </w:rPr>
              <w:t>4348</w:t>
            </w:r>
          </w:p>
        </w:tc>
      </w:tr>
      <w:tr w:rsidR="00507E7F" w:rsidRPr="005769E5" w14:paraId="721F7561" w14:textId="77777777" w:rsidTr="00507E7F">
        <w:tc>
          <w:tcPr>
            <w:tcW w:w="1584" w:type="dxa"/>
          </w:tcPr>
          <w:p w14:paraId="3C5274F3" w14:textId="77777777" w:rsidR="00507E7F" w:rsidRPr="005769E5" w:rsidRDefault="00000000">
            <w:pPr>
              <w:pStyle w:val="Compact"/>
              <w:jc w:val="left"/>
              <w:rPr>
                <w:color w:val="000000" w:themeColor="text1"/>
              </w:rPr>
            </w:pPr>
            <w:r w:rsidRPr="005769E5">
              <w:rPr>
                <w:color w:val="000000" w:themeColor="text1"/>
              </w:rPr>
              <w:t>NN-plain</w:t>
            </w:r>
          </w:p>
        </w:tc>
        <w:tc>
          <w:tcPr>
            <w:tcW w:w="1584" w:type="dxa"/>
          </w:tcPr>
          <w:p w14:paraId="425D65B8" w14:textId="77777777" w:rsidR="00507E7F" w:rsidRPr="005769E5" w:rsidRDefault="00000000">
            <w:pPr>
              <w:pStyle w:val="Compact"/>
              <w:jc w:val="left"/>
              <w:rPr>
                <w:color w:val="000000" w:themeColor="text1"/>
              </w:rPr>
            </w:pPr>
            <w:r w:rsidRPr="005769E5">
              <w:rPr>
                <w:color w:val="000000" w:themeColor="text1"/>
              </w:rPr>
              <w:t>53.34</w:t>
            </w:r>
          </w:p>
        </w:tc>
        <w:tc>
          <w:tcPr>
            <w:tcW w:w="1584" w:type="dxa"/>
          </w:tcPr>
          <w:p w14:paraId="14141CB6" w14:textId="77777777" w:rsidR="00507E7F" w:rsidRPr="005769E5" w:rsidRDefault="00000000">
            <w:pPr>
              <w:pStyle w:val="Compact"/>
              <w:jc w:val="left"/>
              <w:rPr>
                <w:color w:val="000000" w:themeColor="text1"/>
              </w:rPr>
            </w:pPr>
            <w:r w:rsidRPr="005769E5">
              <w:rPr>
                <w:color w:val="000000" w:themeColor="text1"/>
              </w:rPr>
              <w:t>0.688</w:t>
            </w:r>
          </w:p>
        </w:tc>
        <w:tc>
          <w:tcPr>
            <w:tcW w:w="1584" w:type="dxa"/>
          </w:tcPr>
          <w:p w14:paraId="629E35ED" w14:textId="77777777" w:rsidR="00507E7F" w:rsidRPr="005769E5" w:rsidRDefault="00000000">
            <w:pPr>
              <w:pStyle w:val="Compact"/>
              <w:jc w:val="left"/>
              <w:rPr>
                <w:color w:val="000000" w:themeColor="text1"/>
              </w:rPr>
            </w:pPr>
            <w:r w:rsidRPr="005769E5">
              <w:rPr>
                <w:color w:val="000000" w:themeColor="text1"/>
              </w:rPr>
              <w:t>0.310</w:t>
            </w:r>
          </w:p>
        </w:tc>
        <w:tc>
          <w:tcPr>
            <w:tcW w:w="1584" w:type="dxa"/>
          </w:tcPr>
          <w:p w14:paraId="6A87ADB2" w14:textId="77777777" w:rsidR="00507E7F" w:rsidRPr="005769E5" w:rsidRDefault="00000000">
            <w:pPr>
              <w:pStyle w:val="Compact"/>
              <w:jc w:val="left"/>
              <w:rPr>
                <w:color w:val="000000" w:themeColor="text1"/>
              </w:rPr>
            </w:pPr>
            <w:r w:rsidRPr="005769E5">
              <w:rPr>
                <w:color w:val="000000" w:themeColor="text1"/>
              </w:rPr>
              <w:t>5774</w:t>
            </w:r>
          </w:p>
        </w:tc>
      </w:tr>
    </w:tbl>
    <w:p w14:paraId="3BE703C6" w14:textId="77777777" w:rsidR="00507E7F" w:rsidRPr="005769E5" w:rsidRDefault="00000000">
      <w:pPr>
        <w:pStyle w:val="Heading2"/>
        <w:rPr>
          <w:color w:val="000000" w:themeColor="text1"/>
        </w:rPr>
      </w:pPr>
      <w:bookmarkStart w:id="32" w:name="s7.-code"/>
      <w:bookmarkEnd w:id="31"/>
      <w:r w:rsidRPr="005769E5">
        <w:rPr>
          <w:color w:val="000000" w:themeColor="text1"/>
        </w:rPr>
        <w:t>S7. Code</w:t>
      </w:r>
    </w:p>
    <w:p w14:paraId="28888E62" w14:textId="77777777" w:rsidR="00507E7F" w:rsidRPr="005769E5" w:rsidRDefault="00000000">
      <w:pPr>
        <w:rPr>
          <w:color w:val="000000" w:themeColor="text1"/>
        </w:rPr>
      </w:pPr>
      <w:r w:rsidRPr="005769E5">
        <w:rPr>
          <w:color w:val="000000" w:themeColor="text1"/>
        </w:rPr>
        <w:t>model.py (reference plant and sampler), surrogates.py (GP and network surrogates with augmented-Lagrangian training), runner.py (experiment stages), figures.py (all figures). Monte Carlo: 10,000 samples; Sobol analysis: 53,248 reference evaluations.</w:t>
      </w:r>
      <w:bookmarkEnd w:id="25"/>
      <w:bookmarkEnd w:id="32"/>
    </w:p>
    <w:sectPr w:rsidR="00507E7F" w:rsidRPr="005769E5">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A1C96" w14:textId="77777777" w:rsidR="00D4784F" w:rsidRDefault="00D4784F">
      <w:pPr>
        <w:spacing w:after="0"/>
      </w:pPr>
      <w:r>
        <w:separator/>
      </w:r>
    </w:p>
  </w:endnote>
  <w:endnote w:type="continuationSeparator" w:id="0">
    <w:p w14:paraId="697013B9" w14:textId="77777777" w:rsidR="00D4784F" w:rsidRDefault="00D4784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5BBFE" w14:textId="77777777" w:rsidR="00507E7F"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3ABF1" w14:textId="77777777" w:rsidR="00D4784F" w:rsidRDefault="00D4784F">
      <w:r>
        <w:separator/>
      </w:r>
    </w:p>
  </w:footnote>
  <w:footnote w:type="continuationSeparator" w:id="0">
    <w:p w14:paraId="66E14122" w14:textId="77777777" w:rsidR="00D4784F" w:rsidRDefault="00D478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487ED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90A8FB9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876E9D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6C57C2D"/>
    <w:multiLevelType w:val="multilevel"/>
    <w:tmpl w:val="5936D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9116370">
    <w:abstractNumId w:val="0"/>
  </w:num>
  <w:num w:numId="2" w16cid:durableId="7682369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8132508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10986972">
    <w:abstractNumId w:val="1"/>
  </w:num>
  <w:num w:numId="5" w16cid:durableId="1265136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743473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51107667">
    <w:abstractNumId w:val="3"/>
  </w:num>
  <w:num w:numId="8" w16cid:durableId="265578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E7F"/>
    <w:rsid w:val="001A6F74"/>
    <w:rsid w:val="00507E7F"/>
    <w:rsid w:val="005769E5"/>
    <w:rsid w:val="00662A09"/>
    <w:rsid w:val="006C6A79"/>
    <w:rsid w:val="00716212"/>
    <w:rsid w:val="007B2811"/>
    <w:rsid w:val="008A3E42"/>
    <w:rsid w:val="009A629B"/>
    <w:rsid w:val="00A96EC8"/>
    <w:rsid w:val="00D42963"/>
    <w:rsid w:val="00D4784F"/>
    <w:rsid w:val="00E31F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71F16"/>
  <w15:docId w15:val="{EEC9CD2A-5D7B-4D6F-B450-457E93CC84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kern w:val="2"/>
        <w:sz w:val="24"/>
        <w:szCs w:val="24"/>
        <w:lang w:val="en-IN" w:eastAsia="en-US" w:bidi="ar-SA"/>
        <w14:ligatures w14:val="standardContextual"/>
      </w:rPr>
    </w:rPrDefault>
    <w:pPrDefault>
      <w:pPr>
        <w:spacing w:after="200" w:line="1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jc w:val="both"/>
    </w:pPr>
  </w:style>
  <w:style w:type="paragraph" w:styleId="Heading1">
    <w:name w:val="heading 1"/>
    <w:basedOn w:val="Normal"/>
    <w:next w:val="Normal"/>
    <w:link w:val="Heading1Char"/>
    <w:uiPriority w:val="9"/>
    <w:qFormat/>
    <w:rsid w:val="004C099D"/>
    <w:pPr>
      <w:keepNext/>
      <w:keepLines/>
      <w:spacing w:before="360" w:after="80"/>
      <w:outlineLvl w:val="0"/>
    </w:pPr>
    <w:rPr>
      <w:b/>
      <w:bCs/>
      <w:color w:val="000000"/>
      <w:sz w:val="28"/>
      <w:szCs w:val="28"/>
    </w:rPr>
  </w:style>
  <w:style w:type="paragraph" w:styleId="Heading2">
    <w:name w:val="heading 2"/>
    <w:basedOn w:val="Normal"/>
    <w:next w:val="Normal"/>
    <w:link w:val="Heading2Char"/>
    <w:uiPriority w:val="9"/>
    <w:unhideWhenUsed/>
    <w:qFormat/>
    <w:rsid w:val="004C099D"/>
    <w:pPr>
      <w:keepNext/>
      <w:keepLines/>
      <w:spacing w:before="160" w:after="80"/>
      <w:outlineLvl w:val="1"/>
    </w:pPr>
    <w:rPr>
      <w:b/>
      <w:bCs/>
      <w:color w:val="000000"/>
    </w:rPr>
  </w:style>
  <w:style w:type="paragraph" w:styleId="Heading3">
    <w:name w:val="heading 3"/>
    <w:basedOn w:val="Normal"/>
    <w:next w:val="Normal"/>
    <w:link w:val="Heading3Char"/>
    <w:uiPriority w:val="9"/>
    <w:semiHidden/>
    <w:unhideWhenUsed/>
    <w:qFormat/>
    <w:rsid w:val="004C099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4C099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4C099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4C09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9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9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9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99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4C099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4C099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4C099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4C099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4C09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9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9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99D"/>
    <w:rPr>
      <w:rFonts w:eastAsiaTheme="majorEastAsia" w:cstheme="majorBidi"/>
      <w:color w:val="272727" w:themeColor="text1" w:themeTint="D8"/>
    </w:rPr>
  </w:style>
  <w:style w:type="paragraph" w:styleId="Title">
    <w:name w:val="Title"/>
    <w:basedOn w:val="Normal"/>
    <w:next w:val="Normal"/>
    <w:link w:val="TitleChar"/>
    <w:uiPriority w:val="10"/>
    <w:qFormat/>
    <w:rsid w:val="004C099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9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99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9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99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C099D"/>
    <w:rPr>
      <w:i/>
      <w:iCs/>
      <w:color w:val="404040" w:themeColor="text1" w:themeTint="BF"/>
    </w:rPr>
  </w:style>
  <w:style w:type="paragraph" w:styleId="ListParagraph">
    <w:name w:val="List Paragraph"/>
    <w:basedOn w:val="Normal"/>
    <w:uiPriority w:val="34"/>
    <w:qFormat/>
    <w:rsid w:val="004C099D"/>
    <w:pPr>
      <w:ind w:left="720"/>
      <w:contextualSpacing/>
    </w:pPr>
  </w:style>
  <w:style w:type="character" w:styleId="IntenseEmphasis">
    <w:name w:val="Intense Emphasis"/>
    <w:basedOn w:val="DefaultParagraphFont"/>
    <w:uiPriority w:val="21"/>
    <w:qFormat/>
    <w:rsid w:val="004C099D"/>
    <w:rPr>
      <w:i/>
      <w:iCs/>
      <w:color w:val="365F91" w:themeColor="accent1" w:themeShade="BF"/>
    </w:rPr>
  </w:style>
  <w:style w:type="paragraph" w:styleId="IntenseQuote">
    <w:name w:val="Intense Quote"/>
    <w:basedOn w:val="Normal"/>
    <w:next w:val="Normal"/>
    <w:link w:val="IntenseQuoteChar"/>
    <w:uiPriority w:val="30"/>
    <w:qFormat/>
    <w:rsid w:val="004C099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4C099D"/>
    <w:rPr>
      <w:i/>
      <w:iCs/>
      <w:color w:val="365F91" w:themeColor="accent1" w:themeShade="BF"/>
    </w:rPr>
  </w:style>
  <w:style w:type="character" w:styleId="IntenseReference">
    <w:name w:val="Intense Reference"/>
    <w:basedOn w:val="DefaultParagraphFont"/>
    <w:uiPriority w:val="32"/>
    <w:qFormat/>
    <w:rsid w:val="004C099D"/>
    <w:rPr>
      <w:b/>
      <w:bCs/>
      <w:smallCaps/>
      <w:color w:val="365F91" w:themeColor="accent1" w:themeShade="BF"/>
      <w:spacing w:val="5"/>
    </w:rPr>
  </w:style>
  <w:style w:type="paragraph" w:customStyle="1" w:styleId="Title1">
    <w:name w:val="Title1"/>
    <w:basedOn w:val="Normal"/>
    <w:next w:val="Normal"/>
    <w:link w:val="Title0"/>
    <w:qFormat/>
    <w:rsid w:val="00747F2C"/>
    <w:pPr>
      <w:spacing w:after="240" w:line="192" w:lineRule="auto"/>
      <w:jc w:val="left"/>
    </w:pPr>
    <w:rPr>
      <w:rFonts w:eastAsiaTheme="minorEastAsia"/>
      <w:color w:val="000000" w:themeColor="text1"/>
      <w:kern w:val="0"/>
      <w:sz w:val="44"/>
      <w:szCs w:val="44"/>
      <w:lang w:val="en-US"/>
      <w14:ligatures w14:val="none"/>
    </w:rPr>
  </w:style>
  <w:style w:type="character" w:customStyle="1" w:styleId="Title0">
    <w:name w:val="Title 字符"/>
    <w:basedOn w:val="DefaultParagraphFont"/>
    <w:link w:val="Title1"/>
    <w:rsid w:val="00747F2C"/>
    <w:rPr>
      <w:rFonts w:eastAsiaTheme="minorEastAsia"/>
      <w:color w:val="000000" w:themeColor="text1"/>
      <w:kern w:val="0"/>
      <w:sz w:val="44"/>
      <w:szCs w:val="44"/>
      <w:lang w:val="en-US"/>
      <w14:ligatures w14:val="none"/>
    </w:rPr>
  </w:style>
  <w:style w:type="character" w:styleId="LineNumber">
    <w:name w:val="line number"/>
    <w:basedOn w:val="DefaultParagraphFont"/>
    <w:uiPriority w:val="99"/>
    <w:semiHidden/>
    <w:unhideWhenUsed/>
    <w:rsid w:val="00747F2C"/>
  </w:style>
  <w:style w:type="paragraph" w:customStyle="1" w:styleId="pre-body">
    <w:name w:val="pre-body"/>
    <w:basedOn w:val="Normal"/>
    <w:link w:val="pre-bodyChar"/>
    <w:qFormat/>
    <w:rsid w:val="00747F2C"/>
    <w:pPr>
      <w:spacing w:line="480" w:lineRule="auto"/>
      <w:jc w:val="left"/>
    </w:pPr>
    <w:rPr>
      <w:rFonts w:eastAsiaTheme="minorEastAsia"/>
      <w:b/>
      <w:color w:val="000000" w:themeColor="text1"/>
      <w:kern w:val="0"/>
      <w:sz w:val="20"/>
      <w:szCs w:val="20"/>
      <w:lang w:val="en-US"/>
      <w14:ligatures w14:val="none"/>
    </w:rPr>
  </w:style>
  <w:style w:type="character" w:styleId="Hyperlink">
    <w:name w:val="Hyperlink"/>
    <w:basedOn w:val="DefaultParagraphFont"/>
    <w:uiPriority w:val="99"/>
    <w:unhideWhenUsed/>
    <w:rsid w:val="00747F2C"/>
    <w:rPr>
      <w:color w:val="0000FF" w:themeColor="hyperlink"/>
      <w:u w:val="single"/>
    </w:rPr>
  </w:style>
  <w:style w:type="character" w:customStyle="1" w:styleId="pre-bodyChar">
    <w:name w:val="pre-body Char"/>
    <w:basedOn w:val="DefaultParagraphFont"/>
    <w:link w:val="pre-body"/>
    <w:rsid w:val="00747F2C"/>
    <w:rPr>
      <w:rFonts w:eastAsiaTheme="minorEastAsia"/>
      <w:b/>
      <w:color w:val="000000" w:themeColor="text1"/>
      <w:kern w:val="0"/>
      <w:sz w:val="20"/>
      <w:szCs w:val="20"/>
      <w:lang w:val="en-US"/>
      <w14:ligatures w14:val="none"/>
    </w:rPr>
  </w:style>
  <w:style w:type="table" w:styleId="TableGrid">
    <w:name w:val="Table Grid"/>
    <w:basedOn w:val="TableNormal"/>
    <w:uiPriority w:val="39"/>
    <w:rsid w:val="00747F2C"/>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747F2C"/>
    <w:rPr>
      <w:color w:val="808080"/>
    </w:rPr>
  </w:style>
  <w:style w:type="paragraph" w:styleId="Header">
    <w:name w:val="header"/>
    <w:basedOn w:val="Normal"/>
    <w:link w:val="HeaderChar"/>
    <w:uiPriority w:val="99"/>
    <w:unhideWhenUsed/>
    <w:rsid w:val="00747F2C"/>
    <w:pPr>
      <w:tabs>
        <w:tab w:val="center" w:pos="4513"/>
        <w:tab w:val="right" w:pos="9026"/>
      </w:tabs>
      <w:spacing w:after="0"/>
      <w:jc w:val="left"/>
    </w:pPr>
    <w:rPr>
      <w:rFonts w:eastAsiaTheme="minorEastAsia"/>
      <w:color w:val="000000" w:themeColor="text1"/>
      <w:kern w:val="0"/>
      <w:lang w:val="en-US"/>
      <w14:ligatures w14:val="none"/>
    </w:rPr>
  </w:style>
  <w:style w:type="character" w:customStyle="1" w:styleId="HeaderChar">
    <w:name w:val="Header Char"/>
    <w:basedOn w:val="DefaultParagraphFont"/>
    <w:link w:val="Header"/>
    <w:uiPriority w:val="99"/>
    <w:rsid w:val="00747F2C"/>
    <w:rPr>
      <w:rFonts w:eastAsiaTheme="minorEastAsia"/>
      <w:color w:val="000000" w:themeColor="text1"/>
      <w:kern w:val="0"/>
      <w:lang w:val="en-US"/>
      <w14:ligatures w14:val="none"/>
    </w:rPr>
  </w:style>
  <w:style w:type="paragraph" w:styleId="Footer">
    <w:name w:val="footer"/>
    <w:basedOn w:val="Normal"/>
    <w:link w:val="FooterChar"/>
    <w:uiPriority w:val="99"/>
    <w:unhideWhenUsed/>
    <w:rsid w:val="00747F2C"/>
    <w:pPr>
      <w:tabs>
        <w:tab w:val="center" w:pos="4513"/>
        <w:tab w:val="right" w:pos="9026"/>
      </w:tabs>
      <w:spacing w:after="0"/>
      <w:jc w:val="left"/>
    </w:pPr>
    <w:rPr>
      <w:rFonts w:eastAsiaTheme="minorEastAsia"/>
      <w:color w:val="000000" w:themeColor="text1"/>
      <w:kern w:val="0"/>
      <w:lang w:val="en-US"/>
      <w14:ligatures w14:val="none"/>
    </w:rPr>
  </w:style>
  <w:style w:type="character" w:customStyle="1" w:styleId="FooterChar">
    <w:name w:val="Footer Char"/>
    <w:basedOn w:val="DefaultParagraphFont"/>
    <w:link w:val="Footer"/>
    <w:uiPriority w:val="99"/>
    <w:rsid w:val="00747F2C"/>
    <w:rPr>
      <w:rFonts w:eastAsiaTheme="minorEastAsia"/>
      <w:color w:val="000000" w:themeColor="text1"/>
      <w:kern w:val="0"/>
      <w:lang w:val="en-US"/>
      <w14:ligatures w14:val="none"/>
    </w:rPr>
  </w:style>
  <w:style w:type="table" w:customStyle="1" w:styleId="Table">
    <w:name w:val="Table"/>
    <w:basedOn w:val="TableList3"/>
    <w:uiPriority w:val="99"/>
    <w:rsid w:val="00747F2C"/>
    <w:pPr>
      <w:spacing w:after="0" w:line="240" w:lineRule="auto"/>
    </w:pPr>
    <w:tbl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747F2C"/>
    <w:pPr>
      <w:spacing w:after="160" w:line="259" w:lineRule="auto"/>
    </w:pPr>
    <w:rPr>
      <w:rFonts w:eastAsiaTheme="minorEastAsia"/>
      <w:kern w:val="0"/>
      <w:lang w:val="en-US"/>
      <w14:ligatures w14:val="none"/>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paragraph" w:customStyle="1" w:styleId="SourceCode">
    <w:name w:val="Source Code"/>
    <w:rsid w:val="00747F2C"/>
    <w:pPr>
      <w:wordWrap w:val="0"/>
      <w:spacing w:after="160" w:line="259" w:lineRule="auto"/>
    </w:pPr>
    <w:rPr>
      <w:rFonts w:eastAsiaTheme="minorEastAsia"/>
      <w:kern w:val="0"/>
      <w:lang w:val="en-US"/>
      <w14:ligatures w14:val="none"/>
    </w:rPr>
  </w:style>
  <w:style w:type="character" w:customStyle="1" w:styleId="KeywordTok">
    <w:name w:val="KeywordTok"/>
    <w:rsid w:val="00747F2C"/>
    <w:rPr>
      <w:b/>
      <w:color w:val="007020"/>
    </w:rPr>
  </w:style>
  <w:style w:type="character" w:customStyle="1" w:styleId="DataTypeTok">
    <w:name w:val="DataTypeTok"/>
    <w:rsid w:val="00747F2C"/>
    <w:rPr>
      <w:color w:val="902000"/>
    </w:rPr>
  </w:style>
  <w:style w:type="character" w:customStyle="1" w:styleId="DecValTok">
    <w:name w:val="DecValTok"/>
    <w:rsid w:val="00747F2C"/>
    <w:rPr>
      <w:color w:val="40A070"/>
    </w:rPr>
  </w:style>
  <w:style w:type="character" w:customStyle="1" w:styleId="BaseNTok">
    <w:name w:val="BaseNTok"/>
    <w:rsid w:val="00747F2C"/>
    <w:rPr>
      <w:color w:val="40A070"/>
    </w:rPr>
  </w:style>
  <w:style w:type="character" w:customStyle="1" w:styleId="FloatTok">
    <w:name w:val="FloatTok"/>
    <w:rsid w:val="00747F2C"/>
    <w:rPr>
      <w:color w:val="40A070"/>
    </w:rPr>
  </w:style>
  <w:style w:type="character" w:customStyle="1" w:styleId="ConstantTok">
    <w:name w:val="ConstantTok"/>
    <w:rsid w:val="00747F2C"/>
    <w:rPr>
      <w:color w:val="880000"/>
    </w:rPr>
  </w:style>
  <w:style w:type="character" w:customStyle="1" w:styleId="CharTok">
    <w:name w:val="CharTok"/>
    <w:rsid w:val="00747F2C"/>
    <w:rPr>
      <w:color w:val="4070A0"/>
    </w:rPr>
  </w:style>
  <w:style w:type="character" w:customStyle="1" w:styleId="SpecialCharTok">
    <w:name w:val="SpecialCharTok"/>
    <w:rsid w:val="00747F2C"/>
    <w:rPr>
      <w:color w:val="4070A0"/>
    </w:rPr>
  </w:style>
  <w:style w:type="character" w:customStyle="1" w:styleId="StringTok">
    <w:name w:val="StringTok"/>
    <w:rsid w:val="00747F2C"/>
    <w:rPr>
      <w:color w:val="4070A0"/>
    </w:rPr>
  </w:style>
  <w:style w:type="character" w:customStyle="1" w:styleId="VerbatimStringTok">
    <w:name w:val="VerbatimStringTok"/>
    <w:rsid w:val="00747F2C"/>
    <w:rPr>
      <w:color w:val="4070A0"/>
    </w:rPr>
  </w:style>
  <w:style w:type="character" w:customStyle="1" w:styleId="SpecialStringTok">
    <w:name w:val="SpecialStringTok"/>
    <w:rsid w:val="00747F2C"/>
    <w:rPr>
      <w:color w:val="BB6688"/>
    </w:rPr>
  </w:style>
  <w:style w:type="character" w:customStyle="1" w:styleId="ImportTok">
    <w:name w:val="ImportTok"/>
    <w:rsid w:val="00747F2C"/>
    <w:rPr>
      <w:b/>
      <w:color w:val="008000"/>
    </w:rPr>
  </w:style>
  <w:style w:type="character" w:customStyle="1" w:styleId="CommentTok">
    <w:name w:val="CommentTok"/>
    <w:rsid w:val="00747F2C"/>
    <w:rPr>
      <w:i/>
      <w:color w:val="60A0B0"/>
    </w:rPr>
  </w:style>
  <w:style w:type="character" w:customStyle="1" w:styleId="DocumentationTok">
    <w:name w:val="DocumentationTok"/>
    <w:rsid w:val="00747F2C"/>
    <w:rPr>
      <w:i/>
      <w:color w:val="BA2121"/>
    </w:rPr>
  </w:style>
  <w:style w:type="character" w:customStyle="1" w:styleId="AnnotationTok">
    <w:name w:val="AnnotationTok"/>
    <w:rsid w:val="00747F2C"/>
    <w:rPr>
      <w:b/>
      <w:i/>
      <w:color w:val="60A0B0"/>
    </w:rPr>
  </w:style>
  <w:style w:type="character" w:customStyle="1" w:styleId="CommentVarTok">
    <w:name w:val="CommentVarTok"/>
    <w:rsid w:val="00747F2C"/>
    <w:rPr>
      <w:b/>
      <w:i/>
      <w:color w:val="60A0B0"/>
    </w:rPr>
  </w:style>
  <w:style w:type="character" w:customStyle="1" w:styleId="OtherTok">
    <w:name w:val="OtherTok"/>
    <w:rsid w:val="00747F2C"/>
    <w:rPr>
      <w:color w:val="007020"/>
    </w:rPr>
  </w:style>
  <w:style w:type="character" w:customStyle="1" w:styleId="FunctionTok">
    <w:name w:val="FunctionTok"/>
    <w:rsid w:val="00747F2C"/>
    <w:rPr>
      <w:color w:val="06287E"/>
    </w:rPr>
  </w:style>
  <w:style w:type="character" w:customStyle="1" w:styleId="VariableTok">
    <w:name w:val="VariableTok"/>
    <w:rsid w:val="00747F2C"/>
    <w:rPr>
      <w:color w:val="19177C"/>
    </w:rPr>
  </w:style>
  <w:style w:type="character" w:customStyle="1" w:styleId="ControlFlowTok">
    <w:name w:val="ControlFlowTok"/>
    <w:rsid w:val="00747F2C"/>
    <w:rPr>
      <w:b/>
      <w:color w:val="007020"/>
    </w:rPr>
  </w:style>
  <w:style w:type="character" w:customStyle="1" w:styleId="OperatorTok">
    <w:name w:val="OperatorTok"/>
    <w:rsid w:val="00747F2C"/>
    <w:rPr>
      <w:color w:val="666666"/>
    </w:rPr>
  </w:style>
  <w:style w:type="character" w:customStyle="1" w:styleId="BuiltInTok">
    <w:name w:val="BuiltInTok"/>
    <w:rsid w:val="00747F2C"/>
    <w:rPr>
      <w:color w:val="008000"/>
    </w:rPr>
  </w:style>
  <w:style w:type="character" w:customStyle="1" w:styleId="ExtensionTok">
    <w:name w:val="ExtensionTok"/>
    <w:rsid w:val="00747F2C"/>
  </w:style>
  <w:style w:type="character" w:customStyle="1" w:styleId="PreprocessorTok">
    <w:name w:val="PreprocessorTok"/>
    <w:rsid w:val="00747F2C"/>
    <w:rPr>
      <w:color w:val="BC7A00"/>
    </w:rPr>
  </w:style>
  <w:style w:type="character" w:customStyle="1" w:styleId="AttributeTok">
    <w:name w:val="AttributeTok"/>
    <w:rsid w:val="00747F2C"/>
    <w:rPr>
      <w:color w:val="7D9029"/>
    </w:rPr>
  </w:style>
  <w:style w:type="character" w:customStyle="1" w:styleId="RegionMarkerTok">
    <w:name w:val="RegionMarkerTok"/>
    <w:rsid w:val="00747F2C"/>
  </w:style>
  <w:style w:type="character" w:customStyle="1" w:styleId="InformationTok">
    <w:name w:val="InformationTok"/>
    <w:rsid w:val="00747F2C"/>
    <w:rPr>
      <w:b/>
      <w:i/>
      <w:color w:val="60A0B0"/>
    </w:rPr>
  </w:style>
  <w:style w:type="character" w:customStyle="1" w:styleId="WarningTok">
    <w:name w:val="WarningTok"/>
    <w:rsid w:val="00747F2C"/>
    <w:rPr>
      <w:b/>
      <w:i/>
      <w:color w:val="60A0B0"/>
    </w:rPr>
  </w:style>
  <w:style w:type="character" w:customStyle="1" w:styleId="AlertTok">
    <w:name w:val="AlertTok"/>
    <w:rsid w:val="00747F2C"/>
    <w:rPr>
      <w:b/>
      <w:color w:val="FF0000"/>
    </w:rPr>
  </w:style>
  <w:style w:type="character" w:customStyle="1" w:styleId="ErrorTok">
    <w:name w:val="ErrorTok"/>
    <w:rsid w:val="00747F2C"/>
    <w:rPr>
      <w:b/>
      <w:color w:val="FF0000"/>
    </w:rPr>
  </w:style>
  <w:style w:type="character" w:customStyle="1" w:styleId="NormalTok">
    <w:name w:val="NormalTok"/>
    <w:rsid w:val="00747F2C"/>
  </w:style>
  <w:style w:type="paragraph" w:styleId="NormalWeb">
    <w:name w:val="Normal (Web)"/>
    <w:basedOn w:val="Normal"/>
    <w:uiPriority w:val="99"/>
    <w:unhideWhenUsed/>
    <w:rsid w:val="001E403A"/>
    <w:pPr>
      <w:spacing w:before="100" w:beforeAutospacing="1" w:after="100" w:afterAutospacing="1"/>
      <w:jc w:val="left"/>
    </w:pPr>
    <w:rPr>
      <w:kern w:val="0"/>
      <w:lang w:eastAsia="en-IN"/>
      <w14:ligatures w14:val="none"/>
    </w:rPr>
  </w:style>
  <w:style w:type="character" w:customStyle="1" w:styleId="Rev">
    <w:name w:val="Rev"/>
  </w:style>
  <w:style w:type="paragraph" w:customStyle="1" w:styleId="Compact">
    <w:name w:val="Compact"/>
    <w:basedOn w:val="Normal"/>
    <w:qFormat/>
    <w:pPr>
      <w:spacing w:before="20" w:after="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75</TotalTime>
  <Pages>22</Pages>
  <Words>7485</Words>
  <Characters>42671</Characters>
  <Application>Microsoft Office Word</Application>
  <DocSecurity>0</DocSecurity>
  <Lines>355</Lines>
  <Paragraphs>100</Paragraphs>
  <ScaleCrop>false</ScaleCrop>
  <Company/>
  <LinksUpToDate>false</LinksUpToDate>
  <CharactersWithSpaces>50056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Hii</dc:creator>
  <cp:keywords/>
  <cp:lastModifiedBy>Hii</cp:lastModifiedBy>
  <cp:revision>3</cp:revision>
  <dcterms:created xsi:type="dcterms:W3CDTF">2026-09-19T15:25:00Z</dcterms:created>
  <dcterms:modified xsi:type="dcterms:W3CDTF">2026-09-19T16:38:00Z</dcterms:modified>
</cp:coreProperties>
</file>