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28"/>
          <w:szCs w:val="28"/>
        </w:rPr>
        <w:t xml:space="preserve">SUPPLEMENTARY COMPLAINT — ENCLOSURE LIST</w:t>
      </w:r>
    </w:p>
    <w:p>
      <w:pPr>
        <w:spacing w:after="120"/>
        <w:jc w:val="center"/>
      </w:pPr>
      <w:r>
        <w:rPr>
          <w:rFonts w:ascii="Arial" w:cs="Arial" w:eastAsia="Arial" w:hAnsi="Arial"/>
          <w:i/>
          <w:iCs/>
          <w:color w:val="555555"/>
          <w:sz w:val="20"/>
          <w:szCs w:val="20"/>
        </w:rPr>
        <w:t xml:space="preserve">CBI Mumbai  |  BOI Chief Vigilance Officer  |  RBI Department of Supervision</w:t>
      </w:r>
    </w:p>
    <w:p>
      <w:pPr>
        <w:spacing w:after="120"/>
        <w:jc w:val="center"/>
      </w:pPr>
      <w:r>
        <w:rPr>
          <w:rFonts w:ascii="Arial" w:cs="Arial" w:eastAsia="Arial" w:hAnsi="Arial"/>
          <w:i/>
          <w:iCs/>
          <w:color w:val="555555"/>
          <w:sz w:val="20"/>
          <w:szCs w:val="20"/>
        </w:rPr>
        <w:t xml:space="preserve">Submitted by: Neeraj Singh Mohnia — 25.08.2026</w:t>
      </w:r>
    </w:p>
    <w:p>
      <w:pPr>
        <w:spacing w:after="120"/>
        <w:jc w:val="center"/>
      </w:pPr>
      <w:r>
        <w:rPr>
          <w:rFonts w:ascii="Arial" w:cs="Arial" w:eastAsia="Arial" w:hAnsi="Arial"/>
          <w:i/>
          <w:iCs/>
          <w:color w:val="777777"/>
          <w:sz w:val="18"/>
          <w:szCs w:val="18"/>
        </w:rPr>
        <w:t xml:space="preserve">In continuation of original complaint (March 2026) and EOW Transfer Ref. 993/VPNI/AJUVI/Unit 7(Shares)/2026</w:t>
      </w:r>
    </w:p>
    <w:p>
      <w:pPr>
        <w:spacing w:after="60"/>
      </w:pPr>
    </w:p>
    <w:p>
      <w:pPr>
        <w:spacing w:after="120"/>
        <w:jc w:val="both"/>
      </w:pPr>
      <w:r>
        <w:rPr>
          <w:rFonts w:ascii="Arial" w:cs="Arial" w:eastAsia="Arial" w:hAnsi="Arial"/>
          <w:sz w:val="21"/>
          <w:szCs w:val="21"/>
        </w:rPr>
        <w:t xml:space="preserve">This enclosure list accompanies the three supplementary complaint letters submitted simultaneously to CBI Mumbai, BOI Chief Vigilance Officer, and RBI Department of Supervision on 25.08.2026. Documents are organized in two sections: Section A covers evidence submitted with the original March 2026 complaint (already in the possession of CBI following EOW transfer); Section B covers new evidence discovered and documented between March 2026 and August 2026. Section C shows the recipient-by-recipient breakdown for quick assembly.</w:t>
      </w:r>
    </w:p>
    <w:p>
      <w:pPr>
        <w:spacing w:after="40"/>
      </w:pPr>
    </w:p>
    <w:p>
      <w:pPr>
        <w:spacing w:after="120" w:before="220"/>
      </w:pPr>
      <w:r>
        <w:rPr>
          <w:rFonts w:ascii="Arial" w:cs="Arial" w:eastAsia="Arial" w:hAnsi="Arial"/>
          <w:b/>
          <w:bCs/>
          <w:color w:val="8B0000"/>
          <w:sz w:val="26"/>
          <w:szCs w:val="26"/>
          <w:u w:val="single"/>
        </w:rPr>
        <w:t xml:space="preserve">SECTION A — CORE FRAUD EVIDENCE (submitted with original complaint, March 2026)</w:t>
      </w:r>
    </w:p>
    <w:p>
      <w:pPr>
        <w:spacing w:after="120"/>
        <w:jc w:val="both"/>
      </w:pPr>
      <w:r>
        <w:rPr>
          <w:rFonts w:ascii="Arial" w:cs="Arial" w:eastAsia="Arial" w:hAnsi="Arial"/>
          <w:i/>
          <w:iCs/>
          <w:color w:val="555555"/>
          <w:sz w:val="21"/>
          <w:szCs w:val="21"/>
        </w:rPr>
        <w:t xml:space="preserve">Note: CBI Mumbai already holds these documents via EOW transfer (Ref. 993/VPNI/AJUVI/Unit 7(Shares)/2026 dated 08.05.2026). Copies are re-enclosed for BOI CVO and RBI, and for completeness of the CBI submission record.</w:t>
      </w:r>
    </w:p>
    <w:p>
      <w:pPr>
        <w:spacing w:after="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1200"/>
        <w:gridCol w:w="5500"/>
        <w:gridCol w:w="1100"/>
        <w:gridCol w:w="1100"/>
      </w:tblGrid>
      <w:tr>
        <w:trPr>
          <w:tblHeader/>
        </w:trPr>
        <w:tc>
          <w:tcPr>
            <w:tcW w:type="dxa" w:w="5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w:t>
            </w:r>
          </w:p>
        </w:tc>
        <w:tc>
          <w:tcPr>
            <w:tcW w:type="dxa" w:w="12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Ref.</w:t>
            </w:r>
          </w:p>
        </w:tc>
        <w:tc>
          <w:tcPr>
            <w:tcW w:type="dxa" w:w="55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Description</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Goes to</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Source</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200014613560 — BOI Nagpada — Rashmi Steels — Rs. 29.5 crore ceiling — NOT SATISFIED</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2</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E-2</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200003766496 — IOB Dandia Bazaar — Light &amp; Glaze — Rs. 5.78 crore — NOT SATISFIED for 13+ years</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3</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E-3</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200017457156 — BOI — Rs. 7.5 crore — 16-minute enhancement — NOT SATISFIED</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4</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E-4</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200015123404 — BOI — Rashmi International (Ravi Bohra) — Rs. 7 crore — NOT SATISFIED</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5</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E-5</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200013767289 — Ravi Bohra NPA/ARC transfer</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6</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C-1</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Property Card No. 2026352962 — Padra Mamlatdar — Govt of Gujarat digital signature — 17.03.2026</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Mahabhulekh Gujarat</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7</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C-2</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Haq Patrak — Nodh Nos. 483, 1549, 1507, 1190 — Padra Mamlatdar</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Mamlatdar office</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8</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D-1</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MCA Strike Off — Shri Maintainance Contract Pvt. Ltd. (CIN U99999GJ1992PTC017724) — Rs. 40 paid-up capital</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MCA portal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9</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F-1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BOI e-Auction Notice — Free Press Journal — 20.07.2020 — names all four guarantors</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Newspaper record</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10</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J-2</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Summary Table — Rs. 44 crore+ concentration — BOI Nagpada — all NOT SATISFIED</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Compiled from CERSAI</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J-3</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Layperson's Forensic Observation Report — 37 anomalies across 19 official Government records</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Compiled report</w:t>
            </w:r>
          </w:p>
        </w:tc>
      </w:tr>
    </w:tbl>
    <w:p>
      <w:pPr>
        <w:spacing w:after="40"/>
      </w:pPr>
    </w:p>
    <w:p>
      <w:pPr>
        <w:spacing w:after="120" w:before="220"/>
      </w:pPr>
      <w:r>
        <w:rPr>
          <w:rFonts w:ascii="Arial" w:cs="Arial" w:eastAsia="Arial" w:hAnsi="Arial"/>
          <w:b/>
          <w:bCs/>
          <w:color w:val="8B0000"/>
          <w:sz w:val="26"/>
          <w:szCs w:val="26"/>
          <w:u w:val="single"/>
        </w:rPr>
        <w:t xml:space="preserve">SECTION B — NEW EVIDENCE (March 2026 to August 2026)</w:t>
      </w:r>
    </w:p>
    <w:p>
      <w:pPr>
        <w:spacing w:after="120"/>
        <w:jc w:val="both"/>
      </w:pPr>
      <w:r>
        <w:rPr>
          <w:rFonts w:ascii="Arial" w:cs="Arial" w:eastAsia="Arial" w:hAnsi="Arial"/>
          <w:i/>
          <w:iCs/>
          <w:color w:val="555555"/>
          <w:sz w:val="21"/>
          <w:szCs w:val="21"/>
        </w:rPr>
        <w:t xml:space="preserve">All items below are submitted for the first time in this supplementary complaint. Each independently verifiable from the official source portal named.</w:t>
      </w:r>
    </w:p>
    <w:p>
      <w:pPr>
        <w:spacing w:after="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1200"/>
        <w:gridCol w:w="5500"/>
        <w:gridCol w:w="1100"/>
        <w:gridCol w:w="1100"/>
      </w:tblGrid>
      <w:tr>
        <w:trPr>
          <w:tblHeader/>
        </w:trPr>
        <w:tc>
          <w:tcPr>
            <w:tcW w:type="dxa" w:w="5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w:t>
            </w:r>
          </w:p>
        </w:tc>
        <w:tc>
          <w:tcPr>
            <w:tcW w:type="dxa" w:w="12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Ref.</w:t>
            </w:r>
          </w:p>
        </w:tc>
        <w:tc>
          <w:tcPr>
            <w:tcW w:type="dxa" w:w="55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Description</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Goes to</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Source</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12</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L-1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EOW Mumbai → CBI Transfer Letter — Ref. 993/VPNI/AJUVI/Unit 7(Shares)/2026 — 08.05.2026 — names Babulal Bohra, Ravi Bohra, and unnamed BOI officers as accused</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EOW Mumbai</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13</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M-3</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Form 23AC — Rashmi Metasteel Pvt. Ltd. (CIN U27310MH2011PTC213595) — FY 2012-13 — RoC Mumbai certified — signed by Ravi Babulal Bohra as Director on 05.09.2013 — zero fixed assets, zero income, negative reserves Rs. 22,75,814, 100% related-party borrowings Rs. 23,861,026 — 11 pages</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MCA portal / RoC</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14</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Form CHG-4 — Light and Glaze Profile Pvt. Ltd. (CIN U27203GJ2011PTC065583) — purported satisfaction of IOB charge — signed by director with DIN 02080079 — seven anomalies identified — certified copy</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MCA portal / RoC</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15</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N-2</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Asset ID 200028262710 — S.G. Preservatives Pvt. Ltd. / Bank of Baroda — Survey 885/886, Asoj Village — parallel void-mortgage methodology — ~700% valuation inflation</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16</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N-3</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CA Mandowara Raj Kumar — ICAI FCA 046468 — credential confirmation — professional certifier on the CHG-4</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ICAI portal</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17</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O-1</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200003766496 — fresh download 20.05.2026 — IOB charge STILL NOT SATISFIED — post-CHG-4 filing — two statutory registries contradicting each other</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CERSAI portal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18</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P-1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Bank of India Nagpada Branch email — 18.05.2026 — institutional refusal and internal referral admission</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BOI email</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19</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P-2</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Complainant's reply to BOI email — 19.05.2026</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Sent email</w:t>
            </w:r>
          </w:p>
        </w:tc>
      </w:tr>
      <w:tr>
        <w:tc>
          <w:tcPr>
            <w:tcW w:type="dxa" w:w="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20</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R-1</w:t>
            </w:r>
          </w:p>
        </w:tc>
        <w:tc>
          <w:tcPr>
            <w:tcW w:type="dxa" w:w="55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OA 123/2022 — Sanction Letter Exhibit A — BOI vs. Ravi Babulal Bohra — Cash Credit Rs. 6 crore — Nagpada Branch — 24.03.2017 — same branch and date as Babulal's loan — DRT-II certified copy</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 / BOI / RBI</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DRT-II Mumbai registry</w:t>
            </w:r>
          </w:p>
        </w:tc>
      </w:tr>
      <w:tr>
        <w:tc>
          <w:tcPr>
            <w:tcW w:type="dxa" w:w="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21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T-1</w:t>
            </w:r>
          </w:p>
        </w:tc>
        <w:tc>
          <w:tcPr>
            <w:tcW w:type="dxa" w:w="55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Mahabhulekh 7/12 Satbara — Survey 138/139, Devrukh, Sangameshwar, Ratnagiri — neither Ravi Bohra nor Rashmi International appears as Khatedar — mirror of Padra pattern</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CBI</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Maharashtra govt portal</w:t>
            </w:r>
          </w:p>
        </w:tc>
      </w:tr>
    </w:tbl>
    <w:p>
      <w:pPr>
        <w:spacing w:after="40"/>
      </w:pPr>
    </w:p>
    <w:p>
      <w:pPr>
        <w:spacing w:after="120" w:before="220"/>
      </w:pPr>
      <w:r>
        <w:rPr>
          <w:rFonts w:ascii="Arial" w:cs="Arial" w:eastAsia="Arial" w:hAnsi="Arial"/>
          <w:b/>
          <w:bCs/>
          <w:color w:val="8B0000"/>
          <w:sz w:val="26"/>
          <w:szCs w:val="26"/>
          <w:u w:val="single"/>
        </w:rPr>
        <w:t xml:space="preserve">SECTION C — RECIPIENT SUMMARY TABLE</w:t>
      </w:r>
    </w:p>
    <w:p>
      <w:pPr>
        <w:spacing w:after="120"/>
        <w:jc w:val="both"/>
      </w:pPr>
      <w:r>
        <w:rPr>
          <w:rFonts w:ascii="Arial" w:cs="Arial" w:eastAsia="Arial" w:hAnsi="Arial"/>
          <w:i/>
          <w:iCs/>
          <w:color w:val="555555"/>
          <w:sz w:val="21"/>
          <w:szCs w:val="21"/>
        </w:rPr>
        <w:t xml:space="preserve">✅ = enclose with that recipient's submission   |   — = not required for that recipient</w:t>
      </w:r>
    </w:p>
    <w:p>
      <w:pPr>
        <w:spacing w:after="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1200"/>
        <w:gridCol w:w="1100"/>
        <w:gridCol w:w="1100"/>
      </w:tblGrid>
      <w:tr>
        <w:trPr>
          <w:tblHeader/>
        </w:trPr>
        <w:tc>
          <w:tcPr>
            <w:tcW w:type="dxa" w:w="44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Exhibit / Document</w:t>
            </w:r>
          </w:p>
        </w:tc>
        <w:tc>
          <w:tcPr>
            <w:tcW w:type="dxa" w:w="16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Total pages</w:t>
            </w:r>
          </w:p>
        </w:tc>
        <w:tc>
          <w:tcPr>
            <w:tcW w:type="dxa" w:w="12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CBI</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BOI CVO</w:t>
            </w:r>
          </w:p>
        </w:tc>
        <w:tc>
          <w:tcPr>
            <w:tcW w:type="dxa" w:w="1100"/>
            <w:tcBorders>
              <w:top w:val="single" w:color="000000" w:sz="4"/>
              <w:left w:val="single" w:color="000000" w:sz="4"/>
              <w:bottom w:val="single" w:color="000000" w:sz="4"/>
              <w:right w:val="single" w:color="000000" w:sz="4"/>
            </w:tcBorders>
            <w:shd w:fill="1F1F1F" w:color="auto" w:val="clear"/>
            <w:tcMar>
              <w:top w:type="dxa" w:w="80"/>
              <w:left w:type="dxa" w:w="100"/>
              <w:bottom w:type="dxa" w:w="80"/>
              <w:right w:type="dxa" w:w="100"/>
            </w:tcMar>
          </w:tcPr>
          <w:p>
            <w:r>
              <w:rPr>
                <w:rFonts w:ascii="Arial" w:cs="Arial" w:eastAsia="Arial" w:hAnsi="Arial"/>
                <w:b/>
                <w:bCs/>
                <w:color w:val="FFFFFF"/>
                <w:sz w:val="18"/>
                <w:szCs w:val="18"/>
              </w:rPr>
              <w:t xml:space="preserve">RBI</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E-1 to E-5 — CERSAI reports (all five)</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~5</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C-1 — Property Card, Padra Mamlatdar</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C-2 — Haq Patrak (4 entries)</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~4</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D-1 — MCA Strike Off, Shri Maintainance Contract</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F-1 — BOI e-Auction Notice</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J-2 — CERSAI Summary Table</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J-3 — Layperson's Forensic Observation Report</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~15</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L-1 — EOW→CBI Transfer Letter</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M-3 — Form 23AC, Rashmi Metasteel (11 pages)</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N-1 — Form CHG-4, Light and Glaze</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~5</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N-2 — CERSAI S.G. Preservatives / Bank of Baroda</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N-3 — CA Mandowara ICAI credential</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O-1 — CERSAI fresh download 20.05.2026</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1</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P-1, P-2 — BOI emails (2 pages)</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2</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R-1 — OA 123/2022 Sanction Letter certified copy</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~3</w:t>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T-1 — Mahabhulekh 7/12, Ratnagiri</w:t>
            </w:r>
          </w:p>
        </w:tc>
        <w:tc>
          <w:tcPr>
            <w:tcW w:type="dxa" w:w="16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~3</w:t>
            </w:r>
          </w:p>
        </w:tc>
        <w:tc>
          <w:tcPr>
            <w:tcW w:type="dxa" w:w="12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c>
          <w:tcPr>
            <w:tcW w:type="dxa" w:w="1100"/>
            <w:tcBorders>
              <w:top w:val="single" w:color="000000" w:sz="4"/>
              <w:left w:val="single" w:color="000000" w:sz="4"/>
              <w:bottom w:val="single" w:color="000000" w:sz="4"/>
              <w:right w:val="single" w:color="000000" w:sz="4"/>
            </w:tcBorders>
            <w:shd w:fill="F2F2F2"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w:t>
            </w:r>
          </w:p>
        </w:tc>
      </w:tr>
      <w:tr>
        <w:tc>
          <w:tcPr>
            <w:tcW w:type="dxa" w:w="44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APPROX. TOTAL PAGES PER RECIPIENT</w:t>
            </w:r>
          </w:p>
        </w:tc>
        <w:tc>
          <w:tcPr>
            <w:tcW w:type="dxa" w:w="16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
            </w:r>
          </w:p>
        </w:tc>
        <w:tc>
          <w:tcPr>
            <w:tcW w:type="dxa" w:w="12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~57</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~43</w:t>
            </w:r>
          </w:p>
        </w:tc>
        <w:tc>
          <w:tcPr>
            <w:tcW w:type="dxa" w:w="1100"/>
            <w:tcBorders>
              <w:top w:val="single" w:color="000000" w:sz="4"/>
              <w:left w:val="single" w:color="000000" w:sz="4"/>
              <w:bottom w:val="single" w:color="000000" w:sz="4"/>
              <w:right w:val="single" w:color="000000" w:sz="4"/>
            </w:tcBorders>
            <w:shd w:fill="FFFFFF" w:color="auto" w:val="clear"/>
            <w:tcMar>
              <w:top w:type="dxa" w:w="80"/>
              <w:left w:type="dxa" w:w="100"/>
              <w:bottom w:type="dxa" w:w="80"/>
              <w:right w:type="dxa" w:w="100"/>
            </w:tcMar>
          </w:tcPr>
          <w:p>
            <w:r>
              <w:rPr>
                <w:rFonts w:ascii="Arial" w:cs="Arial" w:eastAsia="Arial" w:hAnsi="Arial"/>
                <w:b w:val="false"/>
                <w:bCs w:val="false"/>
                <w:color w:val="000000"/>
                <w:sz w:val="18"/>
                <w:szCs w:val="18"/>
              </w:rPr>
              <w:t xml:space="preserve">~35</w:t>
            </w:r>
          </w:p>
        </w:tc>
      </w:tr>
    </w:tbl>
    <w:p>
      <w:pPr>
        <w:spacing w:after="60"/>
      </w:pPr>
    </w:p>
    <w:p>
      <w:pPr>
        <w:spacing w:after="120" w:before="220"/>
      </w:pPr>
      <w:r>
        <w:rPr>
          <w:rFonts w:ascii="Arial" w:cs="Arial" w:eastAsia="Arial" w:hAnsi="Arial"/>
          <w:b/>
          <w:bCs/>
          <w:color w:val="8B0000"/>
          <w:sz w:val="26"/>
          <w:szCs w:val="26"/>
          <w:u w:val="single"/>
        </w:rPr>
        <w:t xml:space="preserve">KEY PINPOINTED FACTS — QUICK REFERENCE FOR INVESTIGATING OFFICER</w:t>
      </w:r>
    </w:p>
    <w:p>
      <w:pPr>
        <w:spacing w:after="120"/>
        <w:jc w:val="both"/>
      </w:pPr>
      <w:r>
        <w:rPr>
          <w:rFonts w:ascii="Arial" w:cs="Arial" w:eastAsia="Arial" w:hAnsi="Arial"/>
          <w:b/>
          <w:bCs/>
          <w:color w:val="8B0000"/>
          <w:sz w:val="21"/>
          <w:szCs w:val="21"/>
        </w:rPr>
        <w:t xml:space="preserve">Fact 1 — Same branch, same date, father and son:</w:t>
      </w:r>
    </w:p>
    <w:p>
      <w:pPr>
        <w:spacing w:after="120"/>
        <w:jc w:val="both"/>
      </w:pPr>
      <w:r>
        <w:rPr>
          <w:rFonts w:ascii="Arial" w:cs="Arial" w:eastAsia="Arial" w:hAnsi="Arial"/>
          <w:sz w:val="21"/>
          <w:szCs w:val="21"/>
        </w:rPr>
        <w:t xml:space="preserve">Bank of India, Nagpada Branch sanctioned Rs. 5 crore to Babulal Ganeshmal Bohra (Rashmi Steels) AND Rs. 6 crore to Ravi Babulal Bohra (Rashmi International) on the SAME DATE — 24.03.2017. Combined exposure: Rs. 11 crore from one branch on one day to a connected family group. Large Exposure Framework aggregation was required; it was not applied.</w:t>
      </w:r>
    </w:p>
    <w:p>
      <w:pPr>
        <w:spacing w:after="20"/>
      </w:pPr>
    </w:p>
    <w:p>
      <w:pPr>
        <w:spacing w:after="120"/>
        <w:jc w:val="both"/>
      </w:pPr>
      <w:r>
        <w:rPr>
          <w:rFonts w:ascii="Arial" w:cs="Arial" w:eastAsia="Arial" w:hAnsi="Arial"/>
          <w:b/>
          <w:bCs/>
          <w:color w:val="8B0000"/>
          <w:sz w:val="21"/>
          <w:szCs w:val="21"/>
        </w:rPr>
        <w:t xml:space="preserve">Fact 2 — 16 minutes:</w:t>
      </w:r>
    </w:p>
    <w:p>
      <w:pPr>
        <w:spacing w:after="120"/>
        <w:jc w:val="both"/>
      </w:pPr>
      <w:r>
        <w:rPr>
          <w:rFonts w:ascii="Arial" w:cs="Arial" w:eastAsia="Arial" w:hAnsi="Arial"/>
          <w:sz w:val="21"/>
          <w:szCs w:val="21"/>
        </w:rPr>
        <w:t xml:space="preserve">The Cash Credit limit for Rashmi Steels was enhanced from Rs. 5 crore to Rs. 7.5 crore on 14.11.2017. The CBS Statement (Exhibit U — on DRT record) shows this was processed within 16 minutes. No commercially prudent credit appraisal can be completed in 16 minutes.</w:t>
      </w:r>
    </w:p>
    <w:p>
      <w:pPr>
        <w:spacing w:after="20"/>
      </w:pPr>
    </w:p>
    <w:p>
      <w:pPr>
        <w:spacing w:after="120"/>
        <w:jc w:val="both"/>
      </w:pPr>
      <w:r>
        <w:rPr>
          <w:rFonts w:ascii="Arial" w:cs="Arial" w:eastAsia="Arial" w:hAnsi="Arial"/>
          <w:b/>
          <w:bCs/>
          <w:color w:val="8B0000"/>
          <w:sz w:val="21"/>
          <w:szCs w:val="21"/>
        </w:rPr>
        <w:t xml:space="preserve">Fact 3 — Post-default enhancement:</w:t>
      </w:r>
    </w:p>
    <w:p>
      <w:pPr>
        <w:spacing w:after="120"/>
        <w:jc w:val="both"/>
      </w:pPr>
      <w:r>
        <w:rPr>
          <w:rFonts w:ascii="Arial" w:cs="Arial" w:eastAsia="Arial" w:hAnsi="Arial"/>
          <w:sz w:val="21"/>
          <w:szCs w:val="21"/>
        </w:rPr>
        <w:t xml:space="preserve">A further enhancement of Rs. 1 crore was processed for Rashmi Steels in January 2019 — after the account had already been declared NPA. Enhancing a credit limit after NPA declaration is a regulatory violation.</w:t>
      </w:r>
    </w:p>
    <w:p>
      <w:pPr>
        <w:spacing w:after="20"/>
      </w:pPr>
    </w:p>
    <w:p>
      <w:pPr>
        <w:spacing w:after="120"/>
        <w:jc w:val="both"/>
      </w:pPr>
      <w:r>
        <w:rPr>
          <w:rFonts w:ascii="Arial" w:cs="Arial" w:eastAsia="Arial" w:hAnsi="Arial"/>
          <w:b/>
          <w:bCs/>
          <w:color w:val="8B0000"/>
          <w:sz w:val="21"/>
          <w:szCs w:val="21"/>
        </w:rPr>
        <w:t xml:space="preserve">Fact 4 — Two official registries contradicting each other:</w:t>
      </w:r>
    </w:p>
    <w:p>
      <w:pPr>
        <w:spacing w:after="120"/>
        <w:jc w:val="both"/>
      </w:pPr>
      <w:r>
        <w:rPr>
          <w:rFonts w:ascii="Arial" w:cs="Arial" w:eastAsia="Arial" w:hAnsi="Arial"/>
          <w:sz w:val="21"/>
          <w:szCs w:val="21"/>
        </w:rPr>
        <w:t xml:space="preserve">MCA Index of Charges records the IOB charge (Charge ID 10350710, SRN C68405455) as satisfied on 19.10.2015. CERSAI — maintained under a separate statute for this exact purpose — continues to record the SAME charge as NOT SATISFIED as of 20.05.2026. Both are official Government registries. No interpretation is required — the contradiction speaks for itself.</w:t>
      </w:r>
    </w:p>
    <w:p>
      <w:pPr>
        <w:spacing w:after="20"/>
      </w:pPr>
    </w:p>
    <w:p>
      <w:pPr>
        <w:spacing w:after="120"/>
        <w:jc w:val="both"/>
      </w:pPr>
      <w:r>
        <w:rPr>
          <w:rFonts w:ascii="Arial" w:cs="Arial" w:eastAsia="Arial" w:hAnsi="Arial"/>
          <w:b/>
          <w:bCs/>
          <w:color w:val="8B0000"/>
          <w:sz w:val="21"/>
          <w:szCs w:val="21"/>
        </w:rPr>
        <w:t xml:space="preserve">Fact 5 — Rashmi Metasteel balance sheet (RoC certified, signed by Ravi Bohra):</w:t>
      </w:r>
    </w:p>
    <w:p>
      <w:pPr>
        <w:spacing w:after="120"/>
        <w:jc w:val="both"/>
      </w:pPr>
      <w:r>
        <w:rPr>
          <w:rFonts w:ascii="Arial" w:cs="Arial" w:eastAsia="Arial" w:hAnsi="Arial"/>
          <w:sz w:val="21"/>
          <w:szCs w:val="21"/>
        </w:rPr>
        <w:t xml:space="preserve">Form 23AC, FY 2012-13: zero tangible fixed assets, zero income, accumulated losses Rs. 22,75,814, 100% of borrowings (Rs. 23,861,026) from related parties. This balance sheet was publicly available on MCA portal in 2017 when BOI sanctioned Rs. 6 crore to Ravi Bohra's connected entity. A connected-entity due diligence check, mandated by RBI Master Circular, would have surfaced it.</w:t>
      </w:r>
    </w:p>
    <w:p>
      <w:pPr>
        <w:spacing w:after="20"/>
      </w:pPr>
    </w:p>
    <w:p>
      <w:pPr>
        <w:spacing w:after="120"/>
        <w:jc w:val="both"/>
      </w:pPr>
      <w:r>
        <w:rPr>
          <w:rFonts w:ascii="Arial" w:cs="Arial" w:eastAsia="Arial" w:hAnsi="Arial"/>
          <w:b/>
          <w:bCs/>
          <w:color w:val="8B0000"/>
          <w:sz w:val="21"/>
          <w:szCs w:val="21"/>
        </w:rPr>
        <w:t xml:space="preserve">Fact 6 — Government revenue land — incapable of valid mortgage:</w:t>
      </w:r>
    </w:p>
    <w:p>
      <w:pPr>
        <w:spacing w:after="120"/>
        <w:jc w:val="both"/>
      </w:pPr>
      <w:r>
        <w:rPr>
          <w:rFonts w:ascii="Arial" w:cs="Arial" w:eastAsia="Arial" w:hAnsi="Arial"/>
          <w:sz w:val="21"/>
          <w:szCs w:val="21"/>
        </w:rPr>
        <w:t xml:space="preserve">R.S. No. 124, Padra (offered as primary security to BOI) is Government revenue land under Section 68 of the Gujarat Land Revenue Code — incapable of being privately owned or mortgaged. The Padra Mamlatdar's own records (Property Card, 4 Haq Patrak entries, Occupancy Register, 7/12 Utara) confirm this across 37 independent anomalies. The property carries an official digital signature and QR code — verifiable in real time on the Gujarat Government revenue portal.</w:t>
      </w:r>
    </w:p>
    <w:p>
      <w:pPr>
        <w:spacing w:after="20"/>
      </w:pPr>
    </w:p>
    <w:p>
      <w:pPr>
        <w:spacing w:after="120"/>
        <w:jc w:val="both"/>
      </w:pPr>
      <w:r>
        <w:rPr>
          <w:rFonts w:ascii="Arial" w:cs="Arial" w:eastAsia="Arial" w:hAnsi="Arial"/>
          <w:b/>
          <w:bCs/>
          <w:color w:val="8B0000"/>
          <w:sz w:val="21"/>
          <w:szCs w:val="21"/>
        </w:rPr>
        <w:t xml:space="preserve">Fact 7 — Total documented fraud quantum:</w:t>
      </w:r>
    </w:p>
    <w:p>
      <w:pPr>
        <w:spacing w:after="120"/>
        <w:jc w:val="both"/>
      </w:pPr>
      <w:r>
        <w:rPr>
          <w:rFonts w:ascii="Arial" w:cs="Arial" w:eastAsia="Arial" w:hAnsi="Arial"/>
          <w:sz w:val="21"/>
          <w:szCs w:val="21"/>
        </w:rPr>
        <w:t xml:space="preserve">Approximately Rs. 76.87 crore across three public sector banks — Bank of India (Rs. 44+ crore), Indian Overseas Bank (Rs. 5.78 crore), Bank of Baroda (Rs. 26+ crore via S.G. Preservatives) — secured in each instance against land or entities incapable of sustaining valid security. Same methodology, three different banks.</w:t>
      </w:r>
    </w:p>
    <w:p>
      <w:pPr>
        <w:spacing w:after="80"/>
      </w:pPr>
    </w:p>
    <w:p>
      <w:pPr>
        <w:spacing w:after="120"/>
        <w:jc w:val="both"/>
      </w:pPr>
      <w:r>
        <w:rPr>
          <w:rFonts w:ascii="Arial" w:cs="Arial" w:eastAsia="Arial" w:hAnsi="Arial"/>
          <w:sz w:val="21"/>
          <w:szCs w:val="21"/>
        </w:rPr>
        <w:t xml:space="preserve">Place: Mumbai                                    Date: 25.08.2026</w:t>
      </w:r>
    </w:p>
    <w:p>
      <w:pPr>
        <w:spacing w:after="200"/>
      </w:pPr>
    </w:p>
    <w:p>
      <w:pPr>
        <w:spacing w:after="120"/>
        <w:jc w:val="both"/>
      </w:pPr>
      <w:r>
        <w:rPr>
          <w:rFonts w:ascii="Arial" w:cs="Arial" w:eastAsia="Arial" w:hAnsi="Arial"/>
          <w:sz w:val="21"/>
          <w:szCs w:val="21"/>
        </w:rPr>
        <w:t xml:space="preserve">Neeraj Singh Mohnia</w:t>
      </w:r>
    </w:p>
    <w:p>
      <w:pPr>
        <w:spacing w:after="120"/>
        <w:jc w:val="both"/>
      </w:pPr>
      <w:r>
        <w:rPr>
          <w:rFonts w:ascii="Arial" w:cs="Arial" w:eastAsia="Arial" w:hAnsi="Arial"/>
          <w:sz w:val="21"/>
          <w:szCs w:val="21"/>
        </w:rPr>
        <w:t xml:space="preserve">Complainant / Decree Holder</w:t>
      </w:r>
    </w:p>
    <w:p>
      <w:pPr>
        <w:spacing w:after="120"/>
        <w:jc w:val="both"/>
      </w:pPr>
      <w:r>
        <w:rPr>
          <w:rFonts w:ascii="Arial" w:cs="Arial" w:eastAsia="Arial" w:hAnsi="Arial"/>
          <w:sz w:val="21"/>
          <w:szCs w:val="21"/>
        </w:rPr>
        <w:t xml:space="preserve">A-503, Marathon Eminence, Dadasaheb Gaikwad Marg, Mulund West, Mumbai – 400 080</w:t>
      </w:r>
    </w:p>
    <w:p>
      <w:pPr>
        <w:spacing w:after="120"/>
        <w:jc w:val="both"/>
      </w:pPr>
      <w:r>
        <w:rPr>
          <w:rFonts w:ascii="Arial" w:cs="Arial" w:eastAsia="Arial" w:hAnsi="Arial"/>
          <w:sz w:val="21"/>
          <w:szCs w:val="21"/>
        </w:rPr>
        <w:t xml:space="preserve">Mobile: 9323722122 | Email: adarshimpexent@gmail.com</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88888" w:sz="4"/>
      </w:pBdr>
      <w:jc w:val="right"/>
    </w:pPr>
    <w:r>
      <w:rPr>
        <w:color w:val="555555"/>
        <w:sz w:val="16"/>
        <w:szCs w:val="16"/>
      </w:rPr>
      <w:t xml:space="preserve">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pBdr>
      <w:jc w:val="center"/>
    </w:pPr>
    <w:r>
      <w:rPr>
        <w:rFonts w:ascii="Arial" w:cs="Arial" w:eastAsia="Arial" w:hAnsi="Arial"/>
        <w:color w:val="666666"/>
        <w:sz w:val="15"/>
        <w:szCs w:val="15"/>
      </w:rPr>
      <w:t xml:space="preserve">SUPPLEMENTARY COMPLAINT — ENCLOSURE LIST | CBI / BOI CVO / RBI | 25.08.2026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2026-08-19T16:23:59.998Z</dcterms:created>
  <dcterms:modified xsi:type="dcterms:W3CDTF">2026-08-19T16:23:59.998Z</dcterms:modified>
</cp:coreProperties>
</file>

<file path=docProps/custom.xml><?xml version="1.0" encoding="utf-8"?>
<Properties xmlns="http://schemas.openxmlformats.org/officeDocument/2006/custom-properties" xmlns:vt="http://schemas.openxmlformats.org/officeDocument/2006/docPropsVTypes"/>
</file>