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DOCUMENT OBSERVATION AND ANOMALY REPORT</w:t>
      </w:r>
    </w:p>
    <w:p>
      <w:pPr>
        <w:spacing w:after="260"/>
        <w:jc w:val="center"/>
      </w:pPr>
      <w:r>
        <w:rPr>
          <w:rFonts w:ascii="Arial" w:cs="Arial" w:eastAsia="Arial" w:hAnsi="Arial"/>
          <w:b/>
          <w:bCs/>
          <w:color w:val="8B0000"/>
          <w:sz w:val="21"/>
          <w:szCs w:val="21"/>
        </w:rPr>
        <w:t xml:space="preserve">FINAL VERSION — INCORPORATING PADRA MAMLATDAR DOCUMENTS</w:t>
      </w:r>
    </w:p>
    <w:p>
      <w:pPr>
        <w:spacing w:after="160" w:line="300"/>
        <w:jc w:val="left"/>
      </w:pPr>
      <w:r>
        <w:rPr>
          <w:rFonts w:ascii="Arial" w:cs="Arial" w:eastAsia="Arial" w:hAnsi="Arial"/>
          <w:b/>
          <w:bCs/>
          <w:color w:val="1F1F1F"/>
          <w:sz w:val="21"/>
          <w:szCs w:val="21"/>
        </w:rPr>
        <w:t xml:space="preserve">Prepared by: </w:t>
      </w:r>
      <w:r>
        <w:rPr>
          <w:rFonts w:ascii="Arial" w:cs="Arial" w:eastAsia="Arial" w:hAnsi="Arial"/>
          <w:color w:val="1F1F1F"/>
          <w:sz w:val="21"/>
          <w:szCs w:val="21"/>
        </w:rPr>
        <w:t xml:space="preserve">Neeraj Singh Mohnia  </w:t>
      </w:r>
      <w:r>
        <w:rPr>
          <w:rFonts w:ascii="Arial" w:cs="Arial" w:eastAsia="Arial" w:hAnsi="Arial"/>
          <w:b/>
          <w:bCs/>
          <w:color w:val="1F1F1F"/>
          <w:sz w:val="21"/>
          <w:szCs w:val="21"/>
        </w:rPr>
        <w:t xml:space="preserve">Capacity: </w:t>
      </w:r>
      <w:r>
        <w:rPr>
          <w:rFonts w:ascii="Arial" w:cs="Arial" w:eastAsia="Arial" w:hAnsi="Arial"/>
          <w:color w:val="1F1F1F"/>
          <w:sz w:val="21"/>
          <w:szCs w:val="21"/>
        </w:rPr>
        <w:t xml:space="preserve">Decree Holder — Summary Suit No. 1352 of 2017, Bombay City Civil Court, Mumbai; Intervener — OA No. 122/2022, Debt Recovery Tribunal — 2, Mumbai</w:t>
      </w:r>
    </w:p>
    <w:p>
      <w:pPr>
        <w:spacing w:after="160" w:line="300"/>
        <w:jc w:val="left"/>
      </w:pPr>
      <w:r>
        <w:rPr>
          <w:rFonts w:ascii="Arial" w:cs="Arial" w:eastAsia="Arial" w:hAnsi="Arial"/>
          <w:b/>
          <w:bCs/>
          <w:color w:val="1F1F1F"/>
          <w:sz w:val="21"/>
          <w:szCs w:val="21"/>
        </w:rPr>
        <w:t xml:space="preserve">Address for service: </w:t>
      </w:r>
      <w:r>
        <w:rPr>
          <w:rFonts w:ascii="Arial" w:cs="Arial" w:eastAsia="Arial" w:hAnsi="Arial"/>
          <w:color w:val="1F1F1F"/>
          <w:sz w:val="21"/>
          <w:szCs w:val="21"/>
        </w:rPr>
        <w:t xml:space="preserve">A-503, Marathon Eminence, Dadasaheb Gaikwad Marg, Mulund West, Mumbai — 400 080</w:t>
      </w:r>
    </w:p>
    <w:p>
      <w:pPr>
        <w:spacing w:after="160" w:line="300"/>
        <w:jc w:val="left"/>
      </w:pPr>
      <w:r>
        <w:rPr>
          <w:rFonts w:ascii="Arial" w:cs="Arial" w:eastAsia="Arial" w:hAnsi="Arial"/>
          <w:b/>
          <w:bCs/>
          <w:color w:val="1F1F1F"/>
          <w:sz w:val="21"/>
          <w:szCs w:val="21"/>
        </w:rPr>
        <w:t xml:space="preserve">Mobile: </w:t>
      </w:r>
      <w:r>
        <w:rPr>
          <w:rFonts w:ascii="Arial" w:cs="Arial" w:eastAsia="Arial" w:hAnsi="Arial"/>
          <w:color w:val="1F1F1F"/>
          <w:sz w:val="21"/>
          <w:szCs w:val="21"/>
        </w:rPr>
        <w:t xml:space="preserve">9323722122  </w:t>
      </w:r>
      <w:r>
        <w:rPr>
          <w:rFonts w:ascii="Arial" w:cs="Arial" w:eastAsia="Arial" w:hAnsi="Arial"/>
          <w:b/>
          <w:bCs/>
          <w:color w:val="1F1F1F"/>
          <w:sz w:val="21"/>
          <w:szCs w:val="21"/>
        </w:rPr>
        <w:t xml:space="preserve">Email: </w:t>
      </w:r>
      <w:r>
        <w:rPr>
          <w:rFonts w:ascii="Arial" w:cs="Arial" w:eastAsia="Arial" w:hAnsi="Arial"/>
          <w:color w:val="1F1F1F"/>
          <w:sz w:val="21"/>
          <w:szCs w:val="21"/>
        </w:rPr>
        <w:t xml:space="preserve">adarshimpexent@gmail.com</w:t>
      </w:r>
    </w:p>
    <w:p>
      <w:pPr>
        <w:spacing w:after="160" w:line="300"/>
        <w:jc w:val="left"/>
      </w:pPr>
      <w:r>
        <w:rPr>
          <w:rFonts w:ascii="Arial" w:cs="Arial" w:eastAsia="Arial" w:hAnsi="Arial"/>
          <w:b/>
          <w:bCs/>
          <w:color w:val="1F1F1F"/>
          <w:sz w:val="21"/>
          <w:szCs w:val="21"/>
        </w:rPr>
        <w:t xml:space="preserve">Date of preparation: </w:t>
      </w:r>
      <w:r>
        <w:rPr>
          <w:rFonts w:ascii="Arial" w:cs="Arial" w:eastAsia="Arial" w:hAnsi="Arial"/>
          <w:color w:val="1F1F1F"/>
          <w:sz w:val="21"/>
          <w:szCs w:val="21"/>
        </w:rPr>
        <w:t xml:space="preserve">24th March 2026  </w:t>
      </w:r>
      <w:r>
        <w:rPr>
          <w:rFonts w:ascii="Arial" w:cs="Arial" w:eastAsia="Arial" w:hAnsi="Arial"/>
          <w:b/>
          <w:bCs/>
          <w:color w:val="1F1F1F"/>
          <w:sz w:val="21"/>
          <w:szCs w:val="21"/>
        </w:rPr>
        <w:t xml:space="preserve">Modification: </w:t>
      </w:r>
      <w:r>
        <w:rPr>
          <w:rFonts w:ascii="Arial" w:cs="Arial" w:eastAsia="Arial" w:hAnsi="Arial"/>
          <w:color w:val="1F1F1F"/>
          <w:sz w:val="21"/>
          <w:szCs w:val="21"/>
        </w:rPr>
        <w:t xml:space="preserve">24th April 2026</w:t>
      </w:r>
    </w:p>
    <w:p>
      <w:pPr>
        <w:spacing w:after="160" w:line="300"/>
        <w:jc w:val="both"/>
      </w:pPr>
      <w:r>
        <w:rPr>
          <w:rFonts w:ascii="Arial" w:cs="Arial" w:eastAsia="Arial" w:hAnsi="Arial"/>
          <w:b/>
          <w:bCs/>
          <w:color w:val="1F1F1F"/>
          <w:sz w:val="21"/>
          <w:szCs w:val="21"/>
        </w:rPr>
        <w:t xml:space="preserve">Purpose: </w:t>
      </w:r>
      <w:r>
        <w:rPr>
          <w:rFonts w:ascii="Arial" w:cs="Arial" w:eastAsia="Arial" w:hAnsi="Arial"/>
          <w:color w:val="1F1F1F"/>
          <w:sz w:val="21"/>
          <w:szCs w:val="21"/>
        </w:rPr>
        <w:t xml:space="preserve">To record observations on documents procured from official public sources for submission to either one or all of the following investigating authorities — Vadodara Civil Court, Debt Recovery Tribunal Mumbai, EOW Mumbai, CBI Bank Securities and Fraud Cell, RBI Department of Supervision, Chief Vigilance Officer Bank of India, Enforcement Directorate Mumbai, and Central Vigilance Commission.</w:t>
      </w:r>
    </w:p>
    <w:p>
      <w:pPr>
        <w:pBdr>
          <w:bottom w:val="single" w:color="1F3864" w:sz="6"/>
        </w:pBdr>
        <w:spacing w:after="160" w:before="300"/>
      </w:pPr>
      <w:r>
        <w:rPr>
          <w:rFonts w:ascii="Arial" w:cs="Arial" w:eastAsia="Arial" w:hAnsi="Arial"/>
          <w:b/>
          <w:bCs/>
          <w:color w:val="8B0000"/>
          <w:sz w:val="26"/>
          <w:szCs w:val="26"/>
        </w:rPr>
        <w:t xml:space="preserve">DECLARATION BY THE AUTHOR</w:t>
      </w:r>
    </w:p>
    <w:p>
      <w:pPr>
        <w:spacing w:after="160" w:line="300"/>
        <w:jc w:val="both"/>
      </w:pPr>
      <w:r>
        <w:rPr>
          <w:rFonts w:ascii="Arial" w:cs="Arial" w:eastAsia="Arial" w:hAnsi="Arial"/>
          <w:color w:val="1F1F1F"/>
          <w:sz w:val="21"/>
          <w:szCs w:val="21"/>
        </w:rPr>
        <w:t xml:space="preserve">I, Neeraj Singh Mohnia, am not a legal expert, chartered accountant, property valuator, or revenue law specialist. I am a decree holder — a common citizen — who supplied goods worth ₹60,26,730 to M/s Rashmi Steels in April 2016, did not receive payment, obtained a court decree for ₹1,51,57,226 (as of 1st April 2026 at 18% p.a. from date of suit), and has been unable to recover a single rupee because the judgment debtor's entire asset base has been consumed by bank recovery proceedings founded on what I believe — based on official public records — are void and fraudulent mortgages.</w:t>
      </w:r>
    </w:p>
    <w:p>
      <w:pPr>
        <w:spacing w:after="160" w:line="300"/>
        <w:jc w:val="both"/>
      </w:pPr>
      <w:r>
        <w:rPr>
          <w:rFonts w:ascii="Arial" w:cs="Arial" w:eastAsia="Arial" w:hAnsi="Arial"/>
          <w:color w:val="1F1F1F"/>
          <w:sz w:val="21"/>
          <w:szCs w:val="21"/>
        </w:rPr>
        <w:t xml:space="preserve">The observations below are made in complete good faith based on my personal reading of official documents obtained from government sources. I am flagging anomalies that appear significant to a reasonable layperson. I request the concerned authority to apply its expert powers to examine these anomalies. I am not making legal arguments — I am pointing at facts visible in official records and asking questions that I cannot answer myself but that the authority can.</w:t>
      </w:r>
    </w:p>
    <w:p>
      <w:pPr>
        <w:spacing w:after="160" w:line="300"/>
        <w:jc w:val="both"/>
      </w:pPr>
      <w:r>
        <w:rPr>
          <w:rFonts w:ascii="Arial" w:cs="Arial" w:eastAsia="Arial" w:hAnsi="Arial"/>
          <w:color w:val="1F1F1F"/>
          <w:sz w:val="21"/>
          <w:szCs w:val="21"/>
        </w:rPr>
        <w:t xml:space="preserve">Every document referenced in this report was obtained from an official government source — the CERSAI portal, the MCA portal, the official Government of Gujarat revenue portal (on 17-03-2026), the DRT portal — and is available for independent verification by any investigating officer.</w:t>
      </w:r>
    </w:p>
    <w:p>
      <w:pPr>
        <w:pBdr>
          <w:bottom w:val="single" w:color="1F3864" w:sz="6"/>
        </w:pBdr>
        <w:spacing w:after="160" w:before="300"/>
      </w:pPr>
      <w:r>
        <w:rPr>
          <w:rFonts w:ascii="Arial" w:cs="Arial" w:eastAsia="Arial" w:hAnsi="Arial"/>
          <w:b/>
          <w:bCs/>
          <w:color w:val="8B0000"/>
          <w:sz w:val="26"/>
          <w:szCs w:val="26"/>
        </w:rPr>
        <w:t xml:space="preserve">SECTION A — THE REVENUE RECORD DOCUMENTS</w:t>
      </w:r>
    </w:p>
    <w:p>
      <w:pPr>
        <w:spacing w:after="160" w:line="300"/>
        <w:jc w:val="both"/>
      </w:pPr>
      <w:r>
        <w:rPr>
          <w:rFonts w:ascii="Arial" w:cs="Arial" w:eastAsia="Arial" w:hAnsi="Arial"/>
          <w:i/>
          <w:iCs/>
          <w:color w:val="1F1F1F"/>
          <w:sz w:val="21"/>
          <w:szCs w:val="21"/>
        </w:rPr>
        <w:t xml:space="preserve">(Obtained by download from the official Government of Gujarat revenue portal on 17-03-2026, with the assistance of local agents, using Survey and Plot numbers verified at the Mamlatdar's office, Padra Taluka, on the same date. The Applicant was personally present at Padra throughout.)</w:t>
      </w:r>
    </w:p>
    <w:p>
      <w:pPr>
        <w:spacing w:after="120" w:before="220"/>
      </w:pPr>
      <w:r>
        <w:rPr>
          <w:rFonts w:ascii="Arial" w:cs="Arial" w:eastAsia="Arial" w:hAnsi="Arial"/>
          <w:b/>
          <w:bCs/>
          <w:color w:val="1F3864"/>
          <w:sz w:val="23"/>
          <w:szCs w:val="23"/>
        </w:rPr>
        <w:t xml:space="preserve">Document R-1: Milkat Card (Property Card) No. 2026352962</w:t>
      </w:r>
    </w:p>
    <w:p>
      <w:pPr>
        <w:spacing w:after="160" w:line="300"/>
        <w:jc w:val="both"/>
      </w:pPr>
      <w:r>
        <w:rPr>
          <w:rFonts w:ascii="Arial" w:cs="Arial" w:eastAsia="Arial" w:hAnsi="Arial"/>
          <w:color w:val="1F1F1F"/>
          <w:sz w:val="21"/>
          <w:szCs w:val="21"/>
        </w:rPr>
        <w:t xml:space="preserve">Source: Obtained by download from the official Government of Gujarat revenue portal on 17-03-2026, with the assistance of local agents, using Survey and Plot numbers verified at the Mamlatdar's office, Padra Taluka, on the same date. The Applicant was personally present at Padra throughout. Digital Signature: CSS Dabhoi, Government of Gujarat — 17-03-2026 15:58:20 IST. UPIN: GJ908171179450. Document number visible: 2026352962</w:t>
      </w:r>
    </w:p>
    <w:p>
      <w:pPr>
        <w:spacing w:after="160" w:line="300"/>
        <w:jc w:val="both"/>
      </w:pPr>
      <w:r>
        <w:rPr>
          <w:rFonts w:ascii="Arial" w:cs="Arial" w:eastAsia="Arial" w:hAnsi="Arial"/>
          <w:color w:val="1F1F1F"/>
          <w:sz w:val="21"/>
          <w:szCs w:val="21"/>
        </w:rPr>
        <w:t xml:space="preserve">This is the official Property Card (Milkat Card) for land at City Survey Nos. NA 128, 184, 185, 187 — Ward: Kural (Binhkheti) — District: Vadodara — Taluka: Padra — City Survey Office: Dabhoi. Total area recorded: 12,367 sq.m.</w:t>
      </w:r>
    </w:p>
    <w:p>
      <w:pPr>
        <w:spacing w:after="160" w:line="300"/>
        <w:jc w:val="both"/>
      </w:pPr>
      <w:r>
        <w:rPr>
          <w:rFonts w:ascii="Arial" w:cs="Arial" w:eastAsia="Arial" w:hAnsi="Arial"/>
          <w:color w:val="1F1F1F"/>
          <w:sz w:val="21"/>
          <w:szCs w:val="21"/>
        </w:rPr>
        <w:t xml:space="preserve">The ownership type (Satta Prakar) column contains text which, when translated verbally for me, reads as: "Land liable to pay revenue to the Government under Section 68 of the Gujarat Land Revenue Code, 1879." This appears to mean the land is classified as Government revenue land.</w:t>
      </w:r>
    </w:p>
    <w:p>
      <w:pPr>
        <w:spacing w:after="160" w:line="300"/>
        <w:jc w:val="both"/>
      </w:pPr>
      <w:r>
        <w:rPr>
          <w:rFonts w:ascii="Arial" w:cs="Arial" w:eastAsia="Arial" w:hAnsi="Arial"/>
          <w:color w:val="1F1F1F"/>
          <w:sz w:val="21"/>
          <w:szCs w:val="21"/>
        </w:rPr>
        <w:t xml:space="preserve">The title holder (Dharad Karnar) column shows: Shri Maintainance Contract Pvt. Ltd. The note alongside reads (verbally translated): "How title was received — until better title is received."</w:t>
      </w:r>
    </w:p>
    <w:p>
      <w:pPr>
        <w:spacing w:after="160" w:line="300"/>
        <w:jc w:val="both"/>
      </w:pPr>
      <w:r>
        <w:rPr>
          <w:rFonts w:ascii="Arial" w:cs="Arial" w:eastAsia="Arial" w:hAnsi="Arial"/>
          <w:color w:val="1F1F1F"/>
          <w:sz w:val="21"/>
          <w:szCs w:val="21"/>
        </w:rPr>
        <w:t xml:space="preserve">The origin of title is noted as: Taluka Development Officer, Padra, Order No. EL.EN.DI/S.AR/21/93-78, Land/Vashi/3081/93, dated 18-10-1993. This appears to mean the title was given by a Government officer's administrative order in 1993 — not by a private sale or purchase.</w:t>
      </w:r>
    </w:p>
    <w:p>
      <w:pPr>
        <w:spacing w:after="160" w:line="300"/>
        <w:jc w:val="both"/>
      </w:pPr>
      <w:r>
        <w:rPr>
          <w:rFonts w:ascii="Arial" w:cs="Arial" w:eastAsia="Arial" w:hAnsi="Arial"/>
          <w:color w:val="1F1F1F"/>
          <w:sz w:val="21"/>
          <w:szCs w:val="21"/>
        </w:rPr>
        <w:t xml:space="preserve">The most recent mutation entry (Anukram No. 1, dated 21/06/2024) refers to a non-agricultural conversion order authorized by Kiritsinh Ghanshyamsinh Vaghela on 21-06-2024.</w:t>
      </w:r>
    </w:p>
    <w:p>
      <w:pPr>
        <w:spacing w:after="160" w:line="300"/>
        <w:jc w:val="both"/>
      </w:pPr>
      <w:r>
        <w:rPr>
          <w:rFonts w:ascii="Arial" w:cs="Arial" w:eastAsia="Arial" w:hAnsi="Arial"/>
          <w:b/>
          <w:bCs/>
          <w:color w:val="8B0000"/>
          <w:sz w:val="21"/>
          <w:szCs w:val="21"/>
        </w:rPr>
        <w:t xml:space="preserve">Anomaly R-1(a) — Wrong owner in CERSAI vs. Revenue Record: </w:t>
      </w:r>
      <w:r>
        <w:rPr>
          <w:rFonts w:ascii="Arial" w:cs="Arial" w:eastAsia="Arial" w:hAnsi="Arial"/>
          <w:color w:val="1F1F1F"/>
          <w:sz w:val="21"/>
          <w:szCs w:val="21"/>
        </w:rPr>
        <w:t xml:space="preserve">This Property Card shows the owner as Shri Maintainance Contract Pvt. Ltd. The CERSAI reports (Documents C-1 and C-2 below) show "Asset Owner: Yes" against M/s Rashmi Steels and M/s Light and Glaze Profile Pvt. Ltd. Both cannot be true simultaneously. Since the revenue record is a Government document bearing an official digital signature, and has shown the same owner consistently for 30+ years, I believe the CERSAI declarations are false. I request the authority to determine who submitted the ownership documents to the banks and to CERSAI, and what those documents were.</w:t>
      </w:r>
    </w:p>
    <w:p>
      <w:pPr>
        <w:spacing w:after="160" w:line="300"/>
        <w:jc w:val="both"/>
      </w:pPr>
      <w:r>
        <w:rPr>
          <w:rFonts w:ascii="Arial" w:cs="Arial" w:eastAsia="Arial" w:hAnsi="Arial"/>
          <w:b/>
          <w:bCs/>
          <w:color w:val="8B0000"/>
          <w:sz w:val="21"/>
          <w:szCs w:val="21"/>
        </w:rPr>
        <w:t xml:space="preserve">Anomaly R-1(b) — Government revenue land mortgaged without apparent permission: </w:t>
      </w:r>
      <w:r>
        <w:rPr>
          <w:rFonts w:ascii="Arial" w:cs="Arial" w:eastAsia="Arial" w:hAnsi="Arial"/>
          <w:color w:val="1F1F1F"/>
          <w:sz w:val="21"/>
          <w:szCs w:val="21"/>
        </w:rPr>
        <w:t xml:space="preserve">I do not understand how a private party can mortgage Government revenue land. I request the authority to determine whether the Collector's permission (or whatever permission is required) was obtained before either bank accepted this land as security.</w:t>
      </w:r>
    </w:p>
    <w:p>
      <w:pPr>
        <w:spacing w:after="160" w:line="300"/>
        <w:jc w:val="both"/>
      </w:pPr>
      <w:r>
        <w:rPr>
          <w:rFonts w:ascii="Arial" w:cs="Arial" w:eastAsia="Arial" w:hAnsi="Arial"/>
          <w:b/>
          <w:bCs/>
          <w:color w:val="8B0000"/>
          <w:sz w:val="21"/>
          <w:szCs w:val="21"/>
        </w:rPr>
        <w:t xml:space="preserve">Anomaly R-1(c) — Area discrepancy between revenue record and CERSAI: </w:t>
      </w:r>
      <w:r>
        <w:rPr>
          <w:rFonts w:ascii="Arial" w:cs="Arial" w:eastAsia="Arial" w:hAnsi="Arial"/>
          <w:color w:val="1F1F1F"/>
          <w:sz w:val="21"/>
          <w:szCs w:val="21"/>
        </w:rPr>
        <w:t xml:space="preserve">This Property Card shows the area as 12,367 sq.m. Both CERSAI reports for this land show the area as 6,303 sq.m. — approximately half. I request the authority to examine this discrepancy and determine what it means for the validity and value of the security.</w:t>
      </w:r>
    </w:p>
    <w:p>
      <w:pPr>
        <w:spacing w:after="160" w:line="300"/>
        <w:jc w:val="both"/>
      </w:pPr>
      <w:r>
        <w:rPr>
          <w:rFonts w:ascii="Arial" w:cs="Arial" w:eastAsia="Arial" w:hAnsi="Arial"/>
          <w:b/>
          <w:bCs/>
          <w:color w:val="8B0000"/>
          <w:sz w:val="21"/>
          <w:szCs w:val="21"/>
        </w:rPr>
        <w:t xml:space="preserve">Anomaly R-1(d) — Title by Government administrative order — not a sale deed: </w:t>
      </w:r>
      <w:r>
        <w:rPr>
          <w:rFonts w:ascii="Arial" w:cs="Arial" w:eastAsia="Arial" w:hAnsi="Arial"/>
          <w:color w:val="1F1F1F"/>
          <w:sz w:val="21"/>
          <w:szCs w:val="21"/>
        </w:rPr>
        <w:t xml:space="preserve">I do not understand whether a title derived from a Government administrative order can be freely mortgaged by a private party, or whether special authorization is needed.</w:t>
      </w:r>
    </w:p>
    <w:p>
      <w:pPr>
        <w:spacing w:after="160" w:line="300"/>
        <w:jc w:val="both"/>
      </w:pPr>
      <w:r>
        <w:rPr>
          <w:rFonts w:ascii="Arial" w:cs="Arial" w:eastAsia="Arial" w:hAnsi="Arial"/>
          <w:b/>
          <w:bCs/>
          <w:color w:val="8B0000"/>
          <w:sz w:val="21"/>
          <w:szCs w:val="21"/>
        </w:rPr>
        <w:t xml:space="preserve">Anomaly R-1(e) — Suspicious 2024 mutation while DRT case pending: </w:t>
      </w:r>
      <w:r>
        <w:rPr>
          <w:rFonts w:ascii="Arial" w:cs="Arial" w:eastAsia="Arial" w:hAnsi="Arial"/>
          <w:color w:val="1F1F1F"/>
          <w:sz w:val="21"/>
          <w:szCs w:val="21"/>
        </w:rPr>
        <w:t xml:space="preserve">A mutation entry was made on this land on 21-06-2024 — while Bank of India's DRT case (OA/122/2022) against the borrower has been pending since January 2019. I request the authority to investigate.</w:t>
      </w:r>
    </w:p>
    <w:p>
      <w:pPr>
        <w:spacing w:after="120" w:before="220"/>
      </w:pPr>
      <w:r>
        <w:rPr>
          <w:rFonts w:ascii="Arial" w:cs="Arial" w:eastAsia="Arial" w:hAnsi="Arial"/>
          <w:b/>
          <w:bCs/>
          <w:color w:val="1F3864"/>
          <w:sz w:val="23"/>
          <w:szCs w:val="23"/>
        </w:rPr>
        <w:t xml:space="preserve">Document R-2: Gaon Namuno No. 5 — Haq Patrak (Rights Record)</w:t>
      </w:r>
    </w:p>
    <w:p>
      <w:pPr>
        <w:spacing w:after="160" w:line="300"/>
        <w:jc w:val="both"/>
      </w:pPr>
      <w:r>
        <w:rPr>
          <w:rFonts w:ascii="Arial" w:cs="Arial" w:eastAsia="Arial" w:hAnsi="Arial"/>
          <w:color w:val="1F1F1F"/>
          <w:sz w:val="21"/>
          <w:szCs w:val="21"/>
        </w:rPr>
        <w:t xml:space="preserve">Pages: 4 (Entry Numbers 483, 4489, 1409, 1460). Source: Digital copies downloaded from agents near the Padra Mamlatdar's office — 17-03-2026. Digital Signature: DS Revenue Department 01, Government of Gujarat, Mamlatdar Office, Padra. Verification date visible on document: 23/05/2017</w:t>
      </w:r>
    </w:p>
    <w:p>
      <w:pPr>
        <w:spacing w:after="160" w:line="300"/>
        <w:jc w:val="both"/>
      </w:pPr>
      <w:r>
        <w:rPr>
          <w:rFonts w:ascii="Arial" w:cs="Arial" w:eastAsia="Arial" w:hAnsi="Arial"/>
          <w:color w:val="1F1F1F"/>
          <w:sz w:val="21"/>
          <w:szCs w:val="21"/>
        </w:rPr>
        <w:t xml:space="preserve">Across all four pages — across 30+ years of entries — I cannot find any entry recording a transfer of title or rights to M/s Rashmi Steels, M/s Light and Glaze Profile Pvt. Ltd., or any person named Bohra in any form.</w:t>
      </w:r>
    </w:p>
    <w:p>
      <w:pPr>
        <w:spacing w:after="160" w:line="300"/>
        <w:jc w:val="both"/>
      </w:pPr>
      <w:r>
        <w:rPr>
          <w:rFonts w:ascii="Arial" w:cs="Arial" w:eastAsia="Arial" w:hAnsi="Arial"/>
          <w:b/>
          <w:bCs/>
          <w:color w:val="8B0000"/>
          <w:sz w:val="21"/>
          <w:szCs w:val="21"/>
        </w:rPr>
        <w:t xml:space="preserve">Anomaly R-2(a) — No Bohra entity in 30 years of rights record: </w:t>
      </w:r>
      <w:r>
        <w:rPr>
          <w:rFonts w:ascii="Arial" w:cs="Arial" w:eastAsia="Arial" w:hAnsi="Arial"/>
          <w:color w:val="1F1F1F"/>
          <w:sz w:val="21"/>
          <w:szCs w:val="21"/>
        </w:rPr>
        <w:t xml:space="preserve">This is consistent with the Property Card (Document R-1) — neither document shows any Bohra-connected ownership or rights.</w:t>
      </w:r>
    </w:p>
    <w:p>
      <w:pPr>
        <w:spacing w:after="160" w:line="300"/>
        <w:jc w:val="both"/>
      </w:pPr>
      <w:r>
        <w:rPr>
          <w:rFonts w:ascii="Arial" w:cs="Arial" w:eastAsia="Arial" w:hAnsi="Arial"/>
          <w:b/>
          <w:bCs/>
          <w:color w:val="8B0000"/>
          <w:sz w:val="21"/>
          <w:szCs w:val="21"/>
        </w:rPr>
        <w:t xml:space="preserve">Anomaly R-2(b) — Record was current and available at time of BoI mortgage: </w:t>
      </w:r>
      <w:r>
        <w:rPr>
          <w:rFonts w:ascii="Arial" w:cs="Arial" w:eastAsia="Arial" w:hAnsi="Arial"/>
          <w:color w:val="1F1F1F"/>
          <w:sz w:val="21"/>
          <w:szCs w:val="21"/>
        </w:rPr>
        <w:t xml:space="preserve">The verification date of 23-05-2017 is approximately three months after Bank of India registered its ₹29.5 crore security on 01-02-2017. If the bank's empanelled advocate had checked this record before accepting the security — as is mandatory under RBI guidelines — he would have found no ownership claim by Rashmi Steels.</w:t>
      </w:r>
    </w:p>
    <w:p>
      <w:pPr>
        <w:spacing w:after="160" w:line="300"/>
        <w:jc w:val="both"/>
      </w:pPr>
      <w:r>
        <w:rPr>
          <w:rFonts w:ascii="Arial" w:cs="Arial" w:eastAsia="Arial" w:hAnsi="Arial"/>
          <w:b/>
          <w:bCs/>
          <w:color w:val="8B0000"/>
          <w:sz w:val="21"/>
          <w:szCs w:val="21"/>
        </w:rPr>
        <w:t xml:space="preserve">Anomaly R-2(c) — Non-sequential entry numbers: </w:t>
      </w:r>
      <w:r>
        <w:rPr>
          <w:rFonts w:ascii="Arial" w:cs="Arial" w:eastAsia="Arial" w:hAnsi="Arial"/>
          <w:color w:val="1F1F1F"/>
          <w:sz w:val="21"/>
          <w:szCs w:val="21"/>
        </w:rPr>
        <w:t xml:space="preserve">The entry numbers jump from 483 to 4489 to 1409 to 1460 — a non-sequential pattern. I request the authority to examine whether any entries related to this land are missing from the sequence.</w:t>
      </w:r>
    </w:p>
    <w:p>
      <w:pPr>
        <w:spacing w:after="120" w:before="220"/>
      </w:pPr>
      <w:r>
        <w:rPr>
          <w:rFonts w:ascii="Arial" w:cs="Arial" w:eastAsia="Arial" w:hAnsi="Arial"/>
          <w:b/>
          <w:bCs/>
          <w:color w:val="1F3864"/>
          <w:sz w:val="23"/>
          <w:szCs w:val="23"/>
        </w:rPr>
        <w:t xml:space="preserve">Document R-3: Gaon Namuno No. 12 — Occupancy and Cultivation Register</w:t>
      </w:r>
    </w:p>
    <w:p>
      <w:pPr>
        <w:spacing w:after="160" w:line="300"/>
        <w:jc w:val="both"/>
      </w:pPr>
      <w:r>
        <w:rPr>
          <w:rFonts w:ascii="Arial" w:cs="Arial" w:eastAsia="Arial" w:hAnsi="Arial"/>
          <w:color w:val="1F1F1F"/>
          <w:sz w:val="21"/>
          <w:szCs w:val="21"/>
        </w:rPr>
        <w:t xml:space="preserve">Source: Padra Mamlatdar's office — 17-03-2026. Seal: Mamlatdar Office, Padra. Multiple occupant names appear in different rows — but none of them appear to be M/s Rashmi Steels, M/s Light and Glaze, or any Bohra family member.</w:t>
      </w:r>
    </w:p>
    <w:p>
      <w:pPr>
        <w:spacing w:after="160" w:line="300"/>
        <w:jc w:val="both"/>
      </w:pPr>
      <w:r>
        <w:rPr>
          <w:rFonts w:ascii="Arial" w:cs="Arial" w:eastAsia="Arial" w:hAnsi="Arial"/>
          <w:b/>
          <w:bCs/>
          <w:color w:val="8B0000"/>
          <w:sz w:val="21"/>
          <w:szCs w:val="21"/>
        </w:rPr>
        <w:t xml:space="preserve">Anomaly R-3(a) — No Bohra entity as occupant: </w:t>
      </w:r>
      <w:r>
        <w:rPr>
          <w:rFonts w:ascii="Arial" w:cs="Arial" w:eastAsia="Arial" w:hAnsi="Arial"/>
          <w:color w:val="1F1F1F"/>
          <w:sz w:val="21"/>
          <w:szCs w:val="21"/>
        </w:rPr>
        <w:t xml:space="preserve">This means the Judgment Debtor's entities had neither legal ownership nor physical possession of this land — making it completely unclear on what basis they offered it as security to two different banks.</w:t>
      </w:r>
    </w:p>
    <w:p>
      <w:pPr>
        <w:spacing w:after="120" w:before="220"/>
      </w:pPr>
      <w:r>
        <w:rPr>
          <w:rFonts w:ascii="Arial" w:cs="Arial" w:eastAsia="Arial" w:hAnsi="Arial"/>
          <w:b/>
          <w:bCs/>
          <w:color w:val="1F3864"/>
          <w:sz w:val="23"/>
          <w:szCs w:val="23"/>
        </w:rPr>
        <w:t xml:space="preserve">Document R-4: 7/12 Utara — RV 24g (II Size)</w:t>
      </w:r>
    </w:p>
    <w:p>
      <w:pPr>
        <w:spacing w:after="160" w:line="300"/>
        <w:jc w:val="both"/>
      </w:pPr>
      <w:r>
        <w:rPr>
          <w:rFonts w:ascii="Arial" w:cs="Arial" w:eastAsia="Arial" w:hAnsi="Arial"/>
          <w:color w:val="1F1F1F"/>
          <w:sz w:val="21"/>
          <w:szCs w:val="21"/>
        </w:rPr>
        <w:t xml:space="preserve">Reference: G.P. Rkt-726-1-83-1,00,000 Pads-ALA4; G.R.R.D. No. 10022/24 of 18-10-40. Survey No.: 124 | Block: 152. The ownership column does not show Rashmi Steels or any Bohra entity.</w:t>
      </w:r>
    </w:p>
    <w:p>
      <w:pPr>
        <w:spacing w:after="160" w:line="300"/>
        <w:jc w:val="both"/>
      </w:pPr>
      <w:r>
        <w:rPr>
          <w:rFonts w:ascii="Arial" w:cs="Arial" w:eastAsia="Arial" w:hAnsi="Arial"/>
          <w:b/>
          <w:bCs/>
          <w:color w:val="8B0000"/>
          <w:sz w:val="21"/>
          <w:szCs w:val="21"/>
        </w:rPr>
        <w:t xml:space="preserve">Anomaly R-4(a) — 7/12 confirms revenue record is consistent with Property Card: </w:t>
      </w:r>
      <w:r>
        <w:rPr>
          <w:rFonts w:ascii="Arial" w:cs="Arial" w:eastAsia="Arial" w:hAnsi="Arial"/>
          <w:color w:val="1F1F1F"/>
          <w:sz w:val="21"/>
          <w:szCs w:val="21"/>
        </w:rPr>
        <w:t xml:space="preserve">All three revenue documents point to the same owner (Shri Maintainance Contract Pvt. Ltd.) and the complete absence of any Bohra entity.</w:t>
      </w:r>
    </w:p>
    <w:p>
      <w:pPr>
        <w:spacing w:after="160" w:line="300"/>
        <w:jc w:val="both"/>
      </w:pPr>
      <w:r>
        <w:rPr>
          <w:rFonts w:ascii="Arial" w:cs="Arial" w:eastAsia="Arial" w:hAnsi="Arial"/>
          <w:b/>
          <w:bCs/>
          <w:color w:val="8B0000"/>
          <w:sz w:val="21"/>
          <w:szCs w:val="21"/>
        </w:rPr>
        <w:t xml:space="preserve">Anomaly R-4(b) — Encumbrance entries require expert examination: </w:t>
      </w:r>
      <w:r>
        <w:rPr>
          <w:rFonts w:ascii="Arial" w:cs="Arial" w:eastAsia="Arial" w:hAnsi="Arial"/>
          <w:color w:val="1F1F1F"/>
          <w:sz w:val="21"/>
          <w:szCs w:val="21"/>
        </w:rPr>
        <w:t xml:space="preserve">I request the authority to have these translated and examined — specifically to determine whether the IOB charge (CERSAI 2012) or the BoI charge (CERSAI 2017) are reflected in the revenue record encumbrances.</w:t>
      </w:r>
    </w:p>
    <w:p>
      <w:pPr>
        <w:pBdr>
          <w:bottom w:val="single" w:color="1F3864" w:sz="6"/>
        </w:pBdr>
        <w:spacing w:after="160" w:before="300"/>
      </w:pPr>
      <w:r>
        <w:rPr>
          <w:rFonts w:ascii="Arial" w:cs="Arial" w:eastAsia="Arial" w:hAnsi="Arial"/>
          <w:b/>
          <w:bCs/>
          <w:color w:val="8B0000"/>
          <w:sz w:val="26"/>
          <w:szCs w:val="26"/>
        </w:rPr>
        <w:t xml:space="preserve">SECTION B — THE CERSAI DOCUMENTS</w:t>
      </w:r>
    </w:p>
    <w:p>
      <w:pPr>
        <w:spacing w:after="160" w:line="300"/>
        <w:jc w:val="left"/>
      </w:pPr>
      <w:r>
        <w:rPr>
          <w:rFonts w:ascii="Arial" w:cs="Arial" w:eastAsia="Arial" w:hAnsi="Arial"/>
          <w:i/>
          <w:iCs/>
          <w:color w:val="1F1F1F"/>
          <w:sz w:val="21"/>
          <w:szCs w:val="21"/>
        </w:rPr>
        <w:t xml:space="preserve">(All downloaded from cersai.org.in — Official Government Portal)</w:t>
      </w:r>
    </w:p>
    <w:p>
      <w:pPr>
        <w:spacing w:after="120" w:before="220"/>
      </w:pPr>
      <w:r>
        <w:rPr>
          <w:rFonts w:ascii="Arial" w:cs="Arial" w:eastAsia="Arial" w:hAnsi="Arial"/>
          <w:b/>
          <w:bCs/>
          <w:color w:val="1F3864"/>
          <w:sz w:val="23"/>
          <w:szCs w:val="23"/>
        </w:rPr>
        <w:t xml:space="preserve">Document C-1: CERSAI Report — Asset ID 200003766496</w:t>
      </w:r>
    </w:p>
    <w:p>
      <w:pPr>
        <w:spacing w:after="160" w:line="300"/>
        <w:jc w:val="both"/>
      </w:pPr>
      <w:r>
        <w:rPr>
          <w:rFonts w:ascii="Arial" w:cs="Arial" w:eastAsia="Arial" w:hAnsi="Arial"/>
          <w:color w:val="1F1F1F"/>
          <w:sz w:val="21"/>
          <w:szCs w:val="21"/>
        </w:rPr>
        <w:t xml:space="preserve">Land at R.S. No. 124, Block 152, Kural Village, Padra Taluka, Vadodara, area 6303 sq.m., mortgaged by M/s Light and Glaze Profile Pvt. Ltd. to Indian Overseas Bank, Dandia Bazaar Branch, Vadodara, for ₹5,78,04,000, registered 19 October 2012. Satisfaction Status: Not Satisfied as of 02-03-2026. The CERSAI entry records: "Asset Owner: Yes" — against M/s Light and Glaze Profile Pvt. Ltd.</w:t>
      </w:r>
    </w:p>
    <w:p>
      <w:pPr>
        <w:spacing w:after="160" w:line="300"/>
        <w:jc w:val="both"/>
      </w:pPr>
      <w:r>
        <w:rPr>
          <w:rFonts w:ascii="Arial" w:cs="Arial" w:eastAsia="Arial" w:hAnsi="Arial"/>
          <w:b/>
          <w:bCs/>
          <w:color w:val="8B0000"/>
          <w:sz w:val="21"/>
          <w:szCs w:val="21"/>
        </w:rPr>
        <w:t xml:space="preserve">Anomaly C-1(a) — False "Asset Owner: Yes" declaration: </w:t>
      </w:r>
      <w:r>
        <w:rPr>
          <w:rFonts w:ascii="Arial" w:cs="Arial" w:eastAsia="Arial" w:hAnsi="Arial"/>
          <w:color w:val="1F1F1F"/>
          <w:sz w:val="21"/>
          <w:szCs w:val="21"/>
        </w:rPr>
        <w:t xml:space="preserve">Revenue records show the owner as Shri Maintainance Contract Pvt. Ltd. The CERSAI declaration appears to be false.</w:t>
      </w:r>
    </w:p>
    <w:p>
      <w:pPr>
        <w:spacing w:after="160" w:line="300"/>
        <w:jc w:val="both"/>
      </w:pPr>
      <w:r>
        <w:rPr>
          <w:rFonts w:ascii="Arial" w:cs="Arial" w:eastAsia="Arial" w:hAnsi="Arial"/>
          <w:b/>
          <w:bCs/>
          <w:color w:val="8B0000"/>
          <w:sz w:val="21"/>
          <w:szCs w:val="21"/>
        </w:rPr>
        <w:t xml:space="preserve">Anomaly C-1(b) — 13 years unsatisfied: </w:t>
      </w:r>
      <w:r>
        <w:rPr>
          <w:rFonts w:ascii="Arial" w:cs="Arial" w:eastAsia="Arial" w:hAnsi="Arial"/>
          <w:color w:val="1F1F1F"/>
          <w:sz w:val="21"/>
          <w:szCs w:val="21"/>
        </w:rPr>
        <w:t xml:space="preserve">The IOB charge of ₹5.78 crore has remained "Not Satisfied" for over 13 years, suggesting IOB disbursed public money against void security and has been unable to recover it.</w:t>
      </w:r>
    </w:p>
    <w:p>
      <w:pPr>
        <w:spacing w:after="160" w:line="300"/>
        <w:jc w:val="both"/>
      </w:pPr>
      <w:r>
        <w:rPr>
          <w:rFonts w:ascii="Arial" w:cs="Arial" w:eastAsia="Arial" w:hAnsi="Arial"/>
          <w:b/>
          <w:bCs/>
          <w:color w:val="8B0000"/>
          <w:sz w:val="21"/>
          <w:szCs w:val="21"/>
        </w:rPr>
        <w:t xml:space="preserve">Anomaly C-1(c) — This charge was on CERSAI when BoI sanctioned ₹29.5 crore in 2017: </w:t>
      </w:r>
      <w:r>
        <w:rPr>
          <w:rFonts w:ascii="Arial" w:cs="Arial" w:eastAsia="Arial" w:hAnsi="Arial"/>
          <w:color w:val="1F1F1F"/>
          <w:sz w:val="21"/>
          <w:szCs w:val="21"/>
        </w:rPr>
        <w:t xml:space="preserve">I request the authority to determine whether BoI conducted the mandatory CERSAI search, and if so, why it proceeded despite finding the prior IOB charge.</w:t>
      </w:r>
    </w:p>
    <w:p>
      <w:pPr>
        <w:spacing w:after="120" w:before="220"/>
      </w:pPr>
      <w:r>
        <w:rPr>
          <w:rFonts w:ascii="Arial" w:cs="Arial" w:eastAsia="Arial" w:hAnsi="Arial"/>
          <w:b/>
          <w:bCs/>
          <w:color w:val="1F3864"/>
          <w:sz w:val="23"/>
          <w:szCs w:val="23"/>
        </w:rPr>
        <w:t xml:space="preserve">Document C-2: CERSAI Report — Asset ID 200014613560</w:t>
      </w:r>
    </w:p>
    <w:p>
      <w:pPr>
        <w:spacing w:after="160" w:line="300"/>
        <w:jc w:val="both"/>
      </w:pPr>
      <w:r>
        <w:rPr>
          <w:rFonts w:ascii="Arial" w:cs="Arial" w:eastAsia="Arial" w:hAnsi="Arial"/>
          <w:color w:val="1F1F1F"/>
          <w:sz w:val="21"/>
          <w:szCs w:val="21"/>
        </w:rPr>
        <w:t xml:space="preserve">The same land mortgaged by M/s Rashmi Steels (proprietor: Babulal Ganeshmal Bohra) to Bank of India, Nagpada Branch, Mumbai, for ₹29,50,00,000, registered 1 February 2017. Satisfaction Status: Not Satisfied as of 04-03-2026. "Asset Owner: Yes" against M/s Rashmi Steels.</w:t>
      </w:r>
    </w:p>
    <w:p>
      <w:pPr>
        <w:spacing w:after="160" w:line="300"/>
        <w:jc w:val="both"/>
      </w:pPr>
      <w:r>
        <w:rPr>
          <w:rFonts w:ascii="Arial" w:cs="Arial" w:eastAsia="Arial" w:hAnsi="Arial"/>
          <w:b/>
          <w:bCs/>
          <w:color w:val="8B0000"/>
          <w:sz w:val="21"/>
          <w:szCs w:val="21"/>
        </w:rPr>
        <w:t xml:space="preserve">Anomaly C-2(a) — Same land, same false declaration, different non-owner: </w:t>
      </w:r>
      <w:r>
        <w:rPr>
          <w:rFonts w:ascii="Arial" w:cs="Arial" w:eastAsia="Arial" w:hAnsi="Arial"/>
          <w:color w:val="1F1F1F"/>
          <w:sz w:val="21"/>
          <w:szCs w:val="21"/>
        </w:rPr>
        <w:t xml:space="preserve">The revenue records show the same owner throughout — neither borrower ever owned this land.</w:t>
      </w:r>
    </w:p>
    <w:p>
      <w:pPr>
        <w:spacing w:after="160" w:line="300"/>
        <w:jc w:val="both"/>
      </w:pPr>
      <w:r>
        <w:rPr>
          <w:rFonts w:ascii="Arial" w:cs="Arial" w:eastAsia="Arial" w:hAnsi="Arial"/>
          <w:b/>
          <w:bCs/>
          <w:color w:val="8B0000"/>
          <w:sz w:val="21"/>
          <w:szCs w:val="21"/>
        </w:rPr>
        <w:t xml:space="preserve">Anomaly C-2(b) — 410% increase in 5 years: </w:t>
      </w:r>
      <w:r>
        <w:rPr>
          <w:rFonts w:ascii="Arial" w:cs="Arial" w:eastAsia="Arial" w:hAnsi="Arial"/>
          <w:color w:val="1F1F1F"/>
          <w:sz w:val="21"/>
          <w:szCs w:val="21"/>
        </w:rPr>
        <w:t xml:space="preserve">From ₹5.78 crore (2012) to ₹29.5 crore (2017) — same land, same area — an increase that appears extraordinary. I request the authority to compare with jantri rates.</w:t>
      </w:r>
    </w:p>
    <w:p>
      <w:pPr>
        <w:spacing w:after="160" w:line="300"/>
        <w:jc w:val="both"/>
      </w:pPr>
      <w:r>
        <w:rPr>
          <w:rFonts w:ascii="Arial" w:cs="Arial" w:eastAsia="Arial" w:hAnsi="Arial"/>
          <w:b/>
          <w:bCs/>
          <w:color w:val="8B0000"/>
          <w:sz w:val="21"/>
          <w:szCs w:val="21"/>
        </w:rPr>
        <w:t xml:space="preserve">Anomaly C-2(c) — Two different CERSAI Asset IDs for the same physical land: </w:t>
      </w:r>
      <w:r>
        <w:rPr>
          <w:rFonts w:ascii="Arial" w:cs="Arial" w:eastAsia="Arial" w:hAnsi="Arial"/>
          <w:color w:val="1F1F1F"/>
          <w:sz w:val="21"/>
          <w:szCs w:val="21"/>
        </w:rPr>
        <w:t xml:space="preserve">I request the authority to examine whether this represents a flaw in the CERSAI system or a deliberate attempt to avoid detection of double financing.</w:t>
      </w:r>
    </w:p>
    <w:p>
      <w:pPr>
        <w:spacing w:after="160" w:line="300"/>
        <w:jc w:val="both"/>
      </w:pPr>
      <w:r>
        <w:rPr>
          <w:rFonts w:ascii="Arial" w:cs="Arial" w:eastAsia="Arial" w:hAnsi="Arial"/>
          <w:b/>
          <w:bCs/>
          <w:color w:val="8B0000"/>
          <w:sz w:val="21"/>
          <w:szCs w:val="21"/>
        </w:rPr>
        <w:t xml:space="preserve">Anomaly C-2(d) — Pin code discrepancy: </w:t>
      </w:r>
      <w:r>
        <w:rPr>
          <w:rFonts w:ascii="Arial" w:cs="Arial" w:eastAsia="Arial" w:hAnsi="Arial"/>
          <w:color w:val="1F1F1F"/>
          <w:sz w:val="21"/>
          <w:szCs w:val="21"/>
        </w:rPr>
        <w:t xml:space="preserve">391440 (2012) vs 391430 (2017) for what appears to be the same land.</w:t>
      </w:r>
    </w:p>
    <w:p>
      <w:pPr>
        <w:spacing w:after="160" w:line="300"/>
        <w:jc w:val="both"/>
      </w:pPr>
      <w:r>
        <w:rPr>
          <w:rFonts w:ascii="Arial" w:cs="Arial" w:eastAsia="Arial" w:hAnsi="Arial"/>
          <w:b/>
          <w:bCs/>
          <w:color w:val="8B0000"/>
          <w:sz w:val="21"/>
          <w:szCs w:val="21"/>
        </w:rPr>
        <w:t xml:space="preserve">Anomaly C-2(e) — Now confirmed Government revenue land — doubly void: </w:t>
      </w:r>
      <w:r>
        <w:rPr>
          <w:rFonts w:ascii="Arial" w:cs="Arial" w:eastAsia="Arial" w:hAnsi="Arial"/>
          <w:color w:val="1F1F1F"/>
          <w:sz w:val="21"/>
          <w:szCs w:val="21"/>
        </w:rPr>
        <w:t xml:space="preserve">Non-ownership + Government revenue land requiring Collector's permission + prior undisclosed CERSAI charge = three independent grounds for the mortgage being void.</w:t>
      </w:r>
    </w:p>
    <w:p>
      <w:pPr>
        <w:spacing w:after="120" w:before="220"/>
      </w:pPr>
      <w:r>
        <w:rPr>
          <w:rFonts w:ascii="Arial" w:cs="Arial" w:eastAsia="Arial" w:hAnsi="Arial"/>
          <w:b/>
          <w:bCs/>
          <w:color w:val="1F3864"/>
          <w:sz w:val="23"/>
          <w:szCs w:val="23"/>
        </w:rPr>
        <w:t xml:space="preserve">Document C-3, C-4, C-5: CERSAI Report — Asset ID 200015123404 (Plot 523 / 555 / 561)</w:t>
      </w:r>
    </w:p>
    <w:p>
      <w:pPr>
        <w:spacing w:after="160" w:line="300"/>
        <w:jc w:val="both"/>
      </w:pPr>
      <w:r>
        <w:rPr>
          <w:rFonts w:ascii="Arial" w:cs="Arial" w:eastAsia="Arial" w:hAnsi="Arial"/>
          <w:color w:val="1F1F1F"/>
          <w:sz w:val="21"/>
          <w:szCs w:val="21"/>
        </w:rPr>
        <w:t xml:space="preserve">Immovable commercial asset at Survey Nos. 138/139, Plot 1618, Vashi Tarfe Devrukh, Ratnagiri District, Maharashtra, mortgaged by Rashmi International (Babulal Ganeshmal Bohra) to Bank of India, Nagpada Branch, for ₹6,00,00,000 originally, enhanced to ₹7,00,00,000 in January 2019. Registration: 24-03-2017. Not Satisfied.</w:t>
      </w:r>
    </w:p>
    <w:p>
      <w:pPr>
        <w:spacing w:after="160" w:line="300"/>
        <w:jc w:val="both"/>
      </w:pPr>
      <w:r>
        <w:rPr>
          <w:rFonts w:ascii="Arial" w:cs="Arial" w:eastAsia="Arial" w:hAnsi="Arial"/>
          <w:b/>
          <w:bCs/>
          <w:color w:val="8B0000"/>
          <w:sz w:val="21"/>
          <w:szCs w:val="21"/>
        </w:rPr>
        <w:t xml:space="preserve">Anomaly C-3(a) — Enhancement after default: </w:t>
      </w:r>
      <w:r>
        <w:rPr>
          <w:rFonts w:ascii="Arial" w:cs="Arial" w:eastAsia="Arial" w:hAnsi="Arial"/>
          <w:color w:val="1F1F1F"/>
          <w:sz w:val="21"/>
          <w:szCs w:val="21"/>
        </w:rPr>
        <w:t xml:space="preserve">The account was enhanced by ₹1 crore in January 2019 — approximately 22 months after the associated borrower had already defaulted.</w:t>
      </w:r>
    </w:p>
    <w:p>
      <w:pPr>
        <w:spacing w:after="160" w:line="300"/>
        <w:jc w:val="both"/>
      </w:pPr>
      <w:r>
        <w:rPr>
          <w:rFonts w:ascii="Arial" w:cs="Arial" w:eastAsia="Arial" w:hAnsi="Arial"/>
          <w:b/>
          <w:bCs/>
          <w:color w:val="8B0000"/>
          <w:sz w:val="21"/>
          <w:szCs w:val="21"/>
        </w:rPr>
        <w:t xml:space="preserve">Anomaly C-3(b) — Same branch, same proprietor, related entity: </w:t>
      </w:r>
      <w:r>
        <w:rPr>
          <w:rFonts w:ascii="Arial" w:cs="Arial" w:eastAsia="Arial" w:hAnsi="Arial"/>
          <w:color w:val="1F1F1F"/>
          <w:sz w:val="21"/>
          <w:szCs w:val="21"/>
        </w:rPr>
        <w:t xml:space="preserve">RBI guidelines on connected lending require banks to aggregate exposures to related parties. I request the authority to determine whether this was done.</w:t>
      </w:r>
    </w:p>
    <w:p>
      <w:pPr>
        <w:spacing w:after="160" w:line="300"/>
        <w:jc w:val="both"/>
      </w:pPr>
      <w:r>
        <w:rPr>
          <w:rFonts w:ascii="Arial" w:cs="Arial" w:eastAsia="Arial" w:hAnsi="Arial"/>
          <w:b/>
          <w:bCs/>
          <w:color w:val="8B0000"/>
          <w:sz w:val="21"/>
          <w:szCs w:val="21"/>
        </w:rPr>
        <w:t xml:space="preserve">Anomaly C-3(c)/(4a)/(5a) — Three plot numbers, same asset — reproducible across three separate searches: </w:t>
      </w:r>
      <w:r>
        <w:rPr>
          <w:rFonts w:ascii="Arial" w:cs="Arial" w:eastAsia="Arial" w:hAnsi="Arial"/>
          <w:color w:val="1F1F1F"/>
          <w:sz w:val="21"/>
          <w:szCs w:val="21"/>
        </w:rPr>
        <w:t xml:space="preserve">This confirms the CERSAI entry is stable and accessible — potentially indicating imprecise security documentation by the bank.</w:t>
      </w:r>
    </w:p>
    <w:p>
      <w:pPr>
        <w:spacing w:after="120" w:before="220"/>
      </w:pPr>
      <w:r>
        <w:rPr>
          <w:rFonts w:ascii="Arial" w:cs="Arial" w:eastAsia="Arial" w:hAnsi="Arial"/>
          <w:b/>
          <w:bCs/>
          <w:color w:val="1F3864"/>
          <w:sz w:val="23"/>
          <w:szCs w:val="23"/>
        </w:rPr>
        <w:t xml:space="preserve">Document C-6 to C-10: Comparative/transparency records (Kasindra survey cluster)</w:t>
      </w:r>
    </w:p>
    <w:p>
      <w:pPr>
        <w:spacing w:after="160" w:line="300"/>
        <w:jc w:val="both"/>
      </w:pPr>
      <w:r>
        <w:rPr>
          <w:rFonts w:ascii="Arial" w:cs="Arial" w:eastAsia="Arial" w:hAnsi="Arial"/>
          <w:color w:val="1F1F1F"/>
          <w:sz w:val="21"/>
          <w:szCs w:val="21"/>
        </w:rPr>
        <w:t xml:space="preserve">These records (Solanki family/Credila, Ashwin Patel/BoI Motera, James family/SBI, Minaben Bharwad/BoI Gurukul Road) are included for transparency to show the search was systematic, not selective. No wrongdoing is alleged against these unrelated third parties.</w:t>
      </w:r>
    </w:p>
    <w:p>
      <w:pPr>
        <w:spacing w:after="160" w:line="300"/>
        <w:jc w:val="both"/>
      </w:pPr>
      <w:r>
        <w:rPr>
          <w:rFonts w:ascii="Arial" w:cs="Arial" w:eastAsia="Arial" w:hAnsi="Arial"/>
          <w:b/>
          <w:bCs/>
          <w:color w:val="8B0000"/>
          <w:sz w:val="21"/>
          <w:szCs w:val="21"/>
        </w:rPr>
        <w:t xml:space="preserve">Anomaly C-8(a) — Useful baseline comparison: </w:t>
      </w:r>
      <w:r>
        <w:rPr>
          <w:rFonts w:ascii="Arial" w:cs="Arial" w:eastAsia="Arial" w:hAnsi="Arial"/>
          <w:color w:val="1F1F1F"/>
          <w:sz w:val="21"/>
          <w:szCs w:val="21"/>
        </w:rPr>
        <w:t xml:space="preserve">In 2014, a 273.4 sq.m. unit in Siddhi Vinayak Greens was accepted as security for ₹29 lakh. Three years later, Babulal Bohra personally mortgaged a 147.99 sq.m. flat in the same complex for ₹7.5 crore. I request the authority to compare jantri rates for the same area and period.</w:t>
      </w:r>
    </w:p>
    <w:p>
      <w:pPr>
        <w:spacing w:after="160" w:line="300"/>
        <w:jc w:val="both"/>
      </w:pPr>
      <w:r>
        <w:rPr>
          <w:rFonts w:ascii="Arial" w:cs="Arial" w:eastAsia="Arial" w:hAnsi="Arial"/>
          <w:b/>
          <w:bCs/>
          <w:color w:val="8B0000"/>
          <w:sz w:val="21"/>
          <w:szCs w:val="21"/>
        </w:rPr>
        <w:t xml:space="preserve">Anomaly C-10(a) — 7-month delay in CERSAI registration by Bank of India: </w:t>
      </w:r>
      <w:r>
        <w:rPr>
          <w:rFonts w:ascii="Arial" w:cs="Arial" w:eastAsia="Arial" w:hAnsi="Arial"/>
          <w:color w:val="1F1F1F"/>
          <w:sz w:val="21"/>
          <w:szCs w:val="21"/>
        </w:rPr>
        <w:t xml:space="preserve">I flag this delay because it raises the question of whether delayed CERSAI registration is a pattern in Bank of India's processes.</w:t>
      </w:r>
    </w:p>
    <w:p>
      <w:pPr>
        <w:spacing w:after="120" w:before="220"/>
      </w:pPr>
      <w:r>
        <w:rPr>
          <w:rFonts w:ascii="Arial" w:cs="Arial" w:eastAsia="Arial" w:hAnsi="Arial"/>
          <w:b/>
          <w:bCs/>
          <w:color w:val="1F3864"/>
          <w:sz w:val="23"/>
          <w:szCs w:val="23"/>
        </w:rPr>
        <w:t xml:space="preserve">Document C-11: CERSAI Report — Asset ID 200017457156</w:t>
      </w:r>
    </w:p>
    <w:p>
      <w:pPr>
        <w:spacing w:after="160" w:line="300"/>
        <w:jc w:val="both"/>
      </w:pPr>
      <w:r>
        <w:rPr>
          <w:rFonts w:ascii="Arial" w:cs="Arial" w:eastAsia="Arial" w:hAnsi="Arial"/>
          <w:color w:val="1F1F1F"/>
          <w:sz w:val="21"/>
          <w:szCs w:val="21"/>
        </w:rPr>
        <w:t xml:space="preserve">Unit No. 40, Siddhi Vinayak Greens, Kashindra, Ahmedabad, 147.99 sq.m. Mortgaged by Babulal Ganeshmal Bohra personally to Bank of India, Nagpada Branch, for ₹5,00,00,000 originally — enhanced to ₹7,50,00,000 on the same day, 14-11-2017, approximately 16 minutes later. Not Satisfied.</w:t>
      </w:r>
    </w:p>
    <w:p>
      <w:pPr>
        <w:spacing w:after="160" w:line="300"/>
        <w:jc w:val="both"/>
      </w:pPr>
      <w:r>
        <w:rPr>
          <w:rFonts w:ascii="Arial" w:cs="Arial" w:eastAsia="Arial" w:hAnsi="Arial"/>
          <w:b/>
          <w:bCs/>
          <w:color w:val="8B0000"/>
          <w:sz w:val="21"/>
          <w:szCs w:val="21"/>
        </w:rPr>
        <w:t xml:space="preserve">Anomaly C-11(a) — Same-day 16-minute enhancement: </w:t>
      </w:r>
      <w:r>
        <w:rPr>
          <w:rFonts w:ascii="Arial" w:cs="Arial" w:eastAsia="Arial" w:hAnsi="Arial"/>
          <w:color w:val="1F1F1F"/>
          <w:sz w:val="21"/>
          <w:szCs w:val="21"/>
        </w:rPr>
        <w:t xml:space="preserve">Standard banking procedure requires a fresh credit appraisal, fresh sanction committee approval, fresh documentation for any enhancement. None of these can be completed in 16 minutes.</w:t>
      </w:r>
    </w:p>
    <w:p>
      <w:pPr>
        <w:spacing w:after="160" w:line="300"/>
        <w:jc w:val="both"/>
      </w:pPr>
      <w:r>
        <w:rPr>
          <w:rFonts w:ascii="Arial" w:cs="Arial" w:eastAsia="Arial" w:hAnsi="Arial"/>
          <w:b/>
          <w:bCs/>
          <w:color w:val="8B0000"/>
          <w:sz w:val="21"/>
          <w:szCs w:val="21"/>
        </w:rPr>
        <w:t xml:space="preserve">Anomaly C-11(b) — ₹44+ crore from one branch to one family in one year: </w:t>
      </w:r>
      <w:r>
        <w:rPr>
          <w:rFonts w:ascii="Arial" w:cs="Arial" w:eastAsia="Arial" w:hAnsi="Arial"/>
          <w:color w:val="1F1F1F"/>
          <w:sz w:val="21"/>
          <w:szCs w:val="21"/>
        </w:rPr>
        <w:t xml:space="preserve">₹29.5 crore + ₹7 crore + ₹7.5 crore — all from Bank of India, Nagpada Branch, all related entities of Babulal Ganeshmal Bohra, all registered in 2017, all unsatisfied as of March 2026.</w:t>
      </w:r>
    </w:p>
    <w:p>
      <w:pPr>
        <w:spacing w:after="120" w:before="220"/>
      </w:pPr>
      <w:r>
        <w:rPr>
          <w:rFonts w:ascii="Arial" w:cs="Arial" w:eastAsia="Arial" w:hAnsi="Arial"/>
          <w:b/>
          <w:bCs/>
          <w:color w:val="1F3864"/>
          <w:sz w:val="23"/>
          <w:szCs w:val="23"/>
        </w:rPr>
        <w:t xml:space="preserve">Document C-12: CERSAI Debtor Search — Ravi Babulal Bohra (PAN: ANWPB3324M)</w:t>
      </w:r>
    </w:p>
    <w:p>
      <w:pPr>
        <w:spacing w:after="160" w:line="300"/>
        <w:jc w:val="both"/>
      </w:pPr>
      <w:r>
        <w:rPr>
          <w:rFonts w:ascii="Arial" w:cs="Arial" w:eastAsia="Arial" w:hAnsi="Arial"/>
          <w:color w:val="1F1F1F"/>
          <w:sz w:val="21"/>
          <w:szCs w:val="21"/>
        </w:rPr>
        <w:t xml:space="preserve">One asset found: Flat No. 101, Swastik Homes Apartment, Wada, Palghar, 900 sq.ft. Originally mortgaged to Muthoot Homefin, modified January 2020 — charge holder changed to CFM Asset Reconstruction Pvt. Ltd. (an ARC — confirming NPA status). Co-borrower: Babulal Ganeshmal Bohra.</w:t>
      </w:r>
    </w:p>
    <w:p>
      <w:pPr>
        <w:spacing w:after="160" w:line="300"/>
        <w:jc w:val="both"/>
      </w:pPr>
      <w:r>
        <w:rPr>
          <w:rFonts w:ascii="Arial" w:cs="Arial" w:eastAsia="Arial" w:hAnsi="Arial"/>
          <w:b/>
          <w:bCs/>
          <w:color w:val="8B0000"/>
          <w:sz w:val="21"/>
          <w:szCs w:val="21"/>
        </w:rPr>
        <w:t xml:space="preserve">Anomaly C-12(a) — Son's loan classified NPA — confirms family-wide financial default: </w:t>
      </w:r>
      <w:r>
        <w:rPr>
          <w:rFonts w:ascii="Arial" w:cs="Arial" w:eastAsia="Arial" w:hAnsi="Arial"/>
          <w:color w:val="1F1F1F"/>
          <w:sz w:val="21"/>
          <w:szCs w:val="21"/>
        </w:rPr>
        <w:t xml:space="preserve">This confirms that both father and son are defaulters, and that the pattern is family-wide, not limited to any single business entity.</w:t>
      </w:r>
    </w:p>
    <w:p>
      <w:pPr>
        <w:spacing w:after="160" w:line="300"/>
        <w:jc w:val="both"/>
      </w:pPr>
      <w:r>
        <w:rPr>
          <w:rFonts w:ascii="Arial" w:cs="Arial" w:eastAsia="Arial" w:hAnsi="Arial"/>
          <w:b/>
          <w:bCs/>
          <w:color w:val="8B0000"/>
          <w:sz w:val="21"/>
          <w:szCs w:val="21"/>
        </w:rPr>
        <w:t xml:space="preserve">Anomaly C-12(b) — Missing assets — nominee holding suspected: </w:t>
      </w:r>
      <w:r>
        <w:rPr>
          <w:rFonts w:ascii="Arial" w:cs="Arial" w:eastAsia="Arial" w:hAnsi="Arial"/>
          <w:color w:val="1F1F1F"/>
          <w:sz w:val="21"/>
          <w:szCs w:val="21"/>
        </w:rPr>
        <w:t xml:space="preserve">Ravi Bohra's only traced immovable asset is a 900 sq.ft. flat in Wada — despite his involvement in multi-crore loan transactions as director of Light and Glaze.</w:t>
      </w:r>
    </w:p>
    <w:p>
      <w:pPr>
        <w:pBdr>
          <w:bottom w:val="single" w:color="1F3864" w:sz="6"/>
        </w:pBdr>
        <w:spacing w:after="160" w:before="300"/>
      </w:pPr>
      <w:r>
        <w:rPr>
          <w:rFonts w:ascii="Arial" w:cs="Arial" w:eastAsia="Arial" w:hAnsi="Arial"/>
          <w:b/>
          <w:bCs/>
          <w:color w:val="8B0000"/>
          <w:sz w:val="26"/>
          <w:szCs w:val="26"/>
        </w:rPr>
        <w:t xml:space="preserve">SECTION C — CORPORATE AND REGISTRY DOCUMENTS</w:t>
      </w:r>
    </w:p>
    <w:p>
      <w:pPr>
        <w:spacing w:after="120" w:before="220"/>
      </w:pPr>
      <w:r>
        <w:rPr>
          <w:rFonts w:ascii="Arial" w:cs="Arial" w:eastAsia="Arial" w:hAnsi="Arial"/>
          <w:b/>
          <w:bCs/>
          <w:color w:val="1F3864"/>
          <w:sz w:val="23"/>
          <w:szCs w:val="23"/>
        </w:rPr>
        <w:t xml:space="preserve">Document M-1: MCA Portal Printout — Shri Maintainance Contract Pvt. Ltd.</w:t>
      </w:r>
    </w:p>
    <w:p>
      <w:pPr>
        <w:spacing w:after="160" w:line="300"/>
        <w:jc w:val="both"/>
      </w:pPr>
      <w:r>
        <w:rPr>
          <w:rFonts w:ascii="Arial" w:cs="Arial" w:eastAsia="Arial" w:hAnsi="Arial"/>
          <w:color w:val="1F1F1F"/>
          <w:sz w:val="21"/>
          <w:szCs w:val="21"/>
        </w:rPr>
        <w:t xml:space="preserve">Source: MCA.gov.in — search conducted 18-03-2026. CIN: U99999GJ1992PTC017724. Status shown: STRIKE OFF. State: Gujarat. Incorporated: 1992.</w:t>
      </w:r>
    </w:p>
    <w:p>
      <w:pPr>
        <w:spacing w:after="160" w:line="300"/>
        <w:jc w:val="both"/>
      </w:pPr>
      <w:r>
        <w:rPr>
          <w:rFonts w:ascii="Arial" w:cs="Arial" w:eastAsia="Arial" w:hAnsi="Arial"/>
          <w:b/>
          <w:bCs/>
          <w:color w:val="8B0000"/>
          <w:sz w:val="21"/>
          <w:szCs w:val="21"/>
        </w:rPr>
        <w:t xml:space="preserve">Anomaly M-1(a) — Land owner is legally dead: </w:t>
      </w:r>
      <w:r>
        <w:rPr>
          <w:rFonts w:ascii="Arial" w:cs="Arial" w:eastAsia="Arial" w:hAnsi="Arial"/>
          <w:color w:val="1F1F1F"/>
          <w:sz w:val="21"/>
          <w:szCs w:val="21"/>
        </w:rPr>
        <w:t xml:space="preserve">The owner of the mortgaged land is legally non-existent — struck off and dead as a company — yet both banks accepted mortgages on this company's land from entities that did not own it.</w:t>
      </w:r>
    </w:p>
    <w:p>
      <w:pPr>
        <w:spacing w:after="160" w:line="300"/>
        <w:jc w:val="both"/>
      </w:pPr>
      <w:r>
        <w:rPr>
          <w:rFonts w:ascii="Arial" w:cs="Arial" w:eastAsia="Arial" w:hAnsi="Arial"/>
          <w:b/>
          <w:bCs/>
          <w:color w:val="8B0000"/>
          <w:sz w:val="21"/>
          <w:szCs w:val="21"/>
        </w:rPr>
        <w:t xml:space="preserve">Anomaly M-1(b) — RTI filed — response awaited: </w:t>
      </w:r>
      <w:r>
        <w:rPr>
          <w:rFonts w:ascii="Arial" w:cs="Arial" w:eastAsia="Arial" w:hAnsi="Arial"/>
          <w:color w:val="1F1F1F"/>
          <w:sz w:val="21"/>
          <w:szCs w:val="21"/>
        </w:rPr>
        <w:t xml:space="preserve">I have filed an RTI application with the Registrar of Companies, Ahmedabad, seeking director names, last filed balance sheet, and strike-off order.</w:t>
      </w:r>
    </w:p>
    <w:p>
      <w:pPr>
        <w:spacing w:after="120" w:before="220"/>
      </w:pPr>
      <w:r>
        <w:rPr>
          <w:rFonts w:ascii="Arial" w:cs="Arial" w:eastAsia="Arial" w:hAnsi="Arial"/>
          <w:b/>
          <w:bCs/>
          <w:color w:val="1F3864"/>
          <w:sz w:val="23"/>
          <w:szCs w:val="23"/>
        </w:rPr>
        <w:t xml:space="preserve">Document D-1: DRT Portal Screenshots — OA/122/2022</w:t>
      </w:r>
    </w:p>
    <w:p>
      <w:pPr>
        <w:spacing w:after="160" w:line="300"/>
        <w:jc w:val="both"/>
      </w:pPr>
      <w:r>
        <w:rPr>
          <w:rFonts w:ascii="Arial" w:cs="Arial" w:eastAsia="Arial" w:hAnsi="Arial"/>
          <w:color w:val="1F1F1F"/>
          <w:sz w:val="21"/>
          <w:szCs w:val="21"/>
        </w:rPr>
        <w:t xml:space="preserve">Diary No.: 1624/2019 | Filed: 10-01-2019 | Status: PENDING | Purpose: CAOD EX PARTE | Petitioner: Bank of India | Respondent: Babulal Ganeshmal Bohra, with Mrs. Sangeeta Babulal Bohra and Mr. Ravi Babulal Bohra as additional parties. Service address: Flat No. 903, 9th Floor, Mehta Court, Lamington Road, Mumbai — a flat already sold by Bank of India's own SARFAESI action.</w:t>
      </w:r>
    </w:p>
    <w:p>
      <w:pPr>
        <w:spacing w:after="160" w:line="300"/>
        <w:jc w:val="both"/>
      </w:pPr>
      <w:r>
        <w:rPr>
          <w:rFonts w:ascii="Arial" w:cs="Arial" w:eastAsia="Arial" w:hAnsi="Arial"/>
          <w:b/>
          <w:bCs/>
          <w:color w:val="8B0000"/>
          <w:sz w:val="21"/>
          <w:szCs w:val="21"/>
        </w:rPr>
        <w:t xml:space="preserve">Anomaly D-1(a) — Service at an address Bank of India itself had vacated: </w:t>
      </w:r>
      <w:r>
        <w:rPr>
          <w:rFonts w:ascii="Arial" w:cs="Arial" w:eastAsia="Arial" w:hAnsi="Arial"/>
          <w:color w:val="1F1F1F"/>
          <w:sz w:val="21"/>
          <w:szCs w:val="21"/>
        </w:rPr>
        <w:t xml:space="preserve">Service at an address the bank knew had been vacated by its own action may not constitute valid service — potentially meaning seven years of ex parte proceedings are based on defective service.</w:t>
      </w:r>
    </w:p>
    <w:p>
      <w:pPr>
        <w:spacing w:after="160" w:line="300"/>
        <w:jc w:val="both"/>
      </w:pPr>
      <w:r>
        <w:rPr>
          <w:rFonts w:ascii="Arial" w:cs="Arial" w:eastAsia="Arial" w:hAnsi="Arial"/>
          <w:b/>
          <w:bCs/>
          <w:color w:val="8B0000"/>
          <w:sz w:val="21"/>
          <w:szCs w:val="21"/>
        </w:rPr>
        <w:t xml:space="preserve">Anomaly D-1(b) — Mrs. Geetaben B. Joshi not named in DRT but named in auction notice: </w:t>
      </w:r>
      <w:r>
        <w:rPr>
          <w:rFonts w:ascii="Arial" w:cs="Arial" w:eastAsia="Arial" w:hAnsi="Arial"/>
          <w:color w:val="1F1F1F"/>
          <w:sz w:val="21"/>
          <w:szCs w:val="21"/>
        </w:rPr>
        <w:t xml:space="preserve">I do not know whether this means she was not joined in the DRT case or is listed elsewhere in the case file.</w:t>
      </w:r>
    </w:p>
    <w:p>
      <w:pPr>
        <w:spacing w:after="120" w:before="220"/>
      </w:pPr>
      <w:r>
        <w:rPr>
          <w:rFonts w:ascii="Arial" w:cs="Arial" w:eastAsia="Arial" w:hAnsi="Arial"/>
          <w:b/>
          <w:bCs/>
          <w:color w:val="1F3864"/>
          <w:sz w:val="23"/>
          <w:szCs w:val="23"/>
        </w:rPr>
        <w:t xml:space="preserve">Document D-2: DRT Cause List — 06-02-2024</w:t>
      </w:r>
    </w:p>
    <w:p>
      <w:pPr>
        <w:spacing w:after="160" w:line="300"/>
        <w:jc w:val="both"/>
      </w:pPr>
      <w:r>
        <w:rPr>
          <w:rFonts w:ascii="Arial" w:cs="Arial" w:eastAsia="Arial" w:hAnsi="Arial"/>
          <w:color w:val="1F1F1F"/>
          <w:sz w:val="21"/>
          <w:szCs w:val="21"/>
        </w:rPr>
        <w:t xml:space="preserve">OA/122/2022 (Serial 49) — Bank of India vs. Babulal Ganeshmal Bohra. OA/123/2022 (Serial 50) — Bank of India vs. Ravi Bohra. Bank's advocate: Nahush Shah Legal.</w:t>
      </w:r>
    </w:p>
    <w:p>
      <w:pPr>
        <w:spacing w:after="160" w:line="300"/>
        <w:jc w:val="both"/>
      </w:pPr>
      <w:r>
        <w:rPr>
          <w:rFonts w:ascii="Arial" w:cs="Arial" w:eastAsia="Arial" w:hAnsi="Arial"/>
          <w:b/>
          <w:bCs/>
          <w:color w:val="8B0000"/>
          <w:sz w:val="21"/>
          <w:szCs w:val="21"/>
        </w:rPr>
        <w:t xml:space="preserve">Anomaly D-2(a) — Separate OA against son confirms father and son separately liable: </w:t>
      </w:r>
      <w:r>
        <w:rPr>
          <w:rFonts w:ascii="Arial" w:cs="Arial" w:eastAsia="Arial" w:hAnsi="Arial"/>
          <w:color w:val="1F1F1F"/>
          <w:sz w:val="21"/>
          <w:szCs w:val="21"/>
        </w:rPr>
        <w:t xml:space="preserve">Consistent with Ravi Bohra's directorship in Light and Glaze and his status as guarantor in the Bohra family accounts.</w:t>
      </w:r>
    </w:p>
    <w:p>
      <w:pPr>
        <w:pBdr>
          <w:bottom w:val="single" w:color="1F3864" w:sz="6"/>
        </w:pBdr>
        <w:spacing w:after="160" w:before="300"/>
      </w:pPr>
      <w:r>
        <w:rPr>
          <w:rFonts w:ascii="Arial" w:cs="Arial" w:eastAsia="Arial" w:hAnsi="Arial"/>
          <w:b/>
          <w:bCs/>
          <w:color w:val="8B0000"/>
          <w:sz w:val="26"/>
          <w:szCs w:val="26"/>
        </w:rPr>
        <w:t xml:space="preserve">SECTION D — THE SARFAESI AUCTION NOTICE</w:t>
      </w:r>
    </w:p>
    <w:p>
      <w:pPr>
        <w:spacing w:after="120" w:before="220"/>
      </w:pPr>
      <w:r>
        <w:rPr>
          <w:rFonts w:ascii="Arial" w:cs="Arial" w:eastAsia="Arial" w:hAnsi="Arial"/>
          <w:b/>
          <w:bCs/>
          <w:color w:val="1F3864"/>
          <w:sz w:val="23"/>
          <w:szCs w:val="23"/>
        </w:rPr>
        <w:t xml:space="preserve">Document N-1: Bank of India E-Auction Notice</w:t>
      </w:r>
    </w:p>
    <w:p>
      <w:pPr>
        <w:spacing w:after="160" w:line="300"/>
        <w:jc w:val="both"/>
      </w:pPr>
      <w:r>
        <w:rPr>
          <w:rFonts w:ascii="Arial" w:cs="Arial" w:eastAsia="Arial" w:hAnsi="Arial"/>
          <w:color w:val="1F1F1F"/>
          <w:sz w:val="21"/>
          <w:szCs w:val="21"/>
        </w:rPr>
        <w:t xml:space="preserve">Published: The Free Press Journal, Mumbai, 20th July 2020, Page 15. Borrower/Guarantor: Rashmi Steels, Prop/Guar: Shri Babulal G. Bohra, Mrs. Sangeeta B. Bohra, Shri Ravi B. Bohra, Mrs. Geetaben B. Joshi. Amount outstanding: ₹26,97,69,082.71. Property: Office No. 102, Rockford House, Grant Road (East), Mumbai. Reserve Price: ₹2,24,00,000. Auction Date: 25-08-2020.</w:t>
      </w:r>
    </w:p>
    <w:p>
      <w:pPr>
        <w:spacing w:after="160" w:line="300"/>
        <w:jc w:val="both"/>
      </w:pPr>
      <w:r>
        <w:rPr>
          <w:rFonts w:ascii="Arial" w:cs="Arial" w:eastAsia="Arial" w:hAnsi="Arial"/>
          <w:b/>
          <w:bCs/>
          <w:color w:val="8B0000"/>
          <w:sz w:val="21"/>
          <w:szCs w:val="21"/>
        </w:rPr>
        <w:t xml:space="preserve">Anomaly N-1(a) — Bank of India conducted SARFAESI on the basis of a void mortgage: </w:t>
      </w:r>
      <w:r>
        <w:rPr>
          <w:rFonts w:ascii="Arial" w:cs="Arial" w:eastAsia="Arial" w:hAnsi="Arial"/>
          <w:color w:val="1F1F1F"/>
          <w:sz w:val="21"/>
          <w:szCs w:val="21"/>
        </w:rPr>
        <w:t xml:space="preserve">I request the authority to examine whether Bank of India has a right to conduct SARFAESI on collateral securities when the primary security is void.</w:t>
      </w:r>
    </w:p>
    <w:p>
      <w:pPr>
        <w:spacing w:after="160" w:line="300"/>
        <w:jc w:val="both"/>
      </w:pPr>
      <w:r>
        <w:rPr>
          <w:rFonts w:ascii="Arial" w:cs="Arial" w:eastAsia="Arial" w:hAnsi="Arial"/>
          <w:b/>
          <w:bCs/>
          <w:color w:val="8B0000"/>
          <w:sz w:val="21"/>
          <w:szCs w:val="21"/>
        </w:rPr>
        <w:t xml:space="preserve">Anomaly N-1(b) — Outstanding of ₹26.97 crore three and a half years after disbursement: </w:t>
      </w:r>
      <w:r>
        <w:rPr>
          <w:rFonts w:ascii="Arial" w:cs="Arial" w:eastAsia="Arial" w:hAnsi="Arial"/>
          <w:color w:val="1F1F1F"/>
          <w:sz w:val="21"/>
          <w:szCs w:val="21"/>
        </w:rPr>
        <w:t xml:space="preserve">Only approximately ₹2.5 crore of the original ₹29.5 crore loan appears to have been repaid in 3.5 years.</w:t>
      </w:r>
    </w:p>
    <w:p>
      <w:pPr>
        <w:spacing w:after="160" w:line="300"/>
        <w:jc w:val="both"/>
      </w:pPr>
      <w:r>
        <w:rPr>
          <w:rFonts w:ascii="Arial" w:cs="Arial" w:eastAsia="Arial" w:hAnsi="Arial"/>
          <w:b/>
          <w:bCs/>
          <w:color w:val="8B0000"/>
          <w:sz w:val="21"/>
          <w:szCs w:val="21"/>
        </w:rPr>
        <w:t xml:space="preserve">Anomaly N-1(c) — New guarantor Mrs. Geetaben B. Joshi — untraced assets: </w:t>
      </w:r>
      <w:r>
        <w:rPr>
          <w:rFonts w:ascii="Arial" w:cs="Arial" w:eastAsia="Arial" w:hAnsi="Arial"/>
          <w:color w:val="1F1F1F"/>
          <w:sz w:val="21"/>
          <w:szCs w:val="21"/>
        </w:rPr>
        <w:t xml:space="preserve">This name does not appear anywhere in the CERSAI records downloaded. I request the authority to trace her.</w:t>
      </w:r>
    </w:p>
    <w:p>
      <w:pPr>
        <w:pBdr>
          <w:bottom w:val="single" w:color="1F3864" w:sz="6"/>
        </w:pBdr>
        <w:spacing w:after="160" w:before="300"/>
      </w:pPr>
      <w:r>
        <w:rPr>
          <w:rFonts w:ascii="Arial" w:cs="Arial" w:eastAsia="Arial" w:hAnsi="Arial"/>
          <w:b/>
          <w:bCs/>
          <w:color w:val="8B0000"/>
          <w:sz w:val="26"/>
          <w:szCs w:val="26"/>
        </w:rPr>
        <w:t xml:space="preserve">SECTION E — THE RTI APPLICATION</w:t>
      </w:r>
    </w:p>
    <w:p>
      <w:pPr>
        <w:spacing w:after="120" w:before="220"/>
      </w:pPr>
      <w:r>
        <w:rPr>
          <w:rFonts w:ascii="Arial" w:cs="Arial" w:eastAsia="Arial" w:hAnsi="Arial"/>
          <w:b/>
          <w:bCs/>
          <w:color w:val="1F3864"/>
          <w:sz w:val="23"/>
          <w:szCs w:val="23"/>
        </w:rPr>
        <w:t xml:space="preserve">Document T-1: RTI Application Receipt</w:t>
      </w:r>
    </w:p>
    <w:p>
      <w:pPr>
        <w:spacing w:after="160" w:line="300"/>
        <w:jc w:val="both"/>
      </w:pPr>
      <w:r>
        <w:rPr>
          <w:rFonts w:ascii="Arial" w:cs="Arial" w:eastAsia="Arial" w:hAnsi="Arial"/>
          <w:color w:val="1F1F1F"/>
          <w:sz w:val="21"/>
          <w:szCs w:val="21"/>
        </w:rPr>
        <w:t xml:space="preserve">Portal: RTIOnline.gov.in. Filed: 20-03-2026. Addressed to: CPIO, Registrar of Companies, Ahmedabad. Seeking: complete records of Shri Maintainance Contract Pvt. Ltd. — incorporation documents, director names, last filed balance sheet, strike-off order.</w:t>
      </w:r>
    </w:p>
    <w:p>
      <w:pPr>
        <w:spacing w:after="160" w:line="300"/>
        <w:jc w:val="both"/>
      </w:pPr>
      <w:r>
        <w:rPr>
          <w:rFonts w:ascii="Arial" w:cs="Arial" w:eastAsia="Arial" w:hAnsi="Arial"/>
          <w:b/>
          <w:bCs/>
          <w:color w:val="8B0000"/>
          <w:sz w:val="21"/>
          <w:szCs w:val="21"/>
        </w:rPr>
        <w:t xml:space="preserve">Anomaly T-1(a) — Director identity is the missing link: </w:t>
      </w:r>
      <w:r>
        <w:rPr>
          <w:rFonts w:ascii="Arial" w:cs="Arial" w:eastAsia="Arial" w:hAnsi="Arial"/>
          <w:color w:val="1F1F1F"/>
          <w:sz w:val="21"/>
          <w:szCs w:val="21"/>
        </w:rPr>
        <w:t xml:space="preserve">If a Bohra family member is a director of Shri Maintainance Contract Pvt. Ltd., the false CERSAI declarations were made by persons who knew the land was registered in a connected company they controlled — transforming the fraud from opportunistic to pre-planned and systematic.</w:t>
      </w:r>
    </w:p>
    <w:p>
      <w:pPr>
        <w:pBdr>
          <w:bottom w:val="single" w:color="1F3864" w:sz="6"/>
        </w:pBdr>
        <w:spacing w:after="160" w:before="300"/>
      </w:pPr>
      <w:r>
        <w:rPr>
          <w:rFonts w:ascii="Arial" w:cs="Arial" w:eastAsia="Arial" w:hAnsi="Arial"/>
          <w:b/>
          <w:bCs/>
          <w:color w:val="8B0000"/>
          <w:sz w:val="26"/>
          <w:szCs w:val="26"/>
        </w:rPr>
        <w:t xml:space="preserve">Anomaly 38: The Hollow Foundation (Pre-Sanction Insolvency)</w:t>
      </w:r>
    </w:p>
    <w:p>
      <w:pPr>
        <w:spacing w:after="160" w:line="300"/>
        <w:jc w:val="both"/>
      </w:pPr>
      <w:r>
        <w:rPr>
          <w:rFonts w:ascii="Arial" w:cs="Arial" w:eastAsia="Arial" w:hAnsi="Arial"/>
          <w:color w:val="1F1F1F"/>
          <w:sz w:val="21"/>
          <w:szCs w:val="21"/>
        </w:rPr>
        <w:t xml:space="preserve">As evidenced by MCA Certified Form 23AC (FY 2012-13), the borrower entity, Rashmi Metasteels Pvt. Ltd., was technically insolvent four years prior to the 2017 sanctions. It reported Negative Reserves of ₹22,75,814.84, meaning its net worth was fully eroded. Bank of India sanctioned ₹29.5 Crore to a group that was already "underwater" on paper. A basic review of the MCA certified balance sheet — which is a publicly available document — would have revealed this negative net worth position to any credit officer conducting standard due diligence.</w:t>
      </w:r>
    </w:p>
    <w:p>
      <w:pPr>
        <w:pBdr>
          <w:bottom w:val="single" w:color="1F3864" w:sz="6"/>
        </w:pBdr>
        <w:spacing w:after="160" w:before="300"/>
      </w:pPr>
      <w:r>
        <w:rPr>
          <w:rFonts w:ascii="Arial" w:cs="Arial" w:eastAsia="Arial" w:hAnsi="Arial"/>
          <w:b/>
          <w:bCs/>
          <w:color w:val="8B0000"/>
          <w:sz w:val="26"/>
          <w:szCs w:val="26"/>
        </w:rPr>
        <w:t xml:space="preserve">Section F: Structural Synthesis of the Fraudulent Loop</w:t>
      </w:r>
    </w:p>
    <w:p>
      <w:pPr>
        <w:spacing w:after="160" w:line="300"/>
        <w:jc w:val="both"/>
      </w:pPr>
      <w:r>
        <w:rPr>
          <w:rFonts w:ascii="Arial" w:cs="Arial" w:eastAsia="Arial" w:hAnsi="Arial"/>
          <w:color w:val="1F1F1F"/>
          <w:sz w:val="21"/>
          <w:szCs w:val="21"/>
        </w:rPr>
        <w:t xml:space="preserve">The 38 anomalies identified above are not isolated clerical errors; they are part of a coordinated "Vicious Circle" designed to extract public funds against non-existent or void security.</w:t>
      </w:r>
    </w:p>
    <w:p>
      <w:pPr>
        <w:spacing w:after="160" w:line="300"/>
        <w:jc w:val="both"/>
      </w:pPr>
      <w:r>
        <w:rPr>
          <w:rFonts w:ascii="Arial" w:cs="Arial" w:eastAsia="Arial" w:hAnsi="Arial"/>
          <w:b/>
          <w:bCs/>
          <w:color w:val="1F1F1F"/>
          <w:sz w:val="21"/>
          <w:szCs w:val="21"/>
        </w:rPr>
        <w:t xml:space="preserve">The Multi-Bank Asset Siphoning Loop: The following diagrams visualize how the Padra Land (Survey 124) was moved across shell entities to create a legal dead-end.</w:t>
      </w:r>
    </w:p>
    <w:p>
      <w:pPr>
        <w:spacing w:after="12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28925"/>
                    </a:xfrm>
                    <a:prstGeom prst="rect">
                      <a:avLst/>
                    </a:prstGeom>
                  </pic:spPr>
                </pic:pic>
              </a:graphicData>
            </a:graphic>
          </wp:inline>
        </w:drawing>
      </w:r>
    </w:p>
    <w:p>
      <w:pPr>
        <w:spacing w:after="260" w:line="300"/>
        <w:jc w:val="left"/>
      </w:pPr>
      <w:r>
        <w:rPr>
          <w:rFonts w:ascii="Arial" w:cs="Arial" w:eastAsia="Arial" w:hAnsi="Arial"/>
          <w:color w:val="1F1F1F"/>
          <w:sz w:val="21"/>
          <w:szCs w:val="21"/>
        </w:rPr>
        <w:t xml:space="preserve"/>
      </w:r>
    </w:p>
    <w:p>
      <w:pPr>
        <w:spacing w:after="12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28925"/>
                    </a:xfrm>
                    <a:prstGeom prst="rect">
                      <a:avLst/>
                    </a:prstGeom>
                  </pic:spPr>
                </pic:pic>
              </a:graphicData>
            </a:graphic>
          </wp:inline>
        </w:drawing>
      </w:r>
    </w:p>
    <w:p>
      <w:pPr>
        <w:spacing w:after="300" w:line="300"/>
        <w:jc w:val="center"/>
      </w:pPr>
      <w:r>
        <w:rPr>
          <w:rFonts w:ascii="Arial" w:cs="Arial" w:eastAsia="Arial" w:hAnsi="Arial"/>
          <w:i/>
          <w:iCs/>
          <w:color w:val="1F1F1F"/>
          <w:sz w:val="18"/>
          <w:szCs w:val="18"/>
        </w:rPr>
        <w:t xml:space="preserve">Figure 1.1: Schematic representation of the Borrower-Owner Mismatch and the circularity of funds between BOI, IOB, and the Bohra-controlled shell entities.</w:t>
      </w:r>
    </w:p>
    <w:p>
      <w:pPr>
        <w:pBdr>
          <w:bottom w:val="single" w:color="1F3864" w:sz="6"/>
        </w:pBdr>
        <w:spacing w:after="160" w:before="300"/>
      </w:pPr>
      <w:r>
        <w:rPr>
          <w:rFonts w:ascii="Arial" w:cs="Arial" w:eastAsia="Arial" w:hAnsi="Arial"/>
          <w:b/>
          <w:bCs/>
          <w:color w:val="8B0000"/>
          <w:sz w:val="26"/>
          <w:szCs w:val="26"/>
        </w:rPr>
        <w:t xml:space="preserve">CLOSING STATEMENT &amp; SUMMARY OF PROOF</w:t>
      </w:r>
    </w:p>
    <w:p>
      <w:pPr>
        <w:spacing w:after="160" w:line="300"/>
        <w:jc w:val="both"/>
      </w:pPr>
      <w:r>
        <w:rPr>
          <w:rFonts w:ascii="Arial" w:cs="Arial" w:eastAsia="Arial" w:hAnsi="Arial"/>
          <w:color w:val="1F1F1F"/>
          <w:sz w:val="21"/>
          <w:szCs w:val="21"/>
        </w:rPr>
        <w:t xml:space="preserve">The chain of events established by official public records in this report demonstrates a systematic bypass of banking safeguards:</w:t>
      </w:r>
    </w:p>
    <w:p>
      <w:pPr>
        <w:spacing w:after="160" w:line="300"/>
        <w:jc w:val="both"/>
      </w:pPr>
      <w:r>
        <w:rPr>
          <w:rFonts w:ascii="Arial" w:cs="Arial" w:eastAsia="Arial" w:hAnsi="Arial"/>
          <w:b/>
          <w:bCs/>
          <w:color w:val="8B0000"/>
          <w:sz w:val="21"/>
          <w:szCs w:val="21"/>
        </w:rPr>
        <w:t xml:space="preserve">Step 1-3 (The Legal Status): </w:t>
      </w:r>
      <w:r>
        <w:rPr>
          <w:rFonts w:ascii="Arial" w:cs="Arial" w:eastAsia="Arial" w:hAnsi="Arial"/>
          <w:color w:val="1F1F1F"/>
          <w:sz w:val="21"/>
          <w:szCs w:val="21"/>
        </w:rPr>
        <w:t xml:space="preserve">R.S. No. 124 is Government Revenue Land (Sec 68 GLRC) titled to Shri Maintainance Contract Pvt. Ltd. for 30+ years. Since this company is Struck Off, the land has vested in the Government of India under Section 250 of the Companies Act 2013.</w:t>
      </w:r>
    </w:p>
    <w:p>
      <w:pPr>
        <w:spacing w:after="160" w:line="300"/>
        <w:jc w:val="both"/>
      </w:pPr>
      <w:r>
        <w:rPr>
          <w:rFonts w:ascii="Arial" w:cs="Arial" w:eastAsia="Arial" w:hAnsi="Arial"/>
          <w:b/>
          <w:bCs/>
          <w:color w:val="8B0000"/>
          <w:sz w:val="21"/>
          <w:szCs w:val="21"/>
        </w:rPr>
        <w:t xml:space="preserve">Step 4-5 (The Double Fraud): </w:t>
      </w:r>
      <w:r>
        <w:rPr>
          <w:rFonts w:ascii="Arial" w:cs="Arial" w:eastAsia="Arial" w:hAnsi="Arial"/>
          <w:color w:val="1F1F1F"/>
          <w:sz w:val="21"/>
          <w:szCs w:val="21"/>
        </w:rPr>
        <w:t xml:space="preserve">Despite this, Light and Glaze (2012) and Rashmi Steels (2017) falsely declared "Asset Owner: Yes" on CERSAI to mortgage the land for ₹5.78 Cr (IOB) and ₹29.5 Cr (BOI) respectively. This was a double mortgage on void security.</w:t>
      </w:r>
    </w:p>
    <w:p>
      <w:pPr>
        <w:spacing w:after="160" w:line="300"/>
        <w:jc w:val="both"/>
      </w:pPr>
      <w:r>
        <w:rPr>
          <w:rFonts w:ascii="Arial" w:cs="Arial" w:eastAsia="Arial" w:hAnsi="Arial"/>
          <w:b/>
          <w:bCs/>
          <w:color w:val="8B0000"/>
          <w:sz w:val="21"/>
          <w:szCs w:val="21"/>
        </w:rPr>
        <w:t xml:space="preserve">Step 6-8 (The Aggressive Disbursement): </w:t>
      </w:r>
      <w:r>
        <w:rPr>
          <w:rFonts w:ascii="Arial" w:cs="Arial" w:eastAsia="Arial" w:hAnsi="Arial"/>
          <w:color w:val="1F1F1F"/>
          <w:sz w:val="21"/>
          <w:szCs w:val="21"/>
        </w:rPr>
        <w:t xml:space="preserve">In 2017 alone, one BOI branch sanctioned ₹44+ Crore to one family. This included a ₹7.5 Cr loan enhanced in just 16 minutes and a ₹1 Cr enhancement for a borrower already in default (2019).</w:t>
      </w:r>
    </w:p>
    <w:p>
      <w:pPr>
        <w:spacing w:after="160" w:line="300"/>
        <w:jc w:val="both"/>
      </w:pPr>
      <w:r>
        <w:rPr>
          <w:rFonts w:ascii="Arial" w:cs="Arial" w:eastAsia="Arial" w:hAnsi="Arial"/>
          <w:b/>
          <w:bCs/>
          <w:color w:val="8B0000"/>
          <w:sz w:val="21"/>
          <w:szCs w:val="21"/>
        </w:rPr>
        <w:t xml:space="preserve">Step 9-10 (The Victim): </w:t>
      </w:r>
      <w:r>
        <w:rPr>
          <w:rFonts w:ascii="Arial" w:cs="Arial" w:eastAsia="Arial" w:hAnsi="Arial"/>
          <w:color w:val="1F1F1F"/>
          <w:sz w:val="21"/>
          <w:szCs w:val="21"/>
        </w:rPr>
        <w:t xml:space="preserve">While the Bank pursued an ex-parte DRT recovery (using a service address they had already sold), the legitimate decree holder (NSM) was left with a ₹1.51 Cr unsatisfied decree and no attachable assets.</w:t>
      </w:r>
    </w:p>
    <w:p>
      <w:pPr>
        <w:pBdr>
          <w:bottom w:val="single" w:color="1F3864" w:sz="6"/>
        </w:pBdr>
        <w:spacing w:after="160" w:before="300"/>
      </w:pPr>
      <w:r>
        <w:rPr>
          <w:rFonts w:ascii="Arial" w:cs="Arial" w:eastAsia="Arial" w:hAnsi="Arial"/>
          <w:b/>
          <w:bCs/>
          <w:color w:val="8B0000"/>
          <w:sz w:val="26"/>
          <w:szCs w:val="26"/>
        </w:rPr>
        <w:t xml:space="preserve">CLOSING STATEMENT</w:t>
      </w:r>
    </w:p>
    <w:p>
      <w:pPr>
        <w:spacing w:after="160" w:line="300"/>
        <w:jc w:val="both"/>
      </w:pPr>
      <w:r>
        <w:rPr>
          <w:rFonts w:ascii="Arial" w:cs="Arial" w:eastAsia="Arial" w:hAnsi="Arial"/>
          <w:color w:val="1F1F1F"/>
          <w:sz w:val="21"/>
          <w:szCs w:val="21"/>
        </w:rPr>
        <w:t xml:space="preserve">The observations in this report are submitted in complete good faith by a layperson — a decree holder who has been unable to recover a single rupee of a court decree because the judgment debtor's entire asset base has been consumed by bank recovery proceedings that I believe, based on official public records, are founded on void and fraudulent mortgages.</w:t>
      </w:r>
    </w:p>
    <w:p>
      <w:pPr>
        <w:spacing w:after="160" w:line="300"/>
        <w:jc w:val="both"/>
      </w:pPr>
      <w:r>
        <w:rPr>
          <w:rFonts w:ascii="Arial" w:cs="Arial" w:eastAsia="Arial" w:hAnsi="Arial"/>
          <w:color w:val="1F1F1F"/>
          <w:sz w:val="21"/>
          <w:szCs w:val="21"/>
        </w:rPr>
        <w:t xml:space="preserve">The chain established by the official records in this report, taken together:</w:t>
      </w:r>
    </w:p>
    <w:p>
      <w:pPr>
        <w:spacing w:after="160" w:line="300"/>
        <w:jc w:val="both"/>
      </w:pPr>
      <w:r>
        <w:rPr>
          <w:rFonts w:ascii="Arial" w:cs="Arial" w:eastAsia="Arial" w:hAnsi="Arial"/>
          <w:b/>
          <w:bCs/>
          <w:color w:val="8B0000"/>
          <w:sz w:val="21"/>
          <w:szCs w:val="21"/>
        </w:rPr>
        <w:t xml:space="preserve">Step 1: </w:t>
      </w:r>
      <w:r>
        <w:rPr>
          <w:rFonts w:ascii="Arial" w:cs="Arial" w:eastAsia="Arial" w:hAnsi="Arial"/>
          <w:color w:val="1F1F1F"/>
          <w:sz w:val="21"/>
          <w:szCs w:val="21"/>
        </w:rPr>
        <w:t xml:space="preserve">R.S. No. 124, Kural Village, Padra Taluka, Vadodara, is Government revenue land under Section 68 of the Gujarat Land Revenue Code, 1879 — confirmed by Property Card No. 2026352962 bearing the digital signature of the Government of Gujarat.</w:t>
      </w:r>
    </w:p>
    <w:p>
      <w:pPr>
        <w:spacing w:after="160" w:line="300"/>
        <w:jc w:val="both"/>
      </w:pPr>
      <w:r>
        <w:rPr>
          <w:rFonts w:ascii="Arial" w:cs="Arial" w:eastAsia="Arial" w:hAnsi="Arial"/>
          <w:b/>
          <w:bCs/>
          <w:color w:val="8B0000"/>
          <w:sz w:val="21"/>
          <w:szCs w:val="21"/>
        </w:rPr>
        <w:t xml:space="preserve">Step 2: </w:t>
      </w:r>
      <w:r>
        <w:rPr>
          <w:rFonts w:ascii="Arial" w:cs="Arial" w:eastAsia="Arial" w:hAnsi="Arial"/>
          <w:color w:val="1F1F1F"/>
          <w:sz w:val="21"/>
          <w:szCs w:val="21"/>
        </w:rPr>
        <w:t xml:space="preserve">The land is titled in Shri Maintainance Contract Pvt. Ltd. — consistently for 30+ years — confirmed by Property Card, Haq Patrak, Gaon Namuno No. 12, and 7/12 Utara — all bearing Government of Gujarat official digital signatures.</w:t>
      </w:r>
    </w:p>
    <w:p>
      <w:pPr>
        <w:spacing w:after="160" w:line="300"/>
        <w:jc w:val="both"/>
      </w:pPr>
      <w:r>
        <w:rPr>
          <w:rFonts w:ascii="Arial" w:cs="Arial" w:eastAsia="Arial" w:hAnsi="Arial"/>
          <w:b/>
          <w:bCs/>
          <w:color w:val="8B0000"/>
          <w:sz w:val="21"/>
          <w:szCs w:val="21"/>
        </w:rPr>
        <w:t xml:space="preserve">Step 3: </w:t>
      </w:r>
      <w:r>
        <w:rPr>
          <w:rFonts w:ascii="Arial" w:cs="Arial" w:eastAsia="Arial" w:hAnsi="Arial"/>
          <w:color w:val="1F1F1F"/>
          <w:sz w:val="21"/>
          <w:szCs w:val="21"/>
        </w:rPr>
        <w:t xml:space="preserve">Shri Maintainance Contract Pvt. Ltd. is "Strike Off" — confirmed by the MCA portal — the Government's own official register. Under Section 250 of the Companies Act 2013, the land has vested in the Government of India.</w:t>
      </w:r>
    </w:p>
    <w:p>
      <w:pPr>
        <w:spacing w:after="160" w:line="300"/>
        <w:jc w:val="both"/>
      </w:pPr>
      <w:r>
        <w:rPr>
          <w:rFonts w:ascii="Arial" w:cs="Arial" w:eastAsia="Arial" w:hAnsi="Arial"/>
          <w:b/>
          <w:bCs/>
          <w:color w:val="8B0000"/>
          <w:sz w:val="21"/>
          <w:szCs w:val="21"/>
        </w:rPr>
        <w:t xml:space="preserve">Step 4: </w:t>
      </w:r>
      <w:r>
        <w:rPr>
          <w:rFonts w:ascii="Arial" w:cs="Arial" w:eastAsia="Arial" w:hAnsi="Arial"/>
          <w:color w:val="1F1F1F"/>
          <w:sz w:val="21"/>
          <w:szCs w:val="21"/>
        </w:rPr>
        <w:t xml:space="preserve">Despite Steps 1-3, M/s Light and Glaze Profile Pvt. Ltd. (Director: Ravi Bohra) declared "Asset Owner: Yes" on CERSAI and mortgaged this land to Indian Overseas Bank for ₹5.78 crore in 2012. The declaration was false.</w:t>
      </w:r>
    </w:p>
    <w:p>
      <w:pPr>
        <w:spacing w:after="160" w:line="300"/>
        <w:jc w:val="both"/>
      </w:pPr>
      <w:r>
        <w:rPr>
          <w:rFonts w:ascii="Arial" w:cs="Arial" w:eastAsia="Arial" w:hAnsi="Arial"/>
          <w:b/>
          <w:bCs/>
          <w:color w:val="8B0000"/>
          <w:sz w:val="21"/>
          <w:szCs w:val="21"/>
        </w:rPr>
        <w:t xml:space="preserve">Step 5: </w:t>
      </w:r>
      <w:r>
        <w:rPr>
          <w:rFonts w:ascii="Arial" w:cs="Arial" w:eastAsia="Arial" w:hAnsi="Arial"/>
          <w:color w:val="1F1F1F"/>
          <w:sz w:val="21"/>
          <w:szCs w:val="21"/>
        </w:rPr>
        <w:t xml:space="preserve">Despite Steps 1-4, and despite the IOB charge remaining unsatisfied on CERSAI, M/s Rashmi Steels (Proprietor: Babulal Bohra) also declared "Asset Owner: Yes" on CERSAI and mortgaged the same land to Bank of India, Nagpada Branch, for ₹29.5 crore in 2017. This declaration was also false. This was a double mortgage on void security.</w:t>
      </w:r>
    </w:p>
    <w:p>
      <w:pPr>
        <w:spacing w:after="160" w:line="300"/>
        <w:jc w:val="both"/>
      </w:pPr>
      <w:r>
        <w:rPr>
          <w:rFonts w:ascii="Arial" w:cs="Arial" w:eastAsia="Arial" w:hAnsi="Arial"/>
          <w:b/>
          <w:bCs/>
          <w:color w:val="8B0000"/>
          <w:sz w:val="21"/>
          <w:szCs w:val="21"/>
        </w:rPr>
        <w:t xml:space="preserve">Step 6: </w:t>
      </w:r>
      <w:r>
        <w:rPr>
          <w:rFonts w:ascii="Arial" w:cs="Arial" w:eastAsia="Arial" w:hAnsi="Arial"/>
          <w:color w:val="1F1F1F"/>
          <w:sz w:val="21"/>
          <w:szCs w:val="21"/>
        </w:rPr>
        <w:t xml:space="preserve">In the same year (2017), the same Nagpada Branch also sanctioned ₹7 crore to Rashmi International (same proprietor — Babulal Bohra) and ₹7.5 crore to Babulal Bohra personally — ₹44+ crore total from one branch to one family in one year — all unsatisfied.</w:t>
      </w:r>
    </w:p>
    <w:p>
      <w:pPr>
        <w:spacing w:after="160" w:line="300"/>
        <w:jc w:val="both"/>
      </w:pPr>
      <w:r>
        <w:rPr>
          <w:rFonts w:ascii="Arial" w:cs="Arial" w:eastAsia="Arial" w:hAnsi="Arial"/>
          <w:b/>
          <w:bCs/>
          <w:color w:val="8B0000"/>
          <w:sz w:val="21"/>
          <w:szCs w:val="21"/>
        </w:rPr>
        <w:t xml:space="preserve">Step 7: </w:t>
      </w:r>
      <w:r>
        <w:rPr>
          <w:rFonts w:ascii="Arial" w:cs="Arial" w:eastAsia="Arial" w:hAnsi="Arial"/>
          <w:color w:val="1F1F1F"/>
          <w:sz w:val="21"/>
          <w:szCs w:val="21"/>
        </w:rPr>
        <w:t xml:space="preserve">The ₹7.5 crore Kasindra flat loan was enhanced from ₹5 crore to ₹7.5 crore on the same day — 14-11-2017 — within 16 minutes — without any apparent fresh credit appraisal or sanction committee approval.</w:t>
      </w:r>
    </w:p>
    <w:p>
      <w:pPr>
        <w:spacing w:after="160" w:line="300"/>
        <w:jc w:val="both"/>
      </w:pPr>
      <w:r>
        <w:rPr>
          <w:rFonts w:ascii="Arial" w:cs="Arial" w:eastAsia="Arial" w:hAnsi="Arial"/>
          <w:b/>
          <w:bCs/>
          <w:color w:val="8B0000"/>
          <w:sz w:val="21"/>
          <w:szCs w:val="21"/>
        </w:rPr>
        <w:t xml:space="preserve">Step 8: </w:t>
      </w:r>
      <w:r>
        <w:rPr>
          <w:rFonts w:ascii="Arial" w:cs="Arial" w:eastAsia="Arial" w:hAnsi="Arial"/>
          <w:color w:val="1F1F1F"/>
          <w:sz w:val="21"/>
          <w:szCs w:val="21"/>
        </w:rPr>
        <w:t xml:space="preserve">The Rashmi International account was enhanced by ₹1 crore in January 2019 — 22 months after the borrower had already defaulted.</w:t>
      </w:r>
    </w:p>
    <w:p>
      <w:pPr>
        <w:spacing w:after="160" w:line="300"/>
        <w:jc w:val="both"/>
      </w:pPr>
      <w:r>
        <w:rPr>
          <w:rFonts w:ascii="Arial" w:cs="Arial" w:eastAsia="Arial" w:hAnsi="Arial"/>
          <w:b/>
          <w:bCs/>
          <w:color w:val="8B0000"/>
          <w:sz w:val="21"/>
          <w:szCs w:val="21"/>
        </w:rPr>
        <w:t xml:space="preserve">Step 9: </w:t>
      </w:r>
      <w:r>
        <w:rPr>
          <w:rFonts w:ascii="Arial" w:cs="Arial" w:eastAsia="Arial" w:hAnsi="Arial"/>
          <w:color w:val="1F1F1F"/>
          <w:sz w:val="21"/>
          <w:szCs w:val="21"/>
        </w:rPr>
        <w:t xml:space="preserve">Bank of India has been pursuing DRT recovery since January 2019 (OA/122/2022) — seven years — ex parte — while using, as the service address, a flat that Bank of India itself had sold through SARFAESI.</w:t>
      </w:r>
    </w:p>
    <w:p>
      <w:pPr>
        <w:spacing w:after="160" w:line="300"/>
        <w:jc w:val="both"/>
      </w:pPr>
      <w:r>
        <w:rPr>
          <w:rFonts w:ascii="Arial" w:cs="Arial" w:eastAsia="Arial" w:hAnsi="Arial"/>
          <w:b/>
          <w:bCs/>
          <w:color w:val="8B0000"/>
          <w:sz w:val="21"/>
          <w:szCs w:val="21"/>
        </w:rPr>
        <w:t xml:space="preserve">Step 10: </w:t>
      </w:r>
      <w:r>
        <w:rPr>
          <w:rFonts w:ascii="Arial" w:cs="Arial" w:eastAsia="Arial" w:hAnsi="Arial"/>
          <w:color w:val="1F1F1F"/>
          <w:sz w:val="21"/>
          <w:szCs w:val="21"/>
        </w:rPr>
        <w:t xml:space="preserve">All of this left the legitimate decree holder (myself) — whose trade debt of ₹60.27 lakh gave rise to a decree now (as of 1st April 2026) worth ₹1,51,57,226 — with a wholly unsatisfied decree and no attachable assets.</w:t>
      </w:r>
    </w:p>
    <w:p>
      <w:pPr>
        <w:spacing w:after="160" w:line="300"/>
        <w:jc w:val="both"/>
      </w:pPr>
      <w:r>
        <w:rPr>
          <w:rFonts w:ascii="Arial" w:cs="Arial" w:eastAsia="Arial" w:hAnsi="Arial"/>
          <w:b/>
          <w:bCs/>
          <w:color w:val="1F1F1F"/>
          <w:sz w:val="21"/>
          <w:szCs w:val="21"/>
        </w:rPr>
        <w:t xml:space="preserve">The questions I cannot answer but the authority can:</w:t>
      </w:r>
    </w:p>
    <w:p>
      <w:pPr>
        <w:spacing w:after="160" w:line="300"/>
        <w:jc w:val="both"/>
      </w:pPr>
      <w:r>
        <w:rPr>
          <w:rFonts w:ascii="Arial" w:cs="Arial" w:eastAsia="Arial" w:hAnsi="Arial"/>
          <w:b/>
          <w:bCs/>
          <w:color w:val="1F1F1F"/>
          <w:sz w:val="21"/>
          <w:szCs w:val="21"/>
        </w:rPr>
        <w:t xml:space="preserve">1. </w:t>
      </w:r>
      <w:r>
        <w:rPr>
          <w:rFonts w:ascii="Arial" w:cs="Arial" w:eastAsia="Arial" w:hAnsi="Arial"/>
          <w:color w:val="1F1F1F"/>
          <w:sz w:val="21"/>
          <w:szCs w:val="21"/>
        </w:rPr>
        <w:t xml:space="preserve">Who were the directors of Shri Maintainance Contract Pvt. Ltd.? Is any Bohra family member connected to this company?</w:t>
      </w:r>
    </w:p>
    <w:p>
      <w:pPr>
        <w:spacing w:after="160" w:line="300"/>
        <w:jc w:val="both"/>
      </w:pPr>
      <w:r>
        <w:rPr>
          <w:rFonts w:ascii="Arial" w:cs="Arial" w:eastAsia="Arial" w:hAnsi="Arial"/>
          <w:b/>
          <w:bCs/>
          <w:color w:val="1F1F1F"/>
          <w:sz w:val="21"/>
          <w:szCs w:val="21"/>
        </w:rPr>
        <w:t xml:space="preserve">2. </w:t>
      </w:r>
      <w:r>
        <w:rPr>
          <w:rFonts w:ascii="Arial" w:cs="Arial" w:eastAsia="Arial" w:hAnsi="Arial"/>
          <w:color w:val="1F1F1F"/>
          <w:sz w:val="21"/>
          <w:szCs w:val="21"/>
        </w:rPr>
        <w:t xml:space="preserve">What title documents did Light and Glaze and Rashmi Steels submit to IOB and BoI respectively, to support the "Asset Owner: Yes" declarations?</w:t>
      </w:r>
    </w:p>
    <w:p>
      <w:pPr>
        <w:spacing w:after="160" w:line="300"/>
        <w:jc w:val="both"/>
      </w:pPr>
      <w:r>
        <w:rPr>
          <w:rFonts w:ascii="Arial" w:cs="Arial" w:eastAsia="Arial" w:hAnsi="Arial"/>
          <w:b/>
          <w:bCs/>
          <w:color w:val="1F1F1F"/>
          <w:sz w:val="21"/>
          <w:szCs w:val="21"/>
        </w:rPr>
        <w:t xml:space="preserve">3. </w:t>
      </w:r>
      <w:r>
        <w:rPr>
          <w:rFonts w:ascii="Arial" w:cs="Arial" w:eastAsia="Arial" w:hAnsi="Arial"/>
          <w:color w:val="1F1F1F"/>
          <w:sz w:val="21"/>
          <w:szCs w:val="21"/>
        </w:rPr>
        <w:t xml:space="preserve">Did Bank of India, Nagpada Branch, conduct the mandatory CERSAI search before accepting the Padra land as security in 2017? If yes, why was the prior IOB charge ignored? If no, why was a mandatory step skipped?</w:t>
      </w:r>
    </w:p>
    <w:p>
      <w:pPr>
        <w:spacing w:after="160" w:line="300"/>
        <w:jc w:val="both"/>
      </w:pPr>
      <w:r>
        <w:rPr>
          <w:rFonts w:ascii="Arial" w:cs="Arial" w:eastAsia="Arial" w:hAnsi="Arial"/>
          <w:b/>
          <w:bCs/>
          <w:color w:val="1F1F1F"/>
          <w:sz w:val="21"/>
          <w:szCs w:val="21"/>
        </w:rPr>
        <w:t xml:space="preserve">4. </w:t>
      </w:r>
      <w:r>
        <w:rPr>
          <w:rFonts w:ascii="Arial" w:cs="Arial" w:eastAsia="Arial" w:hAnsi="Arial"/>
          <w:color w:val="1F1F1F"/>
          <w:sz w:val="21"/>
          <w:szCs w:val="21"/>
        </w:rPr>
        <w:t xml:space="preserve">Did Bank of India's empanelled advocate check the revenue records (7/12, Property Card) before certifying title? If yes, what did his report say about the title being in Shri Maintainance Contract Pvt. Ltd.?</w:t>
      </w:r>
    </w:p>
    <w:p>
      <w:pPr>
        <w:spacing w:after="160" w:line="300"/>
        <w:jc w:val="both"/>
      </w:pPr>
      <w:r>
        <w:rPr>
          <w:rFonts w:ascii="Arial" w:cs="Arial" w:eastAsia="Arial" w:hAnsi="Arial"/>
          <w:b/>
          <w:bCs/>
          <w:color w:val="1F1F1F"/>
          <w:sz w:val="21"/>
          <w:szCs w:val="21"/>
        </w:rPr>
        <w:t xml:space="preserve">5. </w:t>
      </w:r>
      <w:r>
        <w:rPr>
          <w:rFonts w:ascii="Arial" w:cs="Arial" w:eastAsia="Arial" w:hAnsi="Arial"/>
          <w:color w:val="1F1F1F"/>
          <w:sz w:val="21"/>
          <w:szCs w:val="21"/>
        </w:rPr>
        <w:t xml:space="preserve">Who specifically authorized the 16-minute same-day enhancement of the Kasindra flat loan from ₹5 crore to ₹7.5 crore on 14-11-2017?</w:t>
      </w:r>
    </w:p>
    <w:p>
      <w:pPr>
        <w:spacing w:after="160" w:line="300"/>
        <w:jc w:val="both"/>
      </w:pPr>
      <w:r>
        <w:rPr>
          <w:rFonts w:ascii="Arial" w:cs="Arial" w:eastAsia="Arial" w:hAnsi="Arial"/>
          <w:b/>
          <w:bCs/>
          <w:color w:val="1F1F1F"/>
          <w:sz w:val="21"/>
          <w:szCs w:val="21"/>
        </w:rPr>
        <w:t xml:space="preserve">6. </w:t>
      </w:r>
      <w:r>
        <w:rPr>
          <w:rFonts w:ascii="Arial" w:cs="Arial" w:eastAsia="Arial" w:hAnsi="Arial"/>
          <w:color w:val="1F1F1F"/>
          <w:sz w:val="21"/>
          <w:szCs w:val="21"/>
        </w:rPr>
        <w:t xml:space="preserve">Who specifically authorized the post-default enhancement of the Rashmi International account by ₹1 crore in January 2019?</w:t>
      </w:r>
    </w:p>
    <w:p>
      <w:pPr>
        <w:spacing w:after="160" w:line="300"/>
        <w:jc w:val="both"/>
      </w:pPr>
      <w:r>
        <w:rPr>
          <w:rFonts w:ascii="Arial" w:cs="Arial" w:eastAsia="Arial" w:hAnsi="Arial"/>
          <w:b/>
          <w:bCs/>
          <w:color w:val="1F1F1F"/>
          <w:sz w:val="21"/>
          <w:szCs w:val="21"/>
        </w:rPr>
        <w:t xml:space="preserve">7. </w:t>
      </w:r>
      <w:r>
        <w:rPr>
          <w:rFonts w:ascii="Arial" w:cs="Arial" w:eastAsia="Arial" w:hAnsi="Arial"/>
          <w:color w:val="1F1F1F"/>
          <w:sz w:val="21"/>
          <w:szCs w:val="21"/>
        </w:rPr>
        <w:t xml:space="preserve">How much did Bank of India actually realize from the Grant Road, Mumbai, e-auction of 25-08-2020? What is the current outstanding in OA/122/2022 after crediting all SARFAESI realizations?</w:t>
      </w:r>
    </w:p>
    <w:p>
      <w:pPr>
        <w:spacing w:after="160" w:line="300"/>
        <w:jc w:val="both"/>
      </w:pPr>
      <w:r>
        <w:rPr>
          <w:rFonts w:ascii="Arial" w:cs="Arial" w:eastAsia="Arial" w:hAnsi="Arial"/>
          <w:b/>
          <w:bCs/>
          <w:color w:val="1F1F1F"/>
          <w:sz w:val="21"/>
          <w:szCs w:val="21"/>
        </w:rPr>
        <w:t xml:space="preserve">8. </w:t>
      </w:r>
      <w:r>
        <w:rPr>
          <w:rFonts w:ascii="Arial" w:cs="Arial" w:eastAsia="Arial" w:hAnsi="Arial"/>
          <w:color w:val="1F1F1F"/>
          <w:sz w:val="21"/>
          <w:szCs w:val="21"/>
        </w:rPr>
        <w:t xml:space="preserve">What is the identity of Mrs. Geetaben B. Joshi (guarantor named in Bank of India's July 2020 auction notice) and what assets does she hold?</w:t>
      </w:r>
    </w:p>
    <w:p>
      <w:pPr>
        <w:spacing w:after="160" w:line="300"/>
        <w:jc w:val="both"/>
      </w:pPr>
      <w:r>
        <w:rPr>
          <w:rFonts w:ascii="Arial" w:cs="Arial" w:eastAsia="Arial" w:hAnsi="Arial"/>
          <w:b/>
          <w:bCs/>
          <w:color w:val="1F1F1F"/>
          <w:sz w:val="21"/>
          <w:szCs w:val="21"/>
        </w:rPr>
        <w:t xml:space="preserve">9. </w:t>
      </w:r>
      <w:r>
        <w:rPr>
          <w:rFonts w:ascii="Arial" w:cs="Arial" w:eastAsia="Arial" w:hAnsi="Arial"/>
          <w:color w:val="1F1F1F"/>
          <w:sz w:val="21"/>
          <w:szCs w:val="21"/>
        </w:rPr>
        <w:t xml:space="preserve">Who applied for the non-agricultural conversion mutation on R.S. No. 124, Padra, dated 21-06-2024 — while DRT proceedings were pending?</w:t>
      </w:r>
    </w:p>
    <w:p>
      <w:pPr>
        <w:spacing w:after="160" w:line="300"/>
        <w:jc w:val="both"/>
      </w:pPr>
      <w:r>
        <w:rPr>
          <w:rFonts w:ascii="Arial" w:cs="Arial" w:eastAsia="Arial" w:hAnsi="Arial"/>
          <w:b/>
          <w:bCs/>
          <w:color w:val="1F1F1F"/>
          <w:sz w:val="21"/>
          <w:szCs w:val="21"/>
        </w:rPr>
        <w:t xml:space="preserve">10. </w:t>
      </w:r>
      <w:r>
        <w:rPr>
          <w:rFonts w:ascii="Arial" w:cs="Arial" w:eastAsia="Arial" w:hAnsi="Arial"/>
          <w:color w:val="1F1F1F"/>
          <w:sz w:val="21"/>
          <w:szCs w:val="21"/>
        </w:rPr>
        <w:t xml:space="preserve">Is the land at R.S. No. 124, Padra, currently the subject of any pending SARFAESI action by Bank of India — and if so, on what legal basis, given that the land is Government revenue land in a struck-off company's name?</w:t>
      </w:r>
    </w:p>
    <w:p>
      <w:pPr>
        <w:spacing w:after="160" w:line="300"/>
        <w:jc w:val="both"/>
      </w:pPr>
      <w:r>
        <w:rPr>
          <w:rFonts w:ascii="Arial" w:cs="Arial" w:eastAsia="Arial" w:hAnsi="Arial"/>
          <w:color w:val="1F1F1F"/>
          <w:sz w:val="21"/>
          <w:szCs w:val="21"/>
        </w:rPr>
        <w:t xml:space="preserve">The ten questions listed above are not rhetorical. Each has a specific answer — and that answer is contained in documents that are either in the custody of Bank of India, Indian Overseas Bank, the Registrar of Companies, or the Mamlatdar's office at Padra. The investigating authority has the power to obtain those documents and find those answers. The applicant does not. That is precisely why this matter is being placed before this authority.</w:t>
      </w:r>
    </w:p>
    <w:p>
      <w:pPr>
        <w:spacing w:after="160" w:line="300"/>
        <w:jc w:val="both"/>
      </w:pPr>
      <w:r>
        <w:rPr>
          <w:rFonts w:ascii="Arial" w:cs="Arial" w:eastAsia="Arial" w:hAnsi="Arial"/>
          <w:color w:val="1F1F1F"/>
          <w:sz w:val="21"/>
          <w:szCs w:val="21"/>
        </w:rPr>
        <w:t xml:space="preserve">I am available to provide originals or additional certified copies of any document referenced in this report. I request the concerned authority to apply its expert investigative powers to examine the anomalies I have identified and to answer the questions I have raised.</w:t>
      </w:r>
    </w:p>
    <w:p>
      <w:pPr>
        <w:spacing w:after="200" w:line="300"/>
        <w:jc w:val="left"/>
      </w:pPr>
      <w:r>
        <w:rPr>
          <w:rFonts w:ascii="Arial" w:cs="Arial" w:eastAsia="Arial" w:hAnsi="Arial"/>
          <w:color w:val="1F1F1F"/>
          <w:sz w:val="21"/>
          <w:szCs w:val="21"/>
        </w:rPr>
        <w:t xml:space="preserve"/>
      </w:r>
    </w:p>
    <w:p>
      <w:pPr>
        <w:spacing w:after="60" w:line="300"/>
        <w:jc w:val="left"/>
      </w:pPr>
      <w:r>
        <w:rPr>
          <w:rFonts w:ascii="Arial" w:cs="Arial" w:eastAsia="Arial" w:hAnsi="Arial"/>
          <w:color w:val="1F1F1F"/>
          <w:sz w:val="21"/>
          <w:szCs w:val="21"/>
        </w:rPr>
        <w:t xml:space="preserve">Signature: _______________________</w:t>
      </w:r>
    </w:p>
    <w:p>
      <w:pPr>
        <w:spacing w:after="60" w:line="300"/>
        <w:jc w:val="left"/>
      </w:pPr>
      <w:r>
        <w:rPr>
          <w:rFonts w:ascii="Arial" w:cs="Arial" w:eastAsia="Arial" w:hAnsi="Arial"/>
          <w:color w:val="1F1F1F"/>
          <w:sz w:val="21"/>
          <w:szCs w:val="21"/>
        </w:rPr>
        <w:t xml:space="preserve">Name: Neeraj Singh Mohnia</w:t>
      </w:r>
    </w:p>
    <w:p>
      <w:pPr>
        <w:spacing w:after="60" w:line="300"/>
        <w:jc w:val="left"/>
      </w:pPr>
      <w:r>
        <w:rPr>
          <w:rFonts w:ascii="Arial" w:cs="Arial" w:eastAsia="Arial" w:hAnsi="Arial"/>
          <w:color w:val="1F1F1F"/>
          <w:sz w:val="21"/>
          <w:szCs w:val="21"/>
        </w:rPr>
        <w:t xml:space="preserve">Date: _______________________  Place: Mumbai</w:t>
      </w:r>
    </w:p>
    <w:p>
      <w:pPr>
        <w:spacing w:after="60" w:line="300"/>
        <w:jc w:val="left"/>
      </w:pPr>
      <w:r>
        <w:rPr>
          <w:rFonts w:ascii="Arial" w:cs="Arial" w:eastAsia="Arial" w:hAnsi="Arial"/>
          <w:color w:val="1F1F1F"/>
          <w:sz w:val="21"/>
          <w:szCs w:val="21"/>
        </w:rPr>
        <w:t xml:space="preserve">Address: A-503, Marathon Eminence, Dadasaheb Gaikwad Marg, Mulund West, Mumbai — 400 080</w:t>
      </w:r>
    </w:p>
    <w:p>
      <w:pPr>
        <w:spacing w:after="160" w:line="300"/>
        <w:jc w:val="left"/>
      </w:pPr>
      <w:r>
        <w:rPr>
          <w:rFonts w:ascii="Arial" w:cs="Arial" w:eastAsia="Arial" w:hAnsi="Arial"/>
          <w:color w:val="1F1F1F"/>
          <w:sz w:val="21"/>
          <w:szCs w:val="21"/>
        </w:rPr>
        <w:t xml:space="preserve">Mobile: 9323722122   Email: adarshimpexent@gmail.com</w:t>
      </w:r>
    </w:p>
    <w:p>
      <w:pPr>
        <w:pBdr>
          <w:bottom w:val="single" w:color="1F3864" w:sz="6"/>
        </w:pBdr>
        <w:spacing w:after="160" w:before="300"/>
      </w:pPr>
      <w:r>
        <w:rPr>
          <w:rFonts w:ascii="Arial" w:cs="Arial" w:eastAsia="Arial" w:hAnsi="Arial"/>
          <w:b/>
          <w:bCs/>
          <w:color w:val="8B0000"/>
          <w:sz w:val="26"/>
          <w:szCs w:val="26"/>
        </w:rPr>
        <w:t xml:space="preserve">ANNEXURE TO FORENSIC OBSERVATION REPORT — SUMMARY TABLE OF ALL ANOMALIES FLAGGED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600"/>
      </w:tblGrid>
      <w:tr>
        <w:trPr>
          <w:tblHeader/>
        </w:trPr>
        <w:tc>
          <w:tcPr>
            <w:tcW w:type="dxa" w:w="900"/>
            <w:tcBorders>
              <w:top w:val="single" w:color="999999" w:sz="2"/>
              <w:left w:val="single" w:color="999999" w:sz="2"/>
              <w:bottom w:val="single" w:color="999999" w:sz="2"/>
              <w:right w:val="single" w:color="999999" w:sz="2"/>
            </w:tcBorders>
            <w:shd w:fill="1F3864" w:val="clear"/>
            <w:tcMar>
              <w:top w:type="dxa" w:w="50"/>
              <w:left w:type="dxa" w:w="70"/>
              <w:bottom w:type="dxa" w:w="50"/>
              <w:right w:type="dxa" w:w="70"/>
            </w:tcMar>
            <w:vAlign w:val="center"/>
          </w:tcPr>
          <w:p>
            <w:r>
              <w:rPr>
                <w:rFonts w:ascii="Arial" w:cs="Arial" w:eastAsia="Arial" w:hAnsi="Arial"/>
                <w:b/>
                <w:bCs/>
                <w:color w:val="FFFFFF"/>
                <w:sz w:val="16"/>
                <w:szCs w:val="16"/>
              </w:rPr>
              <w:t xml:space="preserve">Anomaly No.</w:t>
            </w:r>
          </w:p>
        </w:tc>
        <w:tc>
          <w:tcPr>
            <w:tcW w:type="dxa" w:w="1500"/>
            <w:tcBorders>
              <w:top w:val="single" w:color="999999" w:sz="2"/>
              <w:left w:val="single" w:color="999999" w:sz="2"/>
              <w:bottom w:val="single" w:color="999999" w:sz="2"/>
              <w:right w:val="single" w:color="999999" w:sz="2"/>
            </w:tcBorders>
            <w:shd w:fill="1F3864" w:val="clear"/>
            <w:tcMar>
              <w:top w:type="dxa" w:w="50"/>
              <w:left w:type="dxa" w:w="70"/>
              <w:bottom w:type="dxa" w:w="50"/>
              <w:right w:type="dxa" w:w="70"/>
            </w:tcMar>
            <w:vAlign w:val="center"/>
          </w:tcPr>
          <w:p>
            <w:r>
              <w:rPr>
                <w:rFonts w:ascii="Arial" w:cs="Arial" w:eastAsia="Arial" w:hAnsi="Arial"/>
                <w:b/>
                <w:bCs/>
                <w:color w:val="FFFFFF"/>
                <w:sz w:val="16"/>
                <w:szCs w:val="16"/>
              </w:rPr>
              <w:t xml:space="preserve">Document</w:t>
            </w:r>
          </w:p>
        </w:tc>
        <w:tc>
          <w:tcPr>
            <w:tcW w:type="dxa" w:w="4200"/>
            <w:tcBorders>
              <w:top w:val="single" w:color="999999" w:sz="2"/>
              <w:left w:val="single" w:color="999999" w:sz="2"/>
              <w:bottom w:val="single" w:color="999999" w:sz="2"/>
              <w:right w:val="single" w:color="999999" w:sz="2"/>
            </w:tcBorders>
            <w:shd w:fill="1F3864" w:val="clear"/>
            <w:tcMar>
              <w:top w:type="dxa" w:w="50"/>
              <w:left w:type="dxa" w:w="70"/>
              <w:bottom w:type="dxa" w:w="50"/>
              <w:right w:type="dxa" w:w="70"/>
            </w:tcMar>
            <w:vAlign w:val="center"/>
          </w:tcPr>
          <w:p>
            <w:r>
              <w:rPr>
                <w:rFonts w:ascii="Arial" w:cs="Arial" w:eastAsia="Arial" w:hAnsi="Arial"/>
                <w:b/>
                <w:bCs/>
                <w:color w:val="FFFFFF"/>
                <w:sz w:val="16"/>
                <w:szCs w:val="16"/>
              </w:rPr>
              <w:t xml:space="preserve">Nature of Anomaly</w:t>
            </w:r>
          </w:p>
        </w:tc>
        <w:tc>
          <w:tcPr>
            <w:tcW w:type="dxa" w:w="2600"/>
            <w:tcBorders>
              <w:top w:val="single" w:color="999999" w:sz="2"/>
              <w:left w:val="single" w:color="999999" w:sz="2"/>
              <w:bottom w:val="single" w:color="999999" w:sz="2"/>
              <w:right w:val="single" w:color="999999" w:sz="2"/>
            </w:tcBorders>
            <w:shd w:fill="1F3864" w:val="clear"/>
            <w:tcMar>
              <w:top w:type="dxa" w:w="50"/>
              <w:left w:type="dxa" w:w="70"/>
              <w:bottom w:type="dxa" w:w="50"/>
              <w:right w:type="dxa" w:w="70"/>
            </w:tcMar>
            <w:vAlign w:val="center"/>
          </w:tcPr>
          <w:p>
            <w:r>
              <w:rPr>
                <w:rFonts w:ascii="Arial" w:cs="Arial" w:eastAsia="Arial" w:hAnsi="Arial"/>
                <w:b/>
                <w:bCs/>
                <w:color w:val="FFFFFF"/>
                <w:sz w:val="16"/>
                <w:szCs w:val="16"/>
              </w:rPr>
              <w:t xml:space="preserve">Significance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R-1(a)</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Property Card</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Wrong owner in CERSAI vs. revenue record</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Void mortgage — proved by Govt. record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R-1(b)</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Property Card</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Govt. revenue land — S.68 GLRC — no Collector's permission</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Second independent void ground</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R-1(c)</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Property Card</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Area 12,367 sq.m. (revenue) vs. 6,303 sq.m. (CERSAI)</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Security description incomplete</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R-1(d)</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Property Card</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Title by Govt. administrative order — not sale deed</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Not freely mortgageable private title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R-1(e)</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Property Card</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2024 mutation while DRT pending</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Identity of applicant — suspicious timing</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R-2(a)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Haq Patrak</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No Bohra entity in 30 years of rights record</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Confirms complete absence of title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R-2(b)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Haq Patrak</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Verification date 23-05-2017 — current at BoI mortgage time</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Bank could have checked — chose not to</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R-2(c)</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Haq Patrak</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Non-sequential entry numbers</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Possible missing entries</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R-3(a)</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Gaon Namuno 12</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No Bohra entity as occupant</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No ownership OR possession</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R-4(a)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7/12 Utara</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Consistent with all other revenue records</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Triple-confirmed non-ownership</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R-4(b)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7/12 Utara</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Encumbrance entries — require translation</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IOB/BoI charges in revenue record?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C-1(a)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E-2</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False "Asset Owner: Yes" — Light and Glaze</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No title — proved by R-1 to R-4</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C-1(b)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E-2</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13 years unsatisfied — IOB</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Public money unrecovered on void security</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C-1(c)</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E-2</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Prior charge visible on CERSAI — BoI should have found</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Mandatory CERSAI search not done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C-2(a)</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E-1</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False "Asset Owner: Yes" — Rashmi Steels</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No title — proved by R-1 to R-4</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C-2(b)</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E-1</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410% increase in 5 years</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Gross overvaluation</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C-2(c)</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E-1</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Two Asset IDs for same land</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Double financing structure</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C-2(d)</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E-1</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Different pin codes — 391440 vs 391430</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Possible deliberate mismatch</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C-2(e)</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Both CERSAI</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Govt. revenue land — three-fold void</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Strongest possible void ground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C-3(a)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E-3</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Enhancement 22 months after default</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Post-default officer collusion</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C-3(b)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E-3</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Same branch — same proprietor — no aggregation</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RBI large exposure violation</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C-5(a)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E3/4/5</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Three plot numbers — same asset</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Imprecise security description</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C-10(a)</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C-10</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7-month CERSAI registration delay by BoI</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Pattern of delayed compliance</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C-11(a)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C-11</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16-minute same-day enhancement</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Individual officer collusion</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C-11(b)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C-11</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₹44+ crore from one branch — one family — one year</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RBI large exposure violation</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C-12(a)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CERSAI C-12</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Son's NPA confirmed — family-wide default</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Systemic — not isolated</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C-12(b)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CERSAI C-12</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Only 900 sq.ft. flat in son's name</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Nominee holding suspected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M-1(a)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MCA</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Land owner legally dead</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Assets vested in Government</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M-1(b)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MCA</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RTI filed — director names pending</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Bohra connection = fraud loop closed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D-1(a)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DRT portal</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Service at BoI-sold address</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7 years ex parte — possibly defective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D-1(b)</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DRT portal</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Geetaben Joshi not in DRT — but in auction notice</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Missing party</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D-2(a)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DRT cause list</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Separate OA against Ravi Bohra</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Father and son separately liable</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N-1(a)</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Auction notice</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SARFAESI on void mortgage account</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Proceeds without legal authority</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N-1(b)</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Auction notice</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Only ₹2.5 crore repaid in 3.5 years</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Loan proceeds not deployed in business</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N-1(c)</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Auction notice</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New guarantor Geetaben Joshi — untraced assets</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Search required</w:t>
            </w:r>
          </w:p>
        </w:tc>
      </w:tr>
      <w:tr>
        <w:tc>
          <w:tcPr>
            <w:tcW w:type="dxa" w:w="9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T-1(a)</w:t>
            </w:r>
          </w:p>
        </w:tc>
        <w:tc>
          <w:tcPr>
            <w:tcW w:type="dxa" w:w="15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RTI</w:t>
            </w:r>
          </w:p>
        </w:tc>
        <w:tc>
          <w:tcPr>
            <w:tcW w:type="dxa" w:w="42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Director identity — missing link</w:t>
            </w:r>
          </w:p>
        </w:tc>
        <w:tc>
          <w:tcPr>
            <w:tcW w:type="dxa" w:w="2600"/>
            <w:tcBorders>
              <w:top w:val="single" w:color="999999" w:sz="2"/>
              <w:left w:val="single" w:color="999999" w:sz="2"/>
              <w:bottom w:val="single" w:color="999999" w:sz="2"/>
              <w:right w:val="single" w:color="999999" w:sz="2"/>
            </w:tcBorders>
            <w:tcMar>
              <w:top w:type="dxa" w:w="50"/>
              <w:left w:type="dxa" w:w="70"/>
              <w:bottom w:type="dxa" w:w="50"/>
              <w:right w:type="dxa" w:w="70"/>
            </w:tcMar>
            <w:vAlign w:val="center"/>
          </w:tcPr>
          <w:p>
            <w:r>
              <w:rPr>
                <w:rFonts w:ascii="Arial" w:cs="Arial" w:eastAsia="Arial" w:hAnsi="Arial"/>
                <w:color w:val="1F1F1F"/>
                <w:sz w:val="16"/>
                <w:szCs w:val="16"/>
              </w:rPr>
              <w:t xml:space="preserve">Bohra = director = fraud loop</w:t>
            </w:r>
          </w:p>
        </w:tc>
      </w:tr>
      <w:tr>
        <w:tc>
          <w:tcPr>
            <w:tcW w:type="dxa" w:w="9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38</w:t>
            </w:r>
          </w:p>
        </w:tc>
        <w:tc>
          <w:tcPr>
            <w:tcW w:type="dxa" w:w="15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MCA Form 23AC</w:t>
            </w:r>
          </w:p>
        </w:tc>
        <w:tc>
          <w:tcPr>
            <w:tcW w:type="dxa" w:w="42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Technical insolvency 4 years pre-sanction (Negative Reserves ₹22,75,814.84)</w:t>
            </w:r>
          </w:p>
        </w:tc>
        <w:tc>
          <w:tcPr>
            <w:tcW w:type="dxa" w:w="2600"/>
            <w:tcBorders>
              <w:top w:val="single" w:color="999999" w:sz="2"/>
              <w:left w:val="single" w:color="999999" w:sz="2"/>
              <w:bottom w:val="single" w:color="999999" w:sz="2"/>
              <w:right w:val="single" w:color="999999" w:sz="2"/>
            </w:tcBorders>
            <w:shd w:fill="F2F2F2" w:val="clear"/>
            <w:tcMar>
              <w:top w:type="dxa" w:w="50"/>
              <w:left w:type="dxa" w:w="70"/>
              <w:bottom w:type="dxa" w:w="50"/>
              <w:right w:type="dxa" w:w="70"/>
            </w:tcMar>
            <w:vAlign w:val="center"/>
          </w:tcPr>
          <w:p>
            <w:r>
              <w:rPr>
                <w:rFonts w:ascii="Arial" w:cs="Arial" w:eastAsia="Arial" w:hAnsi="Arial"/>
                <w:color w:val="1F1F1F"/>
                <w:sz w:val="16"/>
                <w:szCs w:val="16"/>
              </w:rPr>
              <w:t xml:space="preserve">Pre-sanction insolvency — hollow borrower</w:t>
            </w:r>
          </w:p>
        </w:tc>
      </w:tr>
    </w:tbl>
    <w:p>
      <w:pPr>
        <w:spacing w:after="200" w:line="300"/>
        <w:jc w:val="left"/>
      </w:pPr>
      <w:r>
        <w:rPr>
          <w:rFonts w:ascii="Arial" w:cs="Arial" w:eastAsia="Arial" w:hAnsi="Arial"/>
          <w:color w:val="1F1F1F"/>
          <w:sz w:val="21"/>
          <w:szCs w:val="21"/>
        </w:rPr>
        <w:t xml:space="preserve"/>
      </w:r>
    </w:p>
    <w:p>
      <w:pPr>
        <w:spacing w:after="160" w:line="300"/>
        <w:jc w:val="left"/>
      </w:pPr>
      <w:r>
        <w:rPr>
          <w:rFonts w:ascii="Arial" w:cs="Arial" w:eastAsia="Arial" w:hAnsi="Arial"/>
          <w:b/>
          <w:bCs/>
          <w:color w:val="1F1F1F"/>
          <w:sz w:val="21"/>
          <w:szCs w:val="21"/>
        </w:rPr>
        <w:t xml:space="preserve">Total anomalies documented: 38</w:t>
      </w:r>
    </w:p>
    <w:p>
      <w:pPr>
        <w:spacing w:after="160" w:line="300"/>
        <w:jc w:val="left"/>
      </w:pPr>
      <w:r>
        <w:rPr>
          <w:rFonts w:ascii="Arial" w:cs="Arial" w:eastAsia="Arial" w:hAnsi="Arial"/>
          <w:color w:val="1F1F1F"/>
          <w:sz w:val="21"/>
          <w:szCs w:val="21"/>
        </w:rPr>
        <w:t xml:space="preserve">Documents analyzed: 19 (4 revenue records + 12 CERSAI + 1 MCA + 1 DRT + 1 auction notice + 1 RTI)</w:t>
      </w:r>
    </w:p>
    <w:p>
      <w:pPr>
        <w:spacing w:after="160" w:line="300"/>
        <w:jc w:val="left"/>
      </w:pPr>
      <w:r>
        <w:rPr>
          <w:rFonts w:ascii="Arial" w:cs="Arial" w:eastAsia="Arial" w:hAnsi="Arial"/>
          <w:color w:val="1F1F1F"/>
          <w:sz w:val="21"/>
          <w:szCs w:val="21"/>
        </w:rPr>
        <w:t xml:space="preserve">Official Government digital signatures on documents: 5 (Property Card + 4 Haq Patrak pages)</w:t>
      </w:r>
    </w:p>
    <w:p>
      <w:pPr>
        <w:spacing w:after="160" w:line="300"/>
        <w:jc w:val="left"/>
      </w:pPr>
      <w:r>
        <w:rPr>
          <w:rFonts w:ascii="Arial" w:cs="Arial" w:eastAsia="Arial" w:hAnsi="Arial"/>
          <w:color w:val="1F1F1F"/>
          <w:sz w:val="21"/>
          <w:szCs w:val="21"/>
        </w:rPr>
        <w:t xml:space="preserve">False "Asset Owner: Yes" declarations identified: 2 (Light and Glaze 2012, Rashmi Steels 2017)</w:t>
      </w:r>
    </w:p>
    <w:p>
      <w:pPr>
        <w:spacing w:after="160" w:line="300"/>
        <w:jc w:val="left"/>
      </w:pPr>
      <w:r>
        <w:rPr>
          <w:rFonts w:ascii="Arial" w:cs="Arial" w:eastAsia="Arial" w:hAnsi="Arial"/>
          <w:color w:val="1F1F1F"/>
          <w:sz w:val="21"/>
          <w:szCs w:val="21"/>
        </w:rPr>
        <w:t xml:space="preserve">Independent grounds for void mortgage identified: 3 (non-ownership + Govt. revenue land S.68 GLRC + Company struck off S.250 CA)</w:t>
      </w:r>
    </w:p>
    <w:p>
      <w:pPr>
        <w:spacing w:after="160" w:line="300"/>
        <w:jc w:val="left"/>
      </w:pPr>
      <w:r>
        <w:rPr>
          <w:rFonts w:ascii="Arial" w:cs="Arial" w:eastAsia="Arial" w:hAnsi="Arial"/>
          <w:color w:val="1F1F1F"/>
          <w:sz w:val="21"/>
          <w:szCs w:val="21"/>
        </w:rPr>
        <w:t xml:space="preserve">Total BoI Nagpada exposure — unsatisfied: ₹44+ crore</w:t>
      </w:r>
    </w:p>
    <w:p>
      <w:pPr>
        <w:spacing w:after="160" w:line="300"/>
        <w:jc w:val="left"/>
      </w:pPr>
      <w:r>
        <w:rPr>
          <w:rFonts w:ascii="Arial" w:cs="Arial" w:eastAsia="Arial" w:hAnsi="Arial"/>
          <w:color w:val="1F1F1F"/>
          <w:sz w:val="21"/>
          <w:szCs w:val="21"/>
        </w:rPr>
        <w:t xml:space="preserve">My decree — total recoverable 01-04-2026: ₹1,51,57,226. Monthly accrual: ₹90,401</w:t>
      </w:r>
    </w:p>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pBdr>
      <w:jc w:val="center"/>
    </w:pPr>
    <w:r>
      <w:rPr>
        <w:rFonts w:ascii="Arial" w:cs="Arial" w:eastAsia="Arial" w:hAnsi="Arial"/>
        <w:color w:val="666666"/>
        <w:sz w:val="15"/>
        <w:szCs w:val="15"/>
      </w:rPr>
      <w:t xml:space="preserve">LAYPERSON'S FORENSIC OBSERVATION REPORT — Exhibit J-3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821dd9c501773a51a9b920c554b51145f95423.jpg"/><Relationship Id="rId10" Type="http://schemas.openxmlformats.org/officeDocument/2006/relationships/image" Target="media/4a8b3f8d268629aa108a19e6c7eae46967d48f8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2026-08-24T10:59:58.132Z</dcterms:created>
  <dcterms:modified xsi:type="dcterms:W3CDTF">2026-08-24T10:59:58.132Z</dcterms:modified>
</cp:coreProperties>
</file>

<file path=docProps/custom.xml><?xml version="1.0" encoding="utf-8"?>
<Properties xmlns="http://schemas.openxmlformats.org/officeDocument/2006/custom-properties" xmlns:vt="http://schemas.openxmlformats.org/officeDocument/2006/docPropsVTypes"/>
</file>