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A5E" w:val="clear"/>
        <w:spacing w:after="20" w:before="80"/>
        <w:jc w:val="center"/>
      </w:pPr>
      <w:r>
        <w:rPr>
          <w:b/>
          <w:bCs/>
          <w:color w:val="FFFFFF"/>
          <w:sz w:val="26"/>
          <w:szCs w:val="26"/>
        </w:rPr>
        <w:t xml:space="preserve">CONSOLIDATED FIRST APPEAL UNDER SECTION 19(1)</w:t>
      </w:r>
    </w:p>
    <w:p>
      <w:pPr>
        <w:shd w:fill="1F2A5E" w:val="clear"/>
        <w:spacing w:after="160"/>
        <w:jc w:val="center"/>
      </w:pPr>
      <w:r>
        <w:rPr>
          <w:b/>
          <w:bCs/>
          <w:color w:val="FFFFFF"/>
          <w:sz w:val="19"/>
          <w:szCs w:val="19"/>
        </w:rPr>
        <w:t xml:space="preserve">RIGHT TO INFORMATION ACT, 2005</w:t>
      </w:r>
    </w:p>
    <w:p/>
    <w:p>
      <w:pPr>
        <w:spacing w:after="60" w:line="276"/>
      </w:pPr>
      <w:r>
        <w:rPr>
          <w:b/>
          <w:bCs/>
          <w:sz w:val="21"/>
          <w:szCs w:val="21"/>
        </w:rPr>
        <w:t xml:space="preserve">RE: M/s. RASHMI STEELS · M/s. BABULAL GANESHMAL BOHRA · M/s. SANGEETA BABULAL BOHRA</w:t>
      </w:r>
    </w:p>
    <w:p>
      <w:pPr>
        <w:spacing w:after="160" w:line="276"/>
        <w:jc w:val="both"/>
      </w:pPr>
      <w:r>
        <w:rPr>
          <w:b/>
          <w:bCs/>
          <w:color w:val="C00000"/>
          <w:sz w:val="21"/>
          <w:szCs w:val="21"/>
          <w:highlight w:val="yellow"/>
          <w:highlightCs w:val="yellow"/>
        </w:rPr>
        <w:t xml:space="preserve">DEADLINE:</w:t>
      </w:r>
      <w:r>
        <w:rPr>
          <w:b w:val="false"/>
          <w:bCs w:val="false"/>
          <w:sz w:val="21"/>
          <w:szCs w:val="21"/>
        </w:rPr>
        <w:t xml:space="preserve"> Appeal ought to have been filed on or before 07.08.2026 (30 days from consolidated Order dated 08.07.2026); filed with a plea for condonation of delay (see below).</w:t>
      </w:r>
    </w:p>
    <w:p/>
    <w:p>
      <w:pPr>
        <w:spacing w:after="60" w:line="276"/>
      </w:pPr>
      <w:r>
        <w:rPr>
          <w:sz w:val="21"/>
          <w:szCs w:val="21"/>
        </w:rPr>
        <w:t xml:space="preserve">To,</w:t>
      </w:r>
    </w:p>
    <w:p>
      <w:pPr>
        <w:spacing w:after="60" w:line="276"/>
      </w:pPr>
      <w:r>
        <w:rPr>
          <w:sz w:val="21"/>
          <w:szCs w:val="21"/>
        </w:rPr>
        <w:t xml:space="preserve">The Deputy Commissioner of Sales Tax</w:t>
      </w:r>
    </w:p>
    <w:p>
      <w:pPr>
        <w:spacing w:after="60" w:line="276"/>
      </w:pPr>
      <w:r>
        <w:rPr>
          <w:sz w:val="21"/>
          <w:szCs w:val="21"/>
        </w:rPr>
        <w:t xml:space="preserve">First Appellate Officer, MUM-NOD-E-0201</w:t>
      </w:r>
    </w:p>
    <w:p>
      <w:pPr>
        <w:spacing w:after="60" w:line="276"/>
      </w:pPr>
      <w:r>
        <w:rPr>
          <w:sz w:val="21"/>
          <w:szCs w:val="21"/>
        </w:rPr>
        <w:t xml:space="preserve">Nodal Division-2, 6th Floor, E Wing, Cabin No. E-3,</w:t>
      </w:r>
    </w:p>
    <w:p>
      <w:pPr>
        <w:spacing w:after="60" w:line="276"/>
      </w:pPr>
      <w:r>
        <w:rPr>
          <w:sz w:val="21"/>
          <w:szCs w:val="21"/>
        </w:rPr>
        <w:t xml:space="preserve">New Building, GST Bhavan, Mazgaon, Mumbai – 10</w:t>
      </w:r>
    </w:p>
    <w:p>
      <w:pPr>
        <w:spacing w:after="60" w:line="276"/>
      </w:pPr>
      <w:r>
        <w:rPr>
          <w:sz w:val="21"/>
          <w:szCs w:val="21"/>
        </w:rPr>
        <w:t xml:space="preserve">Email: dcgirgaon501@gmail.com</w:t>
      </w:r>
    </w:p>
    <w:p/>
    <w:p>
      <w:pPr>
        <w:spacing w:after="60" w:line="276"/>
      </w:pPr>
      <w:r>
        <w:rPr>
          <w:sz w:val="21"/>
          <w:szCs w:val="21"/>
        </w:rPr>
        <w:t xml:space="preserve">Appellant: Neeraj Singh Mohnia, A-503, Marathon Eminence, Dadasaheb Gaikwad Marg, Mulund West, Mumbai – 400080</w:t>
      </w:r>
    </w:p>
    <w:p/>
    <w:p>
      <w:pPr>
        <w:spacing w:after="160" w:line="276"/>
        <w:jc w:val="both"/>
      </w:pPr>
      <w:r>
        <w:rPr>
          <w:sz w:val="21"/>
          <w:szCs w:val="21"/>
        </w:rPr>
        <w:t xml:space="preserve">Subject: Consolidated First Appeal against denial of information relating to (A) M/s Rashmi Steels, (B) M/s Babulal Ganeshmal Bohra, and (C) M/s Sangeeta Babulal Bohra</w:t>
      </w:r>
    </w:p>
    <w:p>
      <w:pPr>
        <w:spacing w:after="160" w:line="276"/>
        <w:jc w:val="both"/>
      </w:pPr>
      <w:r>
        <w:rPr>
          <w:sz w:val="21"/>
          <w:szCs w:val="21"/>
        </w:rPr>
        <w:t xml:space="preserve">Against: Order Ref. सविआ/(AST-D-0003)/क्षवि.2/मा.अविकार/2026-27/ब-156 dated 08.07.2026, issued by the State Public Information Officer, Assistant Commissioner of State Tax (AST-D-003), Nodal Division-2, Mumbai</w:t>
      </w:r>
    </w:p>
    <w:p>
      <w:pPr>
        <w:spacing w:after="100" w:before="180"/>
      </w:pPr>
      <w:r>
        <w:rPr>
          <w:b/>
          <w:bCs/>
          <w:color w:val="1F2A5E"/>
          <w:sz w:val="24"/>
          <w:szCs w:val="24"/>
        </w:rPr>
        <w:t xml:space="preserve">Preliminary facts:</w:t>
      </w:r>
    </w:p>
    <w:p>
      <w:pPr>
        <w:spacing w:after="160" w:line="276"/>
        <w:jc w:val="both"/>
      </w:pPr>
      <w:r>
        <w:rPr>
          <w:b/>
          <w:bCs/>
          <w:sz w:val="25"/>
          <w:szCs w:val="25"/>
          <w:highlight w:val="yellow"/>
          <w:highlightCs w:val="yellow"/>
        </w:rPr>
        <w:t xml:space="preserve">1. </w:t>
      </w:r>
      <w:r>
        <w:rPr>
          <w:sz w:val="21"/>
          <w:szCs w:val="21"/>
        </w:rPr>
        <w:t xml:space="preserve">The Appellant's RTI application, received by the State PIO's office and processed with inputs from four constituent offices (References 2–5 of the impugned Order), was disposed of by a single consolidated Order dated 08.07.2026, denying the information sought in respect of three separate dealers connected to the Appellant's ongoing litigation.</w:t>
      </w:r>
    </w:p>
    <w:p>
      <w:pPr>
        <w:spacing w:after="160" w:line="276"/>
        <w:jc w:val="both"/>
      </w:pPr>
      <w:r>
        <w:rPr>
          <w:b/>
          <w:bCs/>
          <w:sz w:val="25"/>
          <w:szCs w:val="25"/>
          <w:highlight w:val="green"/>
          <w:highlightCs w:val="green"/>
        </w:rPr>
        <w:t xml:space="preserve">2. </w:t>
      </w:r>
      <w:r>
        <w:rPr>
          <w:sz w:val="21"/>
          <w:szCs w:val="21"/>
        </w:rPr>
        <w:t xml:space="preserve">The Appellant is the decree-holder in Summary Suit No. 1352/2017 (City Civil Court, Mumbai), and is presently pursuing recovery and fraud-related proceedings before DRT-II, Mumbai (OA 122/2022), and a complaint before CBI EOW, Mumbai, against a network of entities connected to the judgment-debtor.</w:t>
      </w:r>
    </w:p>
    <w:p>
      <w:pPr>
        <w:spacing w:after="100" w:before="180"/>
      </w:pPr>
      <w:r>
        <w:rPr>
          <w:b/>
          <w:bCs/>
          <w:color w:val="1F2A5E"/>
          <w:sz w:val="24"/>
          <w:szCs w:val="24"/>
        </w:rPr>
        <w:t xml:space="preserve">Condonation of Delay</w:t>
      </w:r>
    </w:p>
    <w:p>
      <w:pPr>
        <w:spacing w:after="160" w:line="276"/>
        <w:jc w:val="both"/>
      </w:pPr>
      <w:r>
        <w:rPr>
          <w:b/>
          <w:bCs/>
          <w:sz w:val="25"/>
          <w:szCs w:val="25"/>
          <w:highlight w:val="yellow"/>
          <w:highlightCs w:val="yellow"/>
        </w:rPr>
        <w:t xml:space="preserve">3. </w:t>
      </w:r>
      <w:r>
        <w:rPr>
          <w:b w:val="false"/>
          <w:bCs w:val="false"/>
          <w:sz w:val="21"/>
          <w:szCs w:val="21"/>
        </w:rPr>
        <w:t xml:space="preserve">This Appeal ought to have been filed on or before 07.08.2026, being thirty days from the date of the impugned order dated 08.07.2026. Owing to an inadvertent administrative oversight in dispatch, this Appeal is being filed with a short delay. The Appellant respectfully submits that this delay is </w:t>
      </w:r>
      <w:r>
        <w:rPr>
          <w:b/>
          <w:bCs/>
          <w:color w:val="C00000"/>
          <w:sz w:val="21"/>
          <w:szCs w:val="21"/>
          <w:highlight w:val="yellow"/>
          <w:highlightCs w:val="yellow"/>
        </w:rPr>
        <w:t xml:space="preserve">neither wilful nor deliberate</w:t>
      </w:r>
      <w:r>
        <w:rPr>
          <w:b w:val="false"/>
          <w:bCs w:val="false"/>
          <w:sz w:val="21"/>
          <w:szCs w:val="21"/>
        </w:rPr>
        <w:t xml:space="preserve">, and prays that the same be condoned under the proviso to Section 19(1) of the Right to Information Act, 2005.</w:t>
      </w:r>
    </w:p>
    <w:p>
      <w:pPr>
        <w:spacing w:after="120" w:before="200"/>
      </w:pPr>
      <w:r>
        <w:rPr>
          <w:b/>
          <w:bCs/>
          <w:color w:val="8B0000"/>
          <w:sz w:val="27"/>
          <w:szCs w:val="27"/>
        </w:rPr>
        <w:t xml:space="preserve">GROUND A — </w:t>
      </w:r>
      <w:r>
        <w:rPr>
          <w:b/>
          <w:bCs/>
          <w:sz w:val="23"/>
          <w:szCs w:val="23"/>
        </w:rPr>
        <w:t xml:space="preserve">M/s RASHMI STEELS</w:t>
      </w:r>
    </w:p>
    <w:p>
      <w:pPr>
        <w:spacing w:after="60" w:line="276"/>
      </w:pPr>
      <w:r>
        <w:rPr>
          <w:i/>
          <w:iCs/>
          <w:sz w:val="21"/>
          <w:szCs w:val="21"/>
        </w:rPr>
        <w:t xml:space="preserve">Underlying reply: Deputy Commissioner of State Tax, MUM-NOD-E-0202, Ref. B-86 dated 25.06.2026</w:t>
      </w:r>
    </w:p>
    <w:p>
      <w:pPr>
        <w:spacing w:after="160" w:line="276"/>
        <w:jc w:val="both"/>
      </w:pPr>
      <w:r>
        <w:rPr>
          <w:sz w:val="21"/>
          <w:szCs w:val="21"/>
        </w:rPr>
        <w:t xml:space="preserve">The Respondent denied the Appellant's request for year-wise turnover, VAT registration cancellation details, and return-filing history for M/s Rashmi Steels, citing (i) that the information is “not available” as the system is “under renovation,” and (ii) the Delhi High Court's judgment in </w:t>
      </w:r>
      <w:r>
        <w:rPr>
          <w:i/>
          <w:iCs/>
          <w:sz w:val="21"/>
          <w:szCs w:val="21"/>
        </w:rPr>
        <w:t xml:space="preserve">LPA 190/2012, Ashok Kumar Goel v. PIO VAT Ward No. 64 &amp; Anr.</w:t>
      </w:r>
    </w:p>
    <w:p>
      <w:pPr>
        <w:spacing w:after="160" w:line="276"/>
        <w:jc w:val="both"/>
      </w:pPr>
      <w:r>
        <w:rPr>
          <w:b w:val="false"/>
          <w:bCs w:val="false"/>
          <w:sz w:val="21"/>
          <w:szCs w:val="21"/>
        </w:rPr>
        <w:t xml:space="preserve">Goel concerned a dispute between warring siblings, where the Court found expressly that no public interest was involved. The judgment itself, at paragraph 7, holds that such information “can be given only if larger public interest warrants the disclosure” — expressly preserving disclosure where public interest exists. The Respondent's reply </w:t>
      </w:r>
      <w:r>
        <w:rPr>
          <w:b/>
          <w:bCs/>
          <w:color w:val="C00000"/>
          <w:sz w:val="21"/>
          <w:szCs w:val="21"/>
          <w:highlight w:val="yellow"/>
          <w:highlightCs w:val="yellow"/>
        </w:rPr>
        <w:t xml:space="preserve">does not engage</w:t>
      </w:r>
      <w:r>
        <w:rPr>
          <w:b w:val="false"/>
          <w:bCs w:val="false"/>
          <w:sz w:val="21"/>
          <w:szCs w:val="21"/>
        </w:rPr>
        <w:t xml:space="preserve"> with this distinction.</w:t>
      </w:r>
    </w:p>
    <w:p>
      <w:pPr>
        <w:spacing w:after="160" w:line="276"/>
        <w:jc w:val="both"/>
      </w:pPr>
      <w:r>
        <w:rPr>
          <w:b w:val="false"/>
          <w:bCs w:val="false"/>
          <w:sz w:val="21"/>
          <w:szCs w:val="21"/>
        </w:rPr>
        <w:t xml:space="preserve">A claimed temporary system outage is, at most, a ground for delay in furnishing information — it </w:t>
      </w:r>
      <w:r>
        <w:rPr>
          <w:b/>
          <w:bCs/>
          <w:color w:val="C00000"/>
          <w:sz w:val="21"/>
          <w:szCs w:val="21"/>
          <w:highlight w:val="yellow"/>
          <w:highlightCs w:val="yellow"/>
        </w:rPr>
        <w:t xml:space="preserve">cannot be treated</w:t>
      </w:r>
      <w:r>
        <w:rPr>
          <w:b w:val="false"/>
          <w:bCs w:val="false"/>
          <w:sz w:val="21"/>
          <w:szCs w:val="21"/>
        </w:rPr>
        <w:t xml:space="preserve"> as a substantive ground for permanent denial.</w:t>
      </w:r>
    </w:p>
    <w:p>
      <w:pPr>
        <w:spacing w:after="120" w:before="200"/>
      </w:pPr>
      <w:r>
        <w:rPr>
          <w:b/>
          <w:bCs/>
          <w:color w:val="8B0000"/>
          <w:sz w:val="27"/>
          <w:szCs w:val="27"/>
        </w:rPr>
        <w:t xml:space="preserve">GROUND B — </w:t>
      </w:r>
      <w:r>
        <w:rPr>
          <w:b/>
          <w:bCs/>
          <w:sz w:val="23"/>
          <w:szCs w:val="23"/>
        </w:rPr>
        <w:t xml:space="preserve">M/s BABULAL GANESHMAL BOHRA</w:t>
      </w:r>
    </w:p>
    <w:p>
      <w:pPr>
        <w:spacing w:after="60" w:line="276"/>
      </w:pPr>
      <w:r>
        <w:rPr>
          <w:i/>
          <w:iCs/>
          <w:sz w:val="21"/>
          <w:szCs w:val="21"/>
        </w:rPr>
        <w:t xml:space="preserve">Underlying reply: State Tax Officer, MUM-NOD-C-0201, Ref. B-254 dated 03.07.2026</w:t>
      </w:r>
    </w:p>
    <w:p>
      <w:pPr>
        <w:spacing w:after="160" w:line="276"/>
        <w:jc w:val="both"/>
      </w:pPr>
      <w:r>
        <w:rPr>
          <w:sz w:val="21"/>
          <w:szCs w:val="21"/>
        </w:rPr>
        <w:t xml:space="preserve">The same two grounds — system unavailability and the Goel judgment — were invoked to deny information regarding Mr. Babulal Ganeshmal Bohra, the very judgment-debtor against whom the Appellant holds a decree.</w:t>
      </w:r>
    </w:p>
    <w:p>
      <w:pPr>
        <w:spacing w:after="160" w:line="276"/>
        <w:jc w:val="both"/>
      </w:pPr>
      <w:r>
        <w:rPr>
          <w:b w:val="false"/>
          <w:bCs w:val="false"/>
          <w:sz w:val="21"/>
          <w:szCs w:val="21"/>
        </w:rPr>
        <w:t xml:space="preserve">The identical “system under renovation” justification, worded near-verbatim, has now been furnished across all three denials addressed in this Appeal — indicative of a </w:t>
      </w:r>
      <w:r>
        <w:rPr>
          <w:b/>
          <w:bCs/>
          <w:color w:val="C00000"/>
          <w:sz w:val="21"/>
          <w:szCs w:val="21"/>
          <w:highlight w:val="yellow"/>
          <w:highlightCs w:val="yellow"/>
        </w:rPr>
        <w:t xml:space="preserve">standard denial template</w:t>
      </w:r>
      <w:r>
        <w:rPr>
          <w:b w:val="false"/>
          <w:bCs w:val="false"/>
          <w:sz w:val="21"/>
          <w:szCs w:val="21"/>
        </w:rPr>
        <w:t xml:space="preserve"> rather than a genuine, case-specific technical constraint.</w:t>
      </w:r>
    </w:p>
    <w:p>
      <w:pPr>
        <w:spacing w:after="120" w:before="200"/>
      </w:pPr>
      <w:r>
        <w:rPr>
          <w:b/>
          <w:bCs/>
          <w:color w:val="8B0000"/>
          <w:sz w:val="27"/>
          <w:szCs w:val="27"/>
        </w:rPr>
        <w:t xml:space="preserve">GROUND C — </w:t>
      </w:r>
      <w:r>
        <w:rPr>
          <w:b/>
          <w:bCs/>
          <w:sz w:val="23"/>
          <w:szCs w:val="23"/>
        </w:rPr>
        <w:t xml:space="preserve">Mrs. SANGEETA BABULAL BOHRA</w:t>
      </w:r>
    </w:p>
    <w:p>
      <w:pPr>
        <w:spacing w:after="60" w:line="276"/>
      </w:pPr>
      <w:r>
        <w:rPr>
          <w:i/>
          <w:iCs/>
          <w:sz w:val="21"/>
          <w:szCs w:val="21"/>
        </w:rPr>
        <w:t xml:space="preserve">Underlying reply: Assistant Commissioner of State Tax, MUM-NOD-D-0207, Ref. B-546 dated 03.07.2026</w:t>
      </w:r>
    </w:p>
    <w:p>
      <w:pPr>
        <w:spacing w:after="160" w:line="276"/>
        <w:jc w:val="both"/>
      </w:pPr>
      <w:r>
        <w:rPr>
          <w:b/>
          <w:bCs/>
          <w:sz w:val="25"/>
          <w:szCs w:val="25"/>
          <w:highlight w:val="yellow"/>
          <w:highlightCs w:val="yellow"/>
        </w:rPr>
        <w:t xml:space="preserve">1. </w:t>
      </w:r>
      <w:r>
        <w:rPr>
          <w:b w:val="false"/>
          <w:bCs w:val="false"/>
          <w:sz w:val="21"/>
          <w:szCs w:val="21"/>
        </w:rPr>
        <w:t xml:space="preserve">The Respondent here records that the dealer was called upon for objection under the department's own third-party notice procedure, and that the dealer objected to disclosure. A third party's bare objection </w:t>
      </w:r>
      <w:r>
        <w:rPr>
          <w:b/>
          <w:bCs/>
          <w:color w:val="C00000"/>
          <w:sz w:val="21"/>
          <w:szCs w:val="21"/>
          <w:highlight w:val="yellow"/>
          <w:highlightCs w:val="yellow"/>
        </w:rPr>
        <w:t xml:space="preserve">does not, by itself</w:t>
      </w:r>
      <w:r>
        <w:rPr>
          <w:b w:val="false"/>
          <w:bCs w:val="false"/>
          <w:sz w:val="21"/>
          <w:szCs w:val="21"/>
        </w:rPr>
        <w:t xml:space="preserve">, discharge the public authority's independent duty to weigh public interest against the harm claimed.</w:t>
      </w:r>
    </w:p>
    <w:p>
      <w:pPr>
        <w:spacing w:after="160" w:line="276"/>
        <w:jc w:val="both"/>
      </w:pPr>
      <w:r>
        <w:rPr>
          <w:b/>
          <w:bCs/>
          <w:sz w:val="25"/>
          <w:szCs w:val="25"/>
          <w:highlight w:val="green"/>
          <w:highlightCs w:val="green"/>
        </w:rPr>
        <w:t xml:space="preserve">2. </w:t>
      </w:r>
      <w:r>
        <w:rPr>
          <w:sz w:val="21"/>
          <w:szCs w:val="21"/>
        </w:rPr>
        <w:t xml:space="preserve">“System under renovation” was invoked in this matter as well, despite the objection-based reasoning that follows it — if the system was genuinely unavailable, it is unclear on what basis the objection could have been meaningfully evaluated.</w:t>
      </w:r>
    </w:p>
    <w:p>
      <w:pPr>
        <w:spacing w:after="160" w:line="276"/>
        <w:jc w:val="both"/>
      </w:pPr>
      <w:r>
        <w:rPr>
          <w:b/>
          <w:bCs/>
          <w:sz w:val="25"/>
          <w:szCs w:val="25"/>
          <w:highlight w:val="green"/>
          <w:highlightCs w:val="green"/>
        </w:rPr>
        <w:t xml:space="preserve">3. </w:t>
      </w:r>
      <w:r>
        <w:rPr>
          <w:sz w:val="21"/>
          <w:szCs w:val="21"/>
        </w:rPr>
        <w:t xml:space="preserve">The Appellant notes an inconsistency: in the present matter the dealer is recorded as having actively objected by e-mail, whereas in the parallel denial at Ground B, the Respondent records “no reply received from dealer.” Yet both were identically and simultaneously denied.</w:t>
      </w:r>
    </w:p>
    <w:p>
      <w:pPr>
        <w:spacing w:after="120" w:before="200"/>
      </w:pPr>
      <w:r>
        <w:rPr>
          <w:b/>
          <w:bCs/>
          <w:color w:val="8B0000"/>
          <w:sz w:val="27"/>
          <w:szCs w:val="27"/>
        </w:rPr>
        <w:t xml:space="preserve">GROUND D — </w:t>
      </w:r>
      <w:r>
        <w:rPr>
          <w:b/>
          <w:bCs/>
          <w:sz w:val="23"/>
          <w:szCs w:val="23"/>
        </w:rPr>
        <w:t xml:space="preserve">INTERNAL CONTRADICTION COMMON TO GROUNDS A, B AND C</w:t>
      </w:r>
    </w:p>
    <w:p>
      <w:pPr>
        <w:spacing w:after="160" w:line="276"/>
        <w:jc w:val="both"/>
      </w:pPr>
      <w:r>
        <w:rPr>
          <w:b/>
          <w:bCs/>
          <w:sz w:val="25"/>
          <w:szCs w:val="25"/>
          <w:highlight w:val="yellow"/>
          <w:highlightCs w:val="yellow"/>
        </w:rPr>
        <w:t xml:space="preserve">1. </w:t>
      </w:r>
      <w:r>
        <w:rPr>
          <w:sz w:val="21"/>
          <w:szCs w:val="21"/>
        </w:rPr>
        <w:t xml:space="preserve">Each of the Respondents at Grounds A, B and C enclosed, as part of the very same reply asserting that the system was “under renovation,” a contemporaneous screenshot of the concerned dealer's current registration status drawn from the Maharashtra GST department's own web portal — necessarily generated from a live, functioning system.</w:t>
      </w:r>
    </w:p>
    <w:p>
      <w:pPr>
        <w:spacing w:after="160" w:line="276"/>
        <w:jc w:val="both"/>
      </w:pPr>
      <w:r>
        <w:rPr>
          <w:b/>
          <w:bCs/>
          <w:sz w:val="25"/>
          <w:szCs w:val="25"/>
          <w:highlight w:val="green"/>
          <w:highlightCs w:val="green"/>
        </w:rPr>
        <w:t xml:space="preserve">2. </w:t>
      </w:r>
      <w:r>
        <w:rPr>
          <w:b w:val="false"/>
          <w:bCs w:val="false"/>
          <w:sz w:val="21"/>
          <w:szCs w:val="21"/>
        </w:rPr>
        <w:t xml:space="preserve">If the system were genuinely under renovation, it is unclear how the same system could, on the same date, generate the status screenshot each Respondent chose to enclose. This indicates the system was in fact operational, and that “system under renovation” was </w:t>
      </w:r>
      <w:r>
        <w:rPr>
          <w:b/>
          <w:bCs/>
          <w:color w:val="C00000"/>
          <w:sz w:val="21"/>
          <w:szCs w:val="21"/>
          <w:highlight w:val="yellow"/>
          <w:highlightCs w:val="yellow"/>
        </w:rPr>
        <w:t xml:space="preserve">invoked selectively</w:t>
      </w:r>
      <w:r>
        <w:rPr>
          <w:b w:val="false"/>
          <w:bCs w:val="false"/>
          <w:sz w:val="21"/>
          <w:szCs w:val="21"/>
        </w:rPr>
        <w:t xml:space="preserve">.</w:t>
      </w:r>
    </w:p>
    <w:p>
      <w:pPr>
        <w:spacing w:after="100" w:before="180"/>
      </w:pPr>
      <w:r>
        <w:rPr>
          <w:b/>
          <w:bCs/>
          <w:color w:val="1F2A5E"/>
          <w:sz w:val="24"/>
          <w:szCs w:val="24"/>
        </w:rPr>
        <w:t xml:space="preserve">PRAYER</w:t>
      </w:r>
    </w:p>
    <w:p>
      <w:pPr>
        <w:spacing w:after="160" w:line="276"/>
        <w:jc w:val="both"/>
      </w:pPr>
      <w:r>
        <w:rPr>
          <w:sz w:val="21"/>
          <w:szCs w:val="21"/>
        </w:rPr>
        <w:t xml:space="preserve">The Appellant prays that this Hon'ble Appellate Authority:</w:t>
      </w:r>
    </w:p>
    <w:p>
      <w:pPr>
        <w:spacing w:after="160" w:line="276"/>
        <w:jc w:val="both"/>
      </w:pPr>
      <w:r>
        <w:rPr>
          <w:b/>
          <w:bCs/>
          <w:sz w:val="25"/>
          <w:szCs w:val="25"/>
          <w:highlight w:val="yellow"/>
          <w:highlightCs w:val="yellow"/>
        </w:rPr>
        <w:t xml:space="preserve">a. </w:t>
      </w:r>
      <w:r>
        <w:rPr>
          <w:sz w:val="21"/>
          <w:szCs w:val="21"/>
        </w:rPr>
        <w:t xml:space="preserve">Condone the delay in filing this Appeal, for the reasons set out above;</w:t>
      </w:r>
    </w:p>
    <w:p>
      <w:pPr>
        <w:spacing w:after="160" w:line="276"/>
        <w:jc w:val="both"/>
      </w:pPr>
      <w:r>
        <w:rPr>
          <w:b/>
          <w:bCs/>
          <w:sz w:val="25"/>
          <w:szCs w:val="25"/>
          <w:highlight w:val="green"/>
          <w:highlightCs w:val="green"/>
        </w:rPr>
        <w:t xml:space="preserve">b. </w:t>
      </w:r>
      <w:r>
        <w:rPr>
          <w:sz w:val="21"/>
          <w:szCs w:val="21"/>
        </w:rPr>
        <w:t xml:space="preserve">Direct the Respondents to furnish the information sought in respect of M/s Rashmi Steels, Mr. Babulal Ganeshmal Bohra, and Mrs. Sangeeta Babulal Bohra, having regard to the larger public interest in exposing financial fraud;</w:t>
      </w:r>
    </w:p>
    <w:p>
      <w:pPr>
        <w:spacing w:after="160" w:line="276"/>
        <w:jc w:val="both"/>
      </w:pPr>
      <w:r>
        <w:rPr>
          <w:b/>
          <w:bCs/>
          <w:sz w:val="25"/>
          <w:szCs w:val="25"/>
          <w:highlight w:val="yellow"/>
          <w:highlightCs w:val="yellow"/>
        </w:rPr>
        <w:t xml:space="preserve">c. </w:t>
      </w:r>
      <w:r>
        <w:rPr>
          <w:sz w:val="21"/>
          <w:szCs w:val="21"/>
        </w:rPr>
        <w:t xml:space="preserve">In the alternative, direct a reasoned order in each instance specifically addressing the public-interest balance required under the Goel standard;</w:t>
      </w:r>
    </w:p>
    <w:p>
      <w:pPr>
        <w:spacing w:after="160" w:line="276"/>
        <w:jc w:val="both"/>
      </w:pPr>
      <w:r>
        <w:rPr>
          <w:b/>
          <w:bCs/>
          <w:sz w:val="25"/>
          <w:szCs w:val="25"/>
          <w:highlight w:val="green"/>
          <w:highlightCs w:val="green"/>
        </w:rPr>
        <w:t xml:space="preserve">d. </w:t>
      </w:r>
      <w:r>
        <w:rPr>
          <w:sz w:val="21"/>
          <w:szCs w:val="21"/>
        </w:rPr>
        <w:t xml:space="preserve">Call for a specific, dated explanation of the claimed system unavailability, including reconciliation of that claim with the contemporaneously generated dealer-status screenshots;</w:t>
      </w:r>
    </w:p>
    <w:p>
      <w:pPr>
        <w:spacing w:after="160" w:line="276"/>
        <w:jc w:val="both"/>
      </w:pPr>
      <w:r>
        <w:rPr>
          <w:b/>
          <w:bCs/>
          <w:sz w:val="25"/>
          <w:szCs w:val="25"/>
          <w:highlight w:val="yellow"/>
          <w:highlightCs w:val="yellow"/>
        </w:rPr>
        <w:t xml:space="preserve">e. </w:t>
      </w:r>
      <w:r>
        <w:rPr>
          <w:sz w:val="21"/>
          <w:szCs w:val="21"/>
        </w:rPr>
        <w:t xml:space="preserve">Pass such further orders as this Hon'ble Authority deems fit.</w:t>
      </w:r>
    </w:p>
    <w:p/>
    <w:p>
      <w:pPr>
        <w:spacing w:after="60" w:line="276"/>
      </w:pPr>
      <w:r>
        <w:rPr>
          <w:sz w:val="21"/>
          <w:szCs w:val="21"/>
        </w:rPr>
        <w:t xml:space="preserve">Place: Mumbai</w:t>
      </w:r>
    </w:p>
    <w:p>
      <w:pPr>
        <w:spacing w:after="60" w:line="276"/>
      </w:pPr>
      <w:r>
        <w:rPr>
          <w:sz w:val="21"/>
          <w:szCs w:val="21"/>
        </w:rPr>
        <w:t xml:space="preserve">Date: ____________ (filed shortly beyond the 07.08.2026 deadline — see Condonation of Delay above)</w:t>
      </w:r>
    </w:p>
    <w:p/>
    <w:p>
      <w:pPr>
        <w:spacing w:after="60" w:line="276"/>
      </w:pPr>
      <w:r>
        <w:rPr>
          <w:sz w:val="21"/>
          <w:szCs w:val="21"/>
        </w:rPr>
        <w:t xml:space="preserve">Yours faithfully,</w:t>
      </w:r>
    </w:p>
    <w:p/>
    <w:p>
      <w:pPr>
        <w:spacing w:after="60" w:line="276"/>
      </w:pPr>
      <w:r>
        <w:rPr>
          <w:sz w:val="21"/>
          <w:szCs w:val="21"/>
        </w:rPr>
        <w:t xml:space="preserve">Neeraj Singh Mohnia</w:t>
      </w:r>
    </w:p>
    <w:p/>
    <w:p>
      <w:pPr>
        <w:spacing w:after="160" w:line="276"/>
        <w:jc w:val="both"/>
      </w:pPr>
      <w:r>
        <w:rPr>
          <w:sz w:val="21"/>
          <w:szCs w:val="21"/>
        </w:rPr>
        <w:t xml:space="preserve">Encl: RTI application; consolidated Order dated 08.07.2026 with References 2–5; individual replies for Rashmi Steels, Babulal Ganeshmal Bohra, and Sangeeta Babulal Bohra (each with enclosed dealer-status screenshot and LPA 190/2012 judgment copy)</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color w:val="1F2A5E"/>
        <w:sz w:val="15"/>
        <w:szCs w:val="15"/>
      </w:rPr>
      <w:t xml:space="preserve">CONSOLIDATED FIRST APPEAL | MAHARASHTRA GST | RASHMI STEELS · BABULAL BOHRA · SANGEETA BOHRA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2026-08-09T09:21:46.636Z</dcterms:created>
  <dcterms:modified xsi:type="dcterms:W3CDTF">2026-08-09T09:21:46.636Z</dcterms:modified>
</cp:coreProperties>
</file>

<file path=docProps/custom.xml><?xml version="1.0" encoding="utf-8"?>
<Properties xmlns="http://schemas.openxmlformats.org/officeDocument/2006/custom-properties" xmlns:vt="http://schemas.openxmlformats.org/officeDocument/2006/docPropsVTypes"/>
</file>