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A5E" w:val="clear"/>
        <w:spacing w:after="20" w:before="80"/>
        <w:jc w:val="center"/>
      </w:pPr>
      <w:r>
        <w:rPr>
          <w:b/>
          <w:bCs/>
          <w:color w:val="FFFFFF"/>
          <w:sz w:val="26"/>
          <w:szCs w:val="26"/>
        </w:rPr>
        <w:t xml:space="preserve">SECOND APPEAL UNDER SECTION 19(3)</w:t>
      </w:r>
    </w:p>
    <w:p>
      <w:pPr>
        <w:shd w:fill="1F2A5E" w:val="clear"/>
        <w:spacing w:after="160"/>
        <w:jc w:val="center"/>
      </w:pPr>
      <w:r>
        <w:rPr>
          <w:b/>
          <w:bCs/>
          <w:color w:val="FFFFFF"/>
          <w:sz w:val="19"/>
          <w:szCs w:val="19"/>
        </w:rPr>
        <w:t xml:space="preserve">RIGHT TO INFORMATION ACT, 2005 — BEFORE THE CENTRAL INFORMATION COMMISSION, NEW DELHI</w:t>
      </w:r>
    </w:p>
    <w:p/>
    <w:p>
      <w:pPr>
        <w:spacing w:after="60" w:line="276"/>
      </w:pPr>
      <w:r>
        <w:rPr>
          <w:b/>
          <w:bCs/>
          <w:sz w:val="21"/>
          <w:szCs w:val="21"/>
        </w:rPr>
        <w:t xml:space="preserve">Appellant:  Neeraj Singh Mohnia, A-503, Marathon Eminence, Dadasaheb Gaikwad Marg, Mulund West, Mumbai – 400080</w:t>
      </w:r>
    </w:p>
    <w:p>
      <w:pPr>
        <w:spacing w:after="60" w:line="276"/>
      </w:pPr>
      <w:r>
        <w:rPr>
          <w:sz w:val="21"/>
          <w:szCs w:val="21"/>
        </w:rPr>
        <w:t xml:space="preserve">Mobile: 9323722122 | Email: rajm2468@yahoo.co.in</w:t>
      </w:r>
    </w:p>
    <w:p/>
    <w:p>
      <w:pPr>
        <w:spacing w:after="60" w:line="276"/>
      </w:pPr>
      <w:r>
        <w:rPr>
          <w:b/>
          <w:bCs/>
          <w:sz w:val="21"/>
          <w:szCs w:val="21"/>
        </w:rPr>
        <w:t xml:space="preserve">Versus</w:t>
      </w:r>
    </w:p>
    <w:p/>
    <w:p>
      <w:pPr>
        <w:spacing w:after="60" w:line="276"/>
      </w:pPr>
      <w:r>
        <w:rPr>
          <w:b/>
          <w:bCs/>
          <w:sz w:val="21"/>
          <w:szCs w:val="21"/>
        </w:rPr>
        <w:t xml:space="preserve">Respondent:  CPIO, Office of the Registrar of Companies, Ahmedabad, ROC Bhavan, Opp. Rupal Park, Near Ankur Char Rasta, Naranpura, Ahmedabad – 380013</w:t>
      </w:r>
    </w:p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PARTICULARS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RTI Application No. &amp; Date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ROCAD/R/E/26/00032, dated 03.06.2026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CPIO Reply No. &amp; Date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ROC/RTI/ROCAD/R/E/26/00032/2026-2027/1497, dated 02.07.2026, signed by Smt. Ishani Pandya (ICLS)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First Appeal No. &amp; Date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Filed 03.07.2026 (Registered as ROCAD/A/E/26/00018), before Shri Keerthi Thej N., Registrar of Companies, Ahmedabad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FAA Order No. &amp; Date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ROC/Appeal/RTI/ROCAD/A/E/26/00018/2026-27/2051-2052, dated 30.07.2026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Present Appeal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Appeal under Section 19(3), RTI Act, 2005, against the FAA order dated 30.07.2026</w:t>
            </w:r>
          </w:p>
        </w:tc>
      </w:tr>
    </w:tbl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PRELIMINARY FACTS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1. </w:t>
      </w:r>
      <w:r>
        <w:rPr>
          <w:sz w:val="21"/>
          <w:szCs w:val="21"/>
        </w:rPr>
        <w:t xml:space="preserve">The Appellant filed RTI Application No. ROCAD/R/E/26/00032 on 03.06.2026 seeking the strike-off order, the notice issued under Section 248(1) of the Companies Act, 2013, the Gazette notification of strike-off, and related statutory records concerning M/s Shri Maintainance Contract Private Limited (CIN U99999GJ1992PTC017724), a company struck off by the Respondent's own office.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The CPIO's reply dated 02.07.2026 was defective on the face of the record: its closing paragraph purported to dispose of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a different application</w:t>
      </w:r>
      <w:r>
        <w:rPr>
          <w:b w:val="false"/>
          <w:bCs w:val="false"/>
          <w:sz w:val="21"/>
          <w:szCs w:val="21"/>
        </w:rPr>
        <w:t xml:space="preserve">, Registration No. ROCAD/R/E/26/00029 dated 21.05.2026, and not the Appellant's application. The reply further stated that strike-off details were “not readily available,” and directed the Appellant to the MCA21 portal under Section 399.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3. </w:t>
      </w:r>
      <w:r>
        <w:rPr>
          <w:sz w:val="21"/>
          <w:szCs w:val="21"/>
        </w:rPr>
        <w:t xml:space="preserve">The Appellant filed a First Appeal on 03.07.2026 (registered as ROCAD/A/E/26/00018) raising three grounds: (A) the wrong registration number cited in disposal; (B) “readily available” being an impermissible substitute for the statutory “held” standard; and (C) the inapplicability of Section 399 to the Respondent's own internally-generated strike-off records.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4. </w:t>
      </w:r>
      <w:r>
        <w:rPr>
          <w:sz w:val="21"/>
          <w:szCs w:val="21"/>
        </w:rPr>
        <w:t xml:space="preserve">The First Appellate Authority's order dated 30.07.2026 disposed of the appeal solely on the Section 399 public-domain doctrine. The appeal was dismissed, with liberty to file this Second Appeal.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A — </w:t>
      </w:r>
      <w:r>
        <w:rPr>
          <w:b/>
          <w:bCs/>
          <w:sz w:val="23"/>
          <w:szCs w:val="23"/>
        </w:rPr>
        <w:t xml:space="preserve">THE FAA'S ORDER DOES NOT ADDRESS THE WRONG-REGISTRATION-NUMBER DEFECT AT ALL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The First Appeal's primary ground — that the CPIO's own disposal letter cites Registration No. ROCAD/R/E/26/00029, a different application altogether —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is not addressed</w:t>
      </w:r>
      <w:r>
        <w:rPr>
          <w:b w:val="false"/>
          <w:bCs w:val="false"/>
          <w:sz w:val="21"/>
          <w:szCs w:val="21"/>
        </w:rPr>
        <w:t xml:space="preserve"> anywhere in the FAA's order dated 30.07.2026.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6. </w:t>
      </w:r>
      <w:r>
        <w:rPr>
          <w:sz w:val="21"/>
          <w:szCs w:val="21"/>
        </w:rPr>
        <w:t xml:space="preserve">A First Appellate Authority is required to apply its mind to each ground raised. The Appellant respectfully submits ROCAD/R/E/26/00032 remains, on this ground alone, formally undisposed.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B — </w:t>
      </w:r>
      <w:r>
        <w:rPr>
          <w:b/>
          <w:bCs/>
          <w:sz w:val="23"/>
          <w:szCs w:val="23"/>
        </w:rPr>
        <w:t xml:space="preserve">“READILY AVAILABLE” REMAINS AN IMPERMISSIBLE SUBSTITUTION FOR THE STATUTORY STANDARD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Section 7(1) of the RTI Act, 2005 obliges a public authority to furnish information it holds; the test is possession, not convenience of retrieval. The strike-off of M/s Shri Maintainance Contract Private Limited is an action initiated, processed, and completed by the Respondent's own office under Section 248 of the Companies Act, 2013.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C — </w:t>
      </w:r>
      <w:r>
        <w:rPr>
          <w:b/>
          <w:bCs/>
          <w:sz w:val="23"/>
          <w:szCs w:val="23"/>
        </w:rPr>
        <w:t xml:space="preserve">SECTION 399 </w:t>
      </w:r>
      <w:r>
        <w:rPr>
          <w:b/>
          <w:bCs/>
          <w:color w:val="C00000"/>
          <w:sz w:val="23"/>
          <w:szCs w:val="23"/>
          <w:highlight w:val="yellow"/>
          <w:highlightCs w:val="yellow"/>
        </w:rPr>
        <w:t xml:space="preserve">DOES NOT</w:t>
      </w:r>
      <w:r>
        <w:rPr>
          <w:b/>
          <w:bCs/>
          <w:sz w:val="23"/>
          <w:szCs w:val="23"/>
        </w:rPr>
        <w:t xml:space="preserve"> COVER THE RECORDS ACTUALLY SOUGHT, AND THE FAA'S ORDER OVERSTATES ITS SCOPE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Section 399 of the Companies Act, 2013 renders publicly inspectable documents filed by companies with the Registrar — not records generated internally by the Registrar. The Appellant sought three specific categories: (i) the strike-off order; (ii) the Section 248(1) show-cause notice; and (iii) the Gazette notification of strike-off.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None of these</w:t>
      </w:r>
      <w:r>
        <w:rPr>
          <w:b w:val="false"/>
          <w:bCs w:val="false"/>
          <w:sz w:val="21"/>
          <w:szCs w:val="21"/>
        </w:rPr>
        <w:t xml:space="preserve"> is a document “filed by a company” within the meaning of Section 399.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On verification of the MCA21 V3 portal's actual document-access architecture: the “View Public Documents” service serves only documents filed by the company itself. It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does not host</w:t>
      </w:r>
      <w:r>
        <w:rPr>
          <w:b w:val="false"/>
          <w:bCs w:val="false"/>
          <w:sz w:val="21"/>
          <w:szCs w:val="21"/>
        </w:rPr>
        <w:t xml:space="preserve">, and has no field or index for, a Registrar-issued strike-off order or a Section 248(1) notice.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10. </w:t>
      </w:r>
      <w:r>
        <w:rPr>
          <w:sz w:val="21"/>
          <w:szCs w:val="21"/>
        </w:rPr>
        <w:t xml:space="preserve">MCA separately maintains a dedicated public archive of Gazette strike-off notifications (Form STK-7). To the extent item (iii), the Gazette notification, may be independently locatable through this specific archive, the Appellant does not press Ground C as to that item alone. This in no way cures the FAA's order as to items (i) and (ii).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11. </w:t>
      </w:r>
      <w:r>
        <w:rPr>
          <w:sz w:val="21"/>
          <w:szCs w:val="21"/>
        </w:rPr>
        <w:t xml:space="preserve">Open no-login access to basic MCA Company/LLP Master Data was withdrawn by the Ministry with effect from December 2025, adding a fresh practical barrier that did not exist at the time the original RTI application was filed.</w:t>
      </w:r>
    </w:p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PRAYER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The Appellant respectfully prays that this Hon'ble Commission may be pleased to: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a. </w:t>
      </w:r>
      <w:r>
        <w:rPr>
          <w:sz w:val="21"/>
          <w:szCs w:val="21"/>
        </w:rPr>
        <w:t xml:space="preserve">Set aside the order of the First Appellate Authority dated 30.07.2026, and hold that RTI Application No. ROCAD/R/E/26/00032 remains undisposed;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b. </w:t>
      </w:r>
      <w:r>
        <w:rPr>
          <w:sz w:val="21"/>
          <w:szCs w:val="21"/>
        </w:rPr>
        <w:t xml:space="preserve">Direct the CPIO to furnish, within a time-bound period, the strike-off order and the Section 248(1) notice concerning M/s Shri Maintainance Contract Private Limited (CIN U99999GJ1992PTC017724);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c. </w:t>
      </w:r>
      <w:r>
        <w:rPr>
          <w:sz w:val="21"/>
          <w:szCs w:val="21"/>
        </w:rPr>
        <w:t xml:space="preserve">Direct the CPIO to confirm, on affidavit or in writing, whether the Gazette notification (Form STK-7) is independently retrievable through the Ministry's dedicated STK-7 archive, and if not, to furnish the same directly;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d. </w:t>
      </w:r>
      <w:r>
        <w:rPr>
          <w:sz w:val="21"/>
          <w:szCs w:val="21"/>
        </w:rPr>
        <w:t xml:space="preserve">Direct that no requirement of physical attendance be imposed on the Appellant as a precondition to receiving information;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e. </w:t>
      </w:r>
      <w:r>
        <w:rPr>
          <w:sz w:val="21"/>
          <w:szCs w:val="21"/>
        </w:rPr>
        <w:t xml:space="preserve">Consider imposition of penalty under Section 20(1) of the Act for the CPIO's disposal of the Appellant's application under a materially incorrect registration number;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f. </w:t>
      </w:r>
      <w:r>
        <w:rPr>
          <w:sz w:val="21"/>
          <w:szCs w:val="21"/>
        </w:rPr>
        <w:t xml:space="preserve">Pass such further orders as this Hon'ble Commission may deem fit.</w:t>
      </w:r>
    </w:p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VERIFICATION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I, Neeraj Singh Mohnia, the Appellant above-named, do hereby verify that the contents of this Second Appeal are true and correct to the best of my knowledge, information, and belief, and that no material fact has been suppressed.</w:t>
      </w:r>
    </w:p>
    <w:p/>
    <w:p>
      <w:pPr>
        <w:spacing w:after="60" w:line="276"/>
      </w:pPr>
      <w:r>
        <w:rPr>
          <w:sz w:val="21"/>
          <w:szCs w:val="21"/>
        </w:rPr>
        <w:t xml:space="preserve">Place: Mumbai</w:t>
      </w:r>
    </w:p>
    <w:p>
      <w:pPr>
        <w:spacing w:after="60" w:line="276"/>
      </w:pPr>
      <w:r>
        <w:rPr>
          <w:sz w:val="21"/>
          <w:szCs w:val="21"/>
        </w:rPr>
        <w:t xml:space="preserve">Date: ____________</w:t>
      </w:r>
    </w:p>
    <w:p/>
    <w:p>
      <w:pPr>
        <w:spacing w:after="60" w:line="276"/>
      </w:pPr>
      <w:r>
        <w:rPr>
          <w:sz w:val="21"/>
          <w:szCs w:val="21"/>
        </w:rPr>
        <w:t xml:space="preserve">Yours faithfully,</w:t>
      </w:r>
    </w:p>
    <w:p/>
    <w:p>
      <w:pPr>
        <w:spacing w:after="60" w:line="276"/>
      </w:pPr>
      <w:r>
        <w:rPr>
          <w:sz w:val="21"/>
          <w:szCs w:val="21"/>
        </w:rPr>
        <w:t xml:space="preserve">Neeraj Singh Mohnia</w:t>
      </w:r>
    </w:p>
    <w:p>
      <w:pPr>
        <w:spacing w:after="60" w:line="276"/>
      </w:pPr>
      <w:r>
        <w:rPr>
          <w:sz w:val="21"/>
          <w:szCs w:val="21"/>
        </w:rPr>
        <w:t xml:space="preserve">Appellant</w:t>
      </w:r>
    </w:p>
    <w:p/>
    <w:p>
      <w:pPr>
        <w:spacing w:after="160" w:line="276"/>
        <w:jc w:val="both"/>
      </w:pPr>
      <w:r>
        <w:rPr>
          <w:sz w:val="21"/>
          <w:szCs w:val="21"/>
        </w:rPr>
        <w:t xml:space="preserve">Encl: (1) RTI Application ROCAD/R/E/26/00032 dated 03.06.2026; (2) CPIO reply dated 02.07.2026; (3) First Appeal dated 03.07.2026 (ROCAD/A/E/26/00018); (4) FAA order dated 30.07.2026.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i/>
        <w:iCs/>
        <w:color w:val="1F2A5E"/>
        <w:sz w:val="15"/>
        <w:szCs w:val="15"/>
      </w:rPr>
      <w:t xml:space="preserve">SECOND APPEAL | ROCAD/R/E/26/00032 | SHRI MAINTAINANCE CONTRACT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2026-08-09T09:22:19.732Z</dcterms:created>
  <dcterms:modified xsi:type="dcterms:W3CDTF">2026-08-09T09:22:19.732Z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