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2A5E" w:val="clear"/>
        <w:spacing w:after="20" w:before="80"/>
        <w:jc w:val="center"/>
      </w:pPr>
      <w:r>
        <w:rPr>
          <w:b/>
          <w:bCs/>
          <w:color w:val="FFFFFF"/>
          <w:sz w:val="26"/>
          <w:szCs w:val="26"/>
        </w:rPr>
        <w:t xml:space="preserve">SECOND APPEAL UNDER SECTION 19(3)</w:t>
      </w:r>
    </w:p>
    <w:p>
      <w:pPr>
        <w:shd w:fill="1F2A5E" w:val="clear"/>
        <w:spacing w:after="160"/>
        <w:jc w:val="center"/>
      </w:pPr>
      <w:r>
        <w:rPr>
          <w:b/>
          <w:bCs/>
          <w:color w:val="FFFFFF"/>
          <w:sz w:val="19"/>
          <w:szCs w:val="19"/>
        </w:rPr>
        <w:t xml:space="preserve">RIGHT TO INFORMATION ACT, 2005 — BEFORE THE CENTRAL INFORMATION COMMISSION, NEW DELHI</w:t>
      </w:r>
    </w:p>
    <w:p/>
    <w:p>
      <w:pPr>
        <w:spacing w:after="60" w:line="276"/>
      </w:pPr>
      <w:r>
        <w:rPr>
          <w:b/>
          <w:bCs/>
          <w:sz w:val="21"/>
          <w:szCs w:val="21"/>
        </w:rPr>
        <w:t xml:space="preserve">Appellant:  Neeraj Singh Mohnia, A-503, Marathon Eminence, Dadasaheb Gaikwad Marg, Mulund West, Mumbai – 400080</w:t>
      </w:r>
    </w:p>
    <w:p>
      <w:pPr>
        <w:spacing w:after="60" w:line="276"/>
      </w:pPr>
      <w:r>
        <w:rPr>
          <w:sz w:val="21"/>
          <w:szCs w:val="21"/>
        </w:rPr>
        <w:t xml:space="preserve">Mobile: 9323722122 | Email: adarshimpexent@gmail.com</w:t>
      </w:r>
    </w:p>
    <w:p/>
    <w:p>
      <w:pPr>
        <w:spacing w:after="60" w:line="276"/>
      </w:pPr>
      <w:r>
        <w:rPr>
          <w:b/>
          <w:bCs/>
          <w:sz w:val="21"/>
          <w:szCs w:val="21"/>
        </w:rPr>
        <w:t xml:space="preserve">Versus</w:t>
      </w:r>
    </w:p>
    <w:p/>
    <w:p>
      <w:pPr>
        <w:spacing w:after="60" w:line="276"/>
      </w:pPr>
      <w:r>
        <w:rPr>
          <w:b/>
          <w:bCs/>
          <w:sz w:val="21"/>
          <w:szCs w:val="21"/>
        </w:rPr>
        <w:t xml:space="preserve">Respondent:  CPIO, Office of the Registrar of Companies, Andhra Pradesh, D.No. 39-9-5, Kaustubh Elite, SVS Temple Street, Labbipet, MG Road, Vijayawada – 520010</w:t>
      </w:r>
    </w:p>
    <w:p/>
    <w:p>
      <w:pPr>
        <w:spacing w:after="100" w:before="180"/>
      </w:pPr>
      <w:r>
        <w:rPr>
          <w:b/>
          <w:bCs/>
          <w:color w:val="1F2A5E"/>
          <w:sz w:val="24"/>
          <w:szCs w:val="24"/>
        </w:rPr>
        <w:t xml:space="preserve">PARTICULARS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00"/>
            <w:tcBorders>
              <w:top w:val="single" w:color="000000" w:sz="8"/>
              <w:left w:val="single" w:color="000000" w:sz="8"/>
              <w:bottom w:val="single" w:color="000000" w:sz="8"/>
              <w:right w:val="single" w:color="000000" w:sz="8"/>
            </w:tcBorders>
            <w:shd w:fill="E8E8E8" w:val="clear"/>
          </w:tcPr>
          <w:p>
            <w:r>
              <w:rPr>
                <w:b/>
                <w:bCs/>
                <w:sz w:val="19"/>
                <w:szCs w:val="19"/>
              </w:rPr>
              <w:t xml:space="preserve">RTI Application No. &amp; Date</w:t>
            </w:r>
          </w:p>
        </w:tc>
        <w:tc>
          <w:tcPr>
            <w:tcW w:type="dxa" w:w="4800"/>
            <w:tcBorders>
              <w:top w:val="single" w:color="000000" w:sz="8"/>
              <w:left w:val="single" w:color="000000" w:sz="8"/>
              <w:bottom w:val="single" w:color="000000" w:sz="8"/>
              <w:right w:val="single" w:color="000000" w:sz="8"/>
            </w:tcBorders>
          </w:tcPr>
          <w:p>
            <w:r>
              <w:rPr>
                <w:b w:val="false"/>
                <w:bCs w:val="false"/>
                <w:sz w:val="19"/>
                <w:szCs w:val="19"/>
              </w:rPr>
              <w:t xml:space="preserve">ROCAP/R/E/26/00010, dated 22.05.2026</w:t>
            </w:r>
          </w:p>
        </w:tc>
      </w:tr>
      <w:tr>
        <w:tc>
          <w:tcPr>
            <w:tcW w:type="dxa" w:w="4800"/>
            <w:tcBorders>
              <w:top w:val="single" w:color="000000" w:sz="8"/>
              <w:left w:val="single" w:color="000000" w:sz="8"/>
              <w:bottom w:val="single" w:color="000000" w:sz="8"/>
              <w:right w:val="single" w:color="000000" w:sz="8"/>
            </w:tcBorders>
            <w:shd w:fill="E8E8E8" w:val="clear"/>
          </w:tcPr>
          <w:p>
            <w:r>
              <w:rPr>
                <w:b/>
                <w:bCs/>
                <w:sz w:val="19"/>
                <w:szCs w:val="19"/>
              </w:rPr>
              <w:t xml:space="preserve">CPIO Reply No. &amp; Date</w:t>
            </w:r>
          </w:p>
        </w:tc>
        <w:tc>
          <w:tcPr>
            <w:tcW w:type="dxa" w:w="4800"/>
            <w:tcBorders>
              <w:top w:val="single" w:color="000000" w:sz="8"/>
              <w:left w:val="single" w:color="000000" w:sz="8"/>
              <w:bottom w:val="single" w:color="000000" w:sz="8"/>
              <w:right w:val="single" w:color="000000" w:sz="8"/>
            </w:tcBorders>
          </w:tcPr>
          <w:p>
            <w:r>
              <w:rPr>
                <w:b w:val="false"/>
                <w:bCs w:val="false"/>
                <w:sz w:val="19"/>
                <w:szCs w:val="19"/>
              </w:rPr>
              <w:t xml:space="preserve">ROC(VIJ)/RTI/2026/249, dated 18.06.2026, signed by Shri M. Nagamalleswara Rao, CPIO &amp; Senior Technical Assistant</w:t>
            </w:r>
          </w:p>
        </w:tc>
      </w:tr>
      <w:tr>
        <w:tc>
          <w:tcPr>
            <w:tcW w:type="dxa" w:w="4800"/>
            <w:tcBorders>
              <w:top w:val="single" w:color="000000" w:sz="8"/>
              <w:left w:val="single" w:color="000000" w:sz="8"/>
              <w:bottom w:val="single" w:color="000000" w:sz="8"/>
              <w:right w:val="single" w:color="000000" w:sz="8"/>
            </w:tcBorders>
            <w:shd w:fill="E8E8E8" w:val="clear"/>
          </w:tcPr>
          <w:p>
            <w:r>
              <w:rPr>
                <w:b/>
                <w:bCs/>
                <w:sz w:val="19"/>
                <w:szCs w:val="19"/>
              </w:rPr>
              <w:t xml:space="preserve">First Appeal No. &amp; Date</w:t>
            </w:r>
          </w:p>
        </w:tc>
        <w:tc>
          <w:tcPr>
            <w:tcW w:type="dxa" w:w="4800"/>
            <w:tcBorders>
              <w:top w:val="single" w:color="000000" w:sz="8"/>
              <w:left w:val="single" w:color="000000" w:sz="8"/>
              <w:bottom w:val="single" w:color="000000" w:sz="8"/>
              <w:right w:val="single" w:color="000000" w:sz="8"/>
            </w:tcBorders>
          </w:tcPr>
          <w:p>
            <w:r>
              <w:rPr>
                <w:b w:val="false"/>
                <w:bCs w:val="false"/>
                <w:sz w:val="19"/>
                <w:szCs w:val="19"/>
              </w:rPr>
              <w:t xml:space="preserve">ROCAP/A/E/26/00002, filed 24.06.2026, before Shri Pola Raghunath, Registrar of Companies, Andhra Pradesh</w:t>
            </w:r>
          </w:p>
        </w:tc>
      </w:tr>
      <w:tr>
        <w:tc>
          <w:tcPr>
            <w:tcW w:type="dxa" w:w="4800"/>
            <w:tcBorders>
              <w:top w:val="single" w:color="000000" w:sz="8"/>
              <w:left w:val="single" w:color="000000" w:sz="8"/>
              <w:bottom w:val="single" w:color="000000" w:sz="8"/>
              <w:right w:val="single" w:color="000000" w:sz="8"/>
            </w:tcBorders>
            <w:shd w:fill="E8E8E8" w:val="clear"/>
          </w:tcPr>
          <w:p>
            <w:r>
              <w:rPr>
                <w:b/>
                <w:bCs/>
                <w:sz w:val="19"/>
                <w:szCs w:val="19"/>
              </w:rPr>
              <w:t xml:space="preserve">FAA Order No. &amp; Date</w:t>
            </w:r>
          </w:p>
        </w:tc>
        <w:tc>
          <w:tcPr>
            <w:tcW w:type="dxa" w:w="4800"/>
            <w:tcBorders>
              <w:top w:val="single" w:color="000000" w:sz="8"/>
              <w:left w:val="single" w:color="000000" w:sz="8"/>
              <w:bottom w:val="single" w:color="000000" w:sz="8"/>
              <w:right w:val="single" w:color="000000" w:sz="8"/>
            </w:tcBorders>
          </w:tcPr>
          <w:p>
            <w:r>
              <w:rPr>
                <w:b w:val="false"/>
                <w:bCs w:val="false"/>
                <w:sz w:val="19"/>
                <w:szCs w:val="19"/>
              </w:rPr>
              <w:t xml:space="preserve">F. No. ROC(V)/AP/RTI Appeal/2026, dated 07.08.2026</w:t>
            </w:r>
          </w:p>
        </w:tc>
      </w:tr>
      <w:tr>
        <w:tc>
          <w:tcPr>
            <w:tcW w:type="dxa" w:w="4800"/>
            <w:tcBorders>
              <w:top w:val="single" w:color="000000" w:sz="8"/>
              <w:left w:val="single" w:color="000000" w:sz="8"/>
              <w:bottom w:val="single" w:color="000000" w:sz="8"/>
              <w:right w:val="single" w:color="000000" w:sz="8"/>
            </w:tcBorders>
            <w:shd w:fill="E8E8E8" w:val="clear"/>
          </w:tcPr>
          <w:p>
            <w:r>
              <w:rPr>
                <w:b/>
                <w:bCs/>
                <w:sz w:val="19"/>
                <w:szCs w:val="19"/>
              </w:rPr>
              <w:t xml:space="preserve">Present Appeal</w:t>
            </w:r>
          </w:p>
        </w:tc>
        <w:tc>
          <w:tcPr>
            <w:tcW w:type="dxa" w:w="4800"/>
            <w:tcBorders>
              <w:top w:val="single" w:color="000000" w:sz="8"/>
              <w:left w:val="single" w:color="000000" w:sz="8"/>
              <w:bottom w:val="single" w:color="000000" w:sz="8"/>
              <w:right w:val="single" w:color="000000" w:sz="8"/>
            </w:tcBorders>
          </w:tcPr>
          <w:p>
            <w:r>
              <w:rPr>
                <w:b w:val="false"/>
                <w:bCs w:val="false"/>
                <w:sz w:val="19"/>
                <w:szCs w:val="19"/>
              </w:rPr>
              <w:t xml:space="preserve">Second Appeal under Section 19(3), limited to Items 4-D, 6-C, 6-D, 7-B and 7-C only</w:t>
            </w:r>
          </w:p>
        </w:tc>
      </w:tr>
    </w:tbl>
    <w:p/>
    <w:p>
      <w:pPr>
        <w:spacing w:after="100" w:before="180"/>
      </w:pPr>
      <w:r>
        <w:rPr>
          <w:b/>
          <w:bCs/>
          <w:color w:val="1F2A5E"/>
          <w:sz w:val="24"/>
          <w:szCs w:val="24"/>
        </w:rPr>
        <w:t xml:space="preserve">PRELIMINARY FACTS AND SCOPE OF THIS APPEAL</w:t>
      </w:r>
    </w:p>
    <w:p>
      <w:pPr>
        <w:spacing w:after="160" w:line="276"/>
        <w:jc w:val="both"/>
      </w:pPr>
      <w:r>
        <w:rPr>
          <w:b/>
          <w:bCs/>
          <w:sz w:val="25"/>
          <w:szCs w:val="25"/>
          <w:highlight w:val="yellow"/>
          <w:highlightCs w:val="yellow"/>
        </w:rPr>
        <w:t xml:space="preserve">1. </w:t>
      </w:r>
      <w:r>
        <w:rPr>
          <w:sz w:val="21"/>
          <w:szCs w:val="21"/>
        </w:rPr>
        <w:t xml:space="preserve">The Appellant filed RTI Application No. ROCAP/R/E/26/00010 on 22.05.2026 seeking 26 items of information concerning Cosmos Aluminium Private Limited (CIN U10102AP2006PTC049489), in connection with proceedings before DRT-II Mumbai (OA 122/2022), the Vadodara Execution Petition, the EOW/CBI Mumbai investigation, and an ICSI Disciplinary Complaint.</w:t>
      </w:r>
    </w:p>
    <w:p>
      <w:pPr>
        <w:spacing w:after="160" w:line="276"/>
        <w:jc w:val="both"/>
      </w:pPr>
      <w:r>
        <w:rPr>
          <w:b/>
          <w:bCs/>
          <w:sz w:val="25"/>
          <w:szCs w:val="25"/>
          <w:highlight w:val="green"/>
          <w:highlightCs w:val="green"/>
        </w:rPr>
        <w:t xml:space="preserve">2. </w:t>
      </w:r>
      <w:r>
        <w:rPr>
          <w:sz w:val="21"/>
          <w:szCs w:val="21"/>
        </w:rPr>
        <w:t xml:space="preserve">The FAA's order dated 07.08.2026 upheld the CPIO's reply in its entirety, directing the Appellant to the MCA21 portal under Section 399 for the bulk of the items, and disposed of the appeal.</w:t>
      </w:r>
    </w:p>
    <w:p>
      <w:pPr>
        <w:spacing w:after="160" w:line="276"/>
        <w:jc w:val="both"/>
      </w:pPr>
      <w:r>
        <w:rPr>
          <w:b/>
          <w:bCs/>
          <w:sz w:val="25"/>
          <w:szCs w:val="25"/>
          <w:highlight w:val="yellow"/>
          <w:highlightCs w:val="yellow"/>
        </w:rPr>
        <w:t xml:space="preserve">3. </w:t>
      </w:r>
      <w:r>
        <w:rPr>
          <w:b w:val="false"/>
          <w:bCs w:val="false"/>
          <w:sz w:val="21"/>
          <w:szCs w:val="21"/>
        </w:rPr>
        <w:t xml:space="preserve">The Appellant </w:t>
      </w:r>
      <w:r>
        <w:rPr>
          <w:b/>
          <w:bCs/>
          <w:color w:val="C00000"/>
          <w:sz w:val="21"/>
          <w:szCs w:val="21"/>
          <w:highlight w:val="yellow"/>
          <w:highlightCs w:val="yellow"/>
        </w:rPr>
        <w:t xml:space="preserve">does NOT press</w:t>
      </w:r>
      <w:r>
        <w:rPr>
          <w:b w:val="false"/>
          <w:bCs w:val="false"/>
          <w:sz w:val="21"/>
          <w:szCs w:val="21"/>
        </w:rPr>
        <w:t xml:space="preserve"> this Second Appeal in respect of Items 1-A through 5-C, and Item 7-A, which correctly seek certified copies of documents filed by the company. The Appellant confines this Second Appeal to five specific items where the impugned order is non-responsive, or proceeds on an incorrect premise.</w:t>
      </w:r>
    </w:p>
    <w:p>
      <w:pPr>
        <w:spacing w:after="120" w:before="200"/>
      </w:pPr>
      <w:r>
        <w:rPr>
          <w:b/>
          <w:bCs/>
          <w:color w:val="8B0000"/>
          <w:sz w:val="27"/>
          <w:szCs w:val="27"/>
        </w:rPr>
        <w:t xml:space="preserve">GROUND A — </w:t>
      </w:r>
      <w:r>
        <w:rPr>
          <w:b/>
          <w:bCs/>
          <w:sz w:val="23"/>
          <w:szCs w:val="23"/>
        </w:rPr>
        <w:t xml:space="preserve">ITEM 6-C: THE ANSWER GIVEN </w:t>
      </w:r>
      <w:r>
        <w:rPr>
          <w:b/>
          <w:bCs/>
          <w:color w:val="C00000"/>
          <w:sz w:val="23"/>
          <w:szCs w:val="23"/>
          <w:highlight w:val="yellow"/>
          <w:highlightCs w:val="yellow"/>
        </w:rPr>
        <w:t xml:space="preserve">DOES NOT</w:t>
      </w:r>
      <w:r>
        <w:rPr>
          <w:b/>
          <w:bCs/>
          <w:sz w:val="23"/>
          <w:szCs w:val="23"/>
        </w:rPr>
        <w:t xml:space="preserve"> RESPOND TO THE QUESTION ASKED</w:t>
      </w:r>
    </w:p>
    <w:p>
      <w:pPr>
        <w:spacing w:after="160" w:line="276"/>
        <w:jc w:val="both"/>
      </w:pPr>
      <w:r>
        <w:rPr>
          <w:b/>
          <w:bCs/>
          <w:sz w:val="25"/>
          <w:szCs w:val="25"/>
          <w:highlight w:val="yellow"/>
          <w:highlightCs w:val="yellow"/>
        </w:rPr>
        <w:t xml:space="preserve">4. </w:t>
      </w:r>
      <w:r>
        <w:rPr>
          <w:sz w:val="21"/>
          <w:szCs w:val="21"/>
        </w:rPr>
        <w:t xml:space="preserve">Item 6-C asked whether any assets of Cosmos Aluminium have vested in the Government of India under Section 250 of the Companies Act, 2013 — specifically whether R.S. No. 124, Kural Village, Padra, has been flagged as a 'Government Asset' following the strike-off of related entities.</w:t>
      </w:r>
    </w:p>
    <w:p>
      <w:pPr>
        <w:spacing w:after="160" w:line="276"/>
        <w:jc w:val="both"/>
      </w:pPr>
      <w:r>
        <w:rPr>
          <w:b/>
          <w:bCs/>
          <w:sz w:val="25"/>
          <w:szCs w:val="25"/>
          <w:highlight w:val="green"/>
          <w:highlightCs w:val="green"/>
        </w:rPr>
        <w:t xml:space="preserve">5. </w:t>
      </w:r>
      <w:r>
        <w:rPr>
          <w:sz w:val="21"/>
          <w:szCs w:val="21"/>
        </w:rPr>
        <w:t xml:space="preserve">The impugned order answers Item 6-C together with Item 6-B, stating: “Not applicable as the subject company is not under strike off as on date.”</w:t>
      </w:r>
    </w:p>
    <w:p>
      <w:pPr>
        <w:spacing w:after="160" w:line="276"/>
        <w:jc w:val="both"/>
      </w:pPr>
      <w:r>
        <w:rPr>
          <w:b/>
          <w:bCs/>
          <w:sz w:val="25"/>
          <w:szCs w:val="25"/>
          <w:highlight w:val="yellow"/>
          <w:highlightCs w:val="yellow"/>
        </w:rPr>
        <w:t xml:space="preserve">6. </w:t>
      </w:r>
      <w:r>
        <w:rPr>
          <w:b w:val="false"/>
          <w:bCs w:val="false"/>
          <w:sz w:val="21"/>
          <w:szCs w:val="21"/>
        </w:rPr>
        <w:t xml:space="preserve">This answer conflates two distinct questions. Item 6-C </w:t>
      </w:r>
      <w:r>
        <w:rPr>
          <w:b/>
          <w:bCs/>
          <w:color w:val="C00000"/>
          <w:sz w:val="21"/>
          <w:szCs w:val="21"/>
          <w:highlight w:val="yellow"/>
          <w:highlightCs w:val="yellow"/>
        </w:rPr>
        <w:t xml:space="preserve">does not depend</w:t>
      </w:r>
      <w:r>
        <w:rPr>
          <w:b w:val="false"/>
          <w:bCs w:val="false"/>
          <w:sz w:val="21"/>
          <w:szCs w:val="21"/>
        </w:rPr>
        <w:t xml:space="preserve"> on Cosmos Aluminium's own strike-off status at all: it asks whether a specific asset has been flagged as vested under Section 250 — a provision that operates on any struck-off entity in this network, not solely Cosmos Aluminium.</w:t>
      </w:r>
    </w:p>
    <w:p>
      <w:pPr>
        <w:spacing w:after="160" w:line="276"/>
        <w:jc w:val="both"/>
      </w:pPr>
      <w:r>
        <w:rPr>
          <w:b/>
          <w:bCs/>
          <w:sz w:val="25"/>
          <w:szCs w:val="25"/>
          <w:highlight w:val="green"/>
          <w:highlightCs w:val="green"/>
        </w:rPr>
        <w:t xml:space="preserve">7. </w:t>
      </w:r>
      <w:r>
        <w:rPr>
          <w:b w:val="false"/>
          <w:bCs w:val="false"/>
          <w:sz w:val="21"/>
          <w:szCs w:val="21"/>
        </w:rPr>
        <w:t xml:space="preserve">The Respondent's own office would ordinarily hold or have access to records of Section 250 vesting notifications for any struck-off company within its jurisdiction. The impugned order </w:t>
      </w:r>
      <w:r>
        <w:rPr>
          <w:b/>
          <w:bCs/>
          <w:color w:val="C00000"/>
          <w:sz w:val="21"/>
          <w:szCs w:val="21"/>
          <w:highlight w:val="yellow"/>
          <w:highlightCs w:val="yellow"/>
        </w:rPr>
        <w:t xml:space="preserve">does not record</w:t>
      </w:r>
      <w:r>
        <w:rPr>
          <w:b w:val="false"/>
          <w:bCs w:val="false"/>
          <w:sz w:val="21"/>
          <w:szCs w:val="21"/>
        </w:rPr>
        <w:t xml:space="preserve"> that any such search was undertaken.</w:t>
      </w:r>
    </w:p>
    <w:p>
      <w:pPr>
        <w:spacing w:after="120" w:before="200"/>
      </w:pPr>
      <w:r>
        <w:rPr>
          <w:b/>
          <w:bCs/>
          <w:color w:val="8B0000"/>
          <w:sz w:val="27"/>
          <w:szCs w:val="27"/>
        </w:rPr>
        <w:t xml:space="preserve">GROUND B — </w:t>
      </w:r>
      <w:r>
        <w:rPr>
          <w:b/>
          <w:bCs/>
          <w:sz w:val="23"/>
          <w:szCs w:val="23"/>
        </w:rPr>
        <w:t xml:space="preserve">ITEM 6-D: “NO INFORMATION ON RECORD” REQUIRES VERIFICATION</w:t>
      </w:r>
    </w:p>
    <w:p>
      <w:pPr>
        <w:spacing w:after="160" w:line="276"/>
        <w:jc w:val="both"/>
      </w:pPr>
      <w:r>
        <w:rPr>
          <w:b/>
          <w:bCs/>
          <w:sz w:val="25"/>
          <w:szCs w:val="25"/>
          <w:highlight w:val="yellow"/>
          <w:highlightCs w:val="yellow"/>
        </w:rPr>
        <w:t xml:space="preserve">8. </w:t>
      </w:r>
      <w:r>
        <w:rPr>
          <w:sz w:val="21"/>
          <w:szCs w:val="21"/>
        </w:rPr>
        <w:t xml:space="preserve">Item 6-D asked whether any bank or financial institution has filed proceedings against Cosmos Aluminium before any court or tribunal. The impugned order answers: “no such information on record of this office.”</w:t>
      </w:r>
    </w:p>
    <w:p>
      <w:pPr>
        <w:spacing w:after="160" w:line="276"/>
        <w:jc w:val="both"/>
      </w:pPr>
      <w:r>
        <w:rPr>
          <w:b/>
          <w:bCs/>
          <w:sz w:val="25"/>
          <w:szCs w:val="25"/>
          <w:highlight w:val="green"/>
          <w:highlightCs w:val="green"/>
        </w:rPr>
        <w:t xml:space="preserve">9. </w:t>
      </w:r>
      <w:r>
        <w:rPr>
          <w:b w:val="false"/>
          <w:bCs w:val="false"/>
          <w:sz w:val="21"/>
          <w:szCs w:val="21"/>
        </w:rPr>
        <w:t xml:space="preserve">The Respondent's office is statutorily entitled to receive intimation of court/tribunal orders through Form INC-28 filings. A bare assertion of “no information on record,” without confirming what search was undertaken, </w:t>
      </w:r>
      <w:r>
        <w:rPr>
          <w:b/>
          <w:bCs/>
          <w:color w:val="C00000"/>
          <w:sz w:val="21"/>
          <w:szCs w:val="21"/>
          <w:highlight w:val="yellow"/>
          <w:highlightCs w:val="yellow"/>
        </w:rPr>
        <w:t xml:space="preserve">does not discharge</w:t>
      </w:r>
      <w:r>
        <w:rPr>
          <w:b w:val="false"/>
          <w:bCs w:val="false"/>
          <w:sz w:val="21"/>
          <w:szCs w:val="21"/>
        </w:rPr>
        <w:t xml:space="preserve"> the Respondent's obligation under Section 7(1).</w:t>
      </w:r>
    </w:p>
    <w:p>
      <w:pPr>
        <w:spacing w:after="120" w:before="200"/>
      </w:pPr>
      <w:r>
        <w:rPr>
          <w:b/>
          <w:bCs/>
          <w:color w:val="8B0000"/>
          <w:sz w:val="27"/>
          <w:szCs w:val="27"/>
        </w:rPr>
        <w:t xml:space="preserve">GROUND C — </w:t>
      </w:r>
      <w:r>
        <w:rPr>
          <w:b/>
          <w:bCs/>
          <w:sz w:val="23"/>
          <w:szCs w:val="23"/>
        </w:rPr>
        <w:t xml:space="preserve">ITEMS 4-D, 7-B AND 7-C: FACTUAL CONFIRMATION, NOT A DOCUMENT COPY</w:t>
      </w:r>
    </w:p>
    <w:p>
      <w:pPr>
        <w:spacing w:after="160" w:line="276"/>
        <w:jc w:val="both"/>
      </w:pPr>
      <w:r>
        <w:rPr>
          <w:b/>
          <w:bCs/>
          <w:sz w:val="25"/>
          <w:szCs w:val="25"/>
          <w:highlight w:val="yellow"/>
          <w:highlightCs w:val="yellow"/>
        </w:rPr>
        <w:t xml:space="preserve">10. </w:t>
      </w:r>
      <w:r>
        <w:rPr>
          <w:sz w:val="21"/>
          <w:szCs w:val="21"/>
        </w:rPr>
        <w:t xml:space="preserve">Items 4-D, 7-B and 7-C each ask the Respondent to confirm a specific fact by cross-referencing information already within its own records — not to produce a new document.</w:t>
      </w:r>
    </w:p>
    <w:p>
      <w:pPr>
        <w:spacing w:after="160" w:line="276"/>
        <w:jc w:val="both"/>
      </w:pPr>
      <w:r>
        <w:rPr>
          <w:b/>
          <w:bCs/>
          <w:sz w:val="25"/>
          <w:szCs w:val="25"/>
          <w:highlight w:val="green"/>
          <w:highlightCs w:val="green"/>
        </w:rPr>
        <w:t xml:space="preserve">(i) </w:t>
      </w:r>
      <w:r>
        <w:rPr>
          <w:sz w:val="21"/>
          <w:szCs w:val="21"/>
        </w:rPr>
        <w:t xml:space="preserve">Item 4-D asks whether the statutory auditor of Cosmos Aluminium is the same as that of Rashmi Metasteel or Light and Glaze for any overlapping year;</w:t>
      </w:r>
    </w:p>
    <w:p>
      <w:pPr>
        <w:spacing w:after="160" w:line="276"/>
        <w:jc w:val="both"/>
      </w:pPr>
      <w:r>
        <w:rPr>
          <w:b/>
          <w:bCs/>
          <w:sz w:val="25"/>
          <w:szCs w:val="25"/>
          <w:highlight w:val="green"/>
          <w:highlightCs w:val="green"/>
        </w:rPr>
        <w:t xml:space="preserve">(ii) </w:t>
      </w:r>
      <w:r>
        <w:rPr>
          <w:sz w:val="21"/>
          <w:szCs w:val="21"/>
        </w:rPr>
        <w:t xml:space="preserve">Item 7-B asks whether Ramesh Babusha Kheradia has ever filed any document on behalf of Cosmos Aluminium;</w:t>
      </w:r>
    </w:p>
    <w:p>
      <w:pPr>
        <w:spacing w:after="160" w:line="276"/>
        <w:jc w:val="both"/>
      </w:pPr>
      <w:r>
        <w:rPr>
          <w:b/>
          <w:bCs/>
          <w:sz w:val="25"/>
          <w:szCs w:val="25"/>
          <w:highlight w:val="green"/>
          <w:highlightCs w:val="green"/>
        </w:rPr>
        <w:t xml:space="preserve">(iii) </w:t>
      </w:r>
      <w:r>
        <w:rPr>
          <w:sz w:val="21"/>
          <w:szCs w:val="21"/>
        </w:rPr>
        <w:t xml:space="preserve">Item 7-C asks whether the email address used in any filing matches kheradiaramesh@hotmail.com.</w:t>
      </w:r>
    </w:p>
    <w:p>
      <w:pPr>
        <w:spacing w:after="160" w:line="276"/>
        <w:jc w:val="both"/>
      </w:pPr>
      <w:r>
        <w:rPr>
          <w:b/>
          <w:bCs/>
          <w:sz w:val="25"/>
          <w:szCs w:val="25"/>
          <w:highlight w:val="yellow"/>
          <w:highlightCs w:val="yellow"/>
        </w:rPr>
        <w:t xml:space="preserve">11. </w:t>
      </w:r>
      <w:r>
        <w:rPr>
          <w:b w:val="false"/>
          <w:bCs w:val="false"/>
          <w:sz w:val="21"/>
          <w:szCs w:val="21"/>
        </w:rPr>
        <w:t xml:space="preserve">Section 399 confers a right to inspect documents filed by a company. It does not confer, and </w:t>
      </w:r>
      <w:r>
        <w:rPr>
          <w:b/>
          <w:bCs/>
          <w:color w:val="C00000"/>
          <w:sz w:val="21"/>
          <w:szCs w:val="21"/>
          <w:highlight w:val="yellow"/>
          <w:highlightCs w:val="yellow"/>
        </w:rPr>
        <w:t xml:space="preserve">does not discharge</w:t>
      </w:r>
      <w:r>
        <w:rPr>
          <w:b w:val="false"/>
          <w:bCs w:val="false"/>
          <w:sz w:val="21"/>
          <w:szCs w:val="21"/>
        </w:rPr>
        <w:t xml:space="preserve"> the Respondent's RTI obligation, where the request is a yes/no factual confirmation derivable by comparing information already recorded across the Respondent's own filed documents.</w:t>
      </w:r>
    </w:p>
    <w:p>
      <w:pPr>
        <w:spacing w:after="160" w:line="276"/>
        <w:jc w:val="both"/>
      </w:pPr>
      <w:r>
        <w:rPr>
          <w:b/>
          <w:bCs/>
          <w:sz w:val="25"/>
          <w:szCs w:val="25"/>
          <w:highlight w:val="green"/>
          <w:highlightCs w:val="green"/>
        </w:rPr>
        <w:t xml:space="preserve">12. </w:t>
      </w:r>
      <w:r>
        <w:rPr>
          <w:b w:val="false"/>
          <w:bCs w:val="false"/>
          <w:sz w:val="21"/>
          <w:szCs w:val="21"/>
        </w:rPr>
        <w:t xml:space="preserve">The impugned order </w:t>
      </w:r>
      <w:r>
        <w:rPr>
          <w:b/>
          <w:bCs/>
          <w:color w:val="C00000"/>
          <w:sz w:val="21"/>
          <w:szCs w:val="21"/>
          <w:highlight w:val="yellow"/>
          <w:highlightCs w:val="yellow"/>
        </w:rPr>
        <w:t xml:space="preserve">does not address</w:t>
      </w:r>
      <w:r>
        <w:rPr>
          <w:b w:val="false"/>
          <w:bCs w:val="false"/>
          <w:sz w:val="21"/>
          <w:szCs w:val="21"/>
        </w:rPr>
        <w:t xml:space="preserve"> Items 4-D, 7-B or 7-C separately at all; it treats them as subsumed within the general Section 399 direction.</w:t>
      </w:r>
    </w:p>
    <w:p>
      <w:pPr>
        <w:spacing w:after="100" w:before="180"/>
      </w:pPr>
      <w:r>
        <w:rPr>
          <w:b/>
          <w:bCs/>
          <w:color w:val="1F2A5E"/>
          <w:sz w:val="24"/>
          <w:szCs w:val="24"/>
        </w:rPr>
        <w:t xml:space="preserve">PRAYER</w:t>
      </w:r>
    </w:p>
    <w:p>
      <w:pPr>
        <w:spacing w:after="160" w:line="276"/>
        <w:jc w:val="both"/>
      </w:pPr>
      <w:r>
        <w:rPr>
          <w:b/>
          <w:bCs/>
          <w:sz w:val="25"/>
          <w:szCs w:val="25"/>
          <w:highlight w:val="yellow"/>
          <w:highlightCs w:val="yellow"/>
        </w:rPr>
        <w:t xml:space="preserve">a. </w:t>
      </w:r>
      <w:r>
        <w:rPr>
          <w:sz w:val="21"/>
          <w:szCs w:val="21"/>
        </w:rPr>
        <w:t xml:space="preserve">Direct the CPIO to furnish a specific, reasoned response to Item 6-C, independent of Cosmos Aluminium's own strike-off status;</w:t>
      </w:r>
    </w:p>
    <w:p>
      <w:pPr>
        <w:spacing w:after="160" w:line="276"/>
        <w:jc w:val="both"/>
      </w:pPr>
      <w:r>
        <w:rPr>
          <w:b/>
          <w:bCs/>
          <w:sz w:val="25"/>
          <w:szCs w:val="25"/>
          <w:highlight w:val="green"/>
          <w:highlightCs w:val="green"/>
        </w:rPr>
        <w:t xml:space="preserve">b. </w:t>
      </w:r>
      <w:r>
        <w:rPr>
          <w:sz w:val="21"/>
          <w:szCs w:val="21"/>
        </w:rPr>
        <w:t xml:space="preserve">Direct the CPIO to confirm what search was conducted of Form INC-28 filings in response to Item 6-D, or to furnish such records if held;</w:t>
      </w:r>
    </w:p>
    <w:p>
      <w:pPr>
        <w:spacing w:after="160" w:line="276"/>
        <w:jc w:val="both"/>
      </w:pPr>
      <w:r>
        <w:rPr>
          <w:b/>
          <w:bCs/>
          <w:sz w:val="25"/>
          <w:szCs w:val="25"/>
          <w:highlight w:val="yellow"/>
          <w:highlightCs w:val="yellow"/>
        </w:rPr>
        <w:t xml:space="preserve">c. </w:t>
      </w:r>
      <w:r>
        <w:rPr>
          <w:sz w:val="21"/>
          <w:szCs w:val="21"/>
        </w:rPr>
        <w:t xml:space="preserve">Direct the CPIO to furnish factual confirmations in response to Items 4-D, 7-B and 7-C;</w:t>
      </w:r>
    </w:p>
    <w:p>
      <w:pPr>
        <w:spacing w:after="160" w:line="276"/>
        <w:jc w:val="both"/>
      </w:pPr>
      <w:r>
        <w:rPr>
          <w:b/>
          <w:bCs/>
          <w:sz w:val="25"/>
          <w:szCs w:val="25"/>
          <w:highlight w:val="green"/>
          <w:highlightCs w:val="green"/>
        </w:rPr>
        <w:t xml:space="preserve">d. </w:t>
      </w:r>
      <w:r>
        <w:rPr>
          <w:sz w:val="21"/>
          <w:szCs w:val="21"/>
        </w:rPr>
        <w:t xml:space="preserve">Pass such further orders as this Hon'ble Commission may deem fit.</w:t>
      </w:r>
    </w:p>
    <w:p/>
    <w:p>
      <w:pPr>
        <w:spacing w:after="100" w:before="180"/>
      </w:pPr>
      <w:r>
        <w:rPr>
          <w:b/>
          <w:bCs/>
          <w:color w:val="1F2A5E"/>
          <w:sz w:val="24"/>
          <w:szCs w:val="24"/>
        </w:rPr>
        <w:t xml:space="preserve">VERIFICATION</w:t>
      </w:r>
    </w:p>
    <w:p>
      <w:pPr>
        <w:spacing w:after="160" w:line="276"/>
        <w:jc w:val="both"/>
      </w:pPr>
      <w:r>
        <w:rPr>
          <w:sz w:val="21"/>
          <w:szCs w:val="21"/>
        </w:rPr>
        <w:t xml:space="preserve">I, Neeraj Singh Mohnia, the Appellant above-named, do hereby verify that the contents of this Second Appeal are true and correct to the best of my knowledge, information, and belief, and that no material fact has been suppressed.</w:t>
      </w:r>
    </w:p>
    <w:p/>
    <w:p>
      <w:pPr>
        <w:spacing w:after="60" w:line="276"/>
      </w:pPr>
      <w:r>
        <w:rPr>
          <w:sz w:val="21"/>
          <w:szCs w:val="21"/>
        </w:rPr>
        <w:t xml:space="preserve">Place: Mumbai</w:t>
      </w:r>
    </w:p>
    <w:p>
      <w:pPr>
        <w:spacing w:after="60" w:line="276"/>
      </w:pPr>
      <w:r>
        <w:rPr>
          <w:sz w:val="21"/>
          <w:szCs w:val="21"/>
        </w:rPr>
        <w:t xml:space="preserve">Date: ____________</w:t>
      </w:r>
    </w:p>
    <w:p/>
    <w:p>
      <w:pPr>
        <w:spacing w:after="60" w:line="276"/>
      </w:pPr>
      <w:r>
        <w:rPr>
          <w:sz w:val="21"/>
          <w:szCs w:val="21"/>
        </w:rPr>
        <w:t xml:space="preserve">Yours faithfully,</w:t>
      </w:r>
    </w:p>
    <w:p/>
    <w:p>
      <w:pPr>
        <w:spacing w:after="60" w:line="276"/>
      </w:pPr>
      <w:r>
        <w:rPr>
          <w:sz w:val="21"/>
          <w:szCs w:val="21"/>
        </w:rPr>
        <w:t xml:space="preserve">Neeraj Singh Mohnia</w:t>
      </w:r>
    </w:p>
    <w:p>
      <w:pPr>
        <w:spacing w:after="60" w:line="276"/>
      </w:pPr>
      <w:r>
        <w:rPr>
          <w:sz w:val="21"/>
          <w:szCs w:val="21"/>
        </w:rPr>
        <w:t xml:space="preserve">Appellant</w:t>
      </w:r>
    </w:p>
    <w:p/>
    <w:p>
      <w:pPr>
        <w:spacing w:after="160" w:line="276"/>
        <w:jc w:val="both"/>
      </w:pPr>
      <w:r>
        <w:rPr>
          <w:sz w:val="21"/>
          <w:szCs w:val="21"/>
        </w:rPr>
        <w:t xml:space="preserve">Encl: (1) RTI Application ROCAP/R/E/26/00010 dated 22.05.2026; (2) CPIO reply dated 18.06.2026; (3) First Appeal ROCAP/A/E/26/00002 dated 24.06.2026; (4) FAA order dated 07.08.2026.</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i/>
        <w:iCs/>
        <w:color w:val="1F2A5E"/>
        <w:sz w:val="15"/>
        <w:szCs w:val="15"/>
      </w:rPr>
      <w:t xml:space="preserve">SECOND APPEAL | ROCAP/R/E/26/00010 | COSMOS ALUMINIUM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2026-08-09T09:22:52.347Z</dcterms:created>
  <dcterms:modified xsi:type="dcterms:W3CDTF">2026-08-09T09:22:52.347Z</dcterms:modified>
</cp:coreProperties>
</file>

<file path=docProps/custom.xml><?xml version="1.0" encoding="utf-8"?>
<Properties xmlns="http://schemas.openxmlformats.org/officeDocument/2006/custom-properties" xmlns:vt="http://schemas.openxmlformats.org/officeDocument/2006/docPropsVTypes"/>
</file>