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2A5E" w:val="clear"/>
        <w:spacing w:after="20" w:before="80"/>
        <w:jc w:val="center"/>
      </w:pPr>
      <w:r>
        <w:rPr>
          <w:b/>
          <w:bCs/>
          <w:color w:val="FFFFFF"/>
          <w:sz w:val="26"/>
          <w:szCs w:val="26"/>
        </w:rPr>
        <w:t xml:space="preserve">BEFORE THE FIRST APPELLATE AUTHORITY</w:t>
      </w:r>
    </w:p>
    <w:p>
      <w:pPr>
        <w:shd w:fill="1F2A5E" w:val="clear"/>
        <w:spacing w:after="160"/>
        <w:jc w:val="center"/>
      </w:pPr>
      <w:r>
        <w:rPr>
          <w:b/>
          <w:bCs/>
          <w:color w:val="FFFFFF"/>
          <w:sz w:val="19"/>
          <w:szCs w:val="19"/>
        </w:rPr>
        <w:t xml:space="preserve">SHRI SIDDHARTHAN T — JOINT COMMISSIONER, CGST &amp; CENTRAL EXCISE, MUMBAI SOUTH</w:t>
      </w:r>
    </w:p>
    <w:p>
      <w:pPr>
        <w:spacing w:after="60" w:line="276"/>
      </w:pPr>
      <w:r>
        <w:rPr>
          <w:sz w:val="21"/>
          <w:szCs w:val="21"/>
        </w:rPr>
        <w:t xml:space="preserve">13th Floor, Air India Building, Nariman Point, Mumbai — 400 021</w:t>
      </w:r>
    </w:p>
    <w:p>
      <w:pPr>
        <w:spacing w:after="60" w:line="276"/>
      </w:pPr>
      <w:r>
        <w:rPr>
          <w:b/>
          <w:bCs/>
          <w:sz w:val="21"/>
          <w:szCs w:val="21"/>
        </w:rPr>
        <w:t xml:space="preserve">UNDER SECTION 19(1) OF THE RIGHT TO INFORMATION ACT 2005</w:t>
      </w:r>
    </w:p>
    <w:p/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RTI Registration No.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CCEM1/R/E/26/00116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Date of RTI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08/05/2026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Original Public Authority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Chief Commissioner of CGST &amp; Central Excise, Mumbai Zone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Transferred to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Mumbai South Commissionerate — physical transfer — 11/05/2026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First CPIO Response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F.No. CGST/MSD2/RTI/2025/PT.IV/156/2025-26 dated 26/05/2026 — Pukhraj Singhvi, Div-II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Second CPIO Response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F.No. GEXCOM/TEC/MISC/2937/2025-CGST-DIV.5-COMMRTE-MUMBAI(S) dated 04/06/2026 — Arcana Salaye, Div-V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First Appeal Deadline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25/06/2026 — 30 days from first response dated 26/05/2026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Appellant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Neeraj Singh Mohnia — A-503 Marathon Eminence, Mulund West, Mumbai — 400 080 | +91 9323722122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Subject of RTI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GST registration status, turnover, HSN codes, scrutiny and cancellation records of Rashmi Metasteel Private Limited</w:t>
            </w:r>
          </w:p>
        </w:tc>
      </w:tr>
    </w:tbl>
    <w:p/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INTRODUCTION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The Appellant, Neeraj Singh Mohnia, Decree Holder in Civil Suit No. 1352/2017 and Applicant in I.A. No. 884/2026 within O.A. No. 122/2022 before DRT-II Mumbai, filed RTI No. CCEM1/R/E/26/00116 dated 08/05/2026 seeking GST compliance records of Rashmi Metasteel Private Limited (CIN U27310MH2011PTC213595).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The Appellant has received two separate responses from two different CGST divisions — both containing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identical blanket denials</w:t>
      </w:r>
      <w:r>
        <w:rPr>
          <w:b w:val="false"/>
          <w:bCs w:val="false"/>
          <w:sz w:val="21"/>
          <w:szCs w:val="21"/>
        </w:rPr>
        <w:t xml:space="preserve"> — neither addressing any of Items 6-A through 9-B.</w:t>
      </w:r>
    </w:p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CONDONATION OF DELAY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This Appeal ought to have been filed on or before 25/06/2026, being thirty days from the first CPIO response dated 26/05/2026. The Appellant respectfully submits that the delay in filing is attributable to genuine confusion arising directly from the conduct of the public authorities concerned, and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not to any wilful default</w:t>
      </w:r>
      <w:r>
        <w:rPr>
          <w:b w:val="false"/>
          <w:bCs w:val="false"/>
          <w:sz w:val="21"/>
          <w:szCs w:val="21"/>
        </w:rPr>
        <w:t xml:space="preserve"> or negligence.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(a) </w:t>
      </w:r>
      <w:r>
        <w:rPr>
          <w:sz w:val="21"/>
          <w:szCs w:val="21"/>
        </w:rPr>
        <w:t xml:space="preserve">Two separate responses to the same RTI Registration No., from two different Assistant Commissioners of two different Divisions, bearing different dates and file numbers, but containing word-for-word identical denial language, created genuine and reasonable uncertainty as to which response constituted the operative order for the purpose of computing limitation.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(b) </w:t>
      </w:r>
      <w:r>
        <w:rPr>
          <w:sz w:val="21"/>
          <w:szCs w:val="21"/>
        </w:rPr>
        <w:t xml:space="preserve">The RTI application was physically transferred without the Appellant being duly informed as required under Section 6(3), and the portal continued to reflect the original (pre-transfer) public authority.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(c) </w:t>
      </w:r>
      <w:r>
        <w:rPr>
          <w:b w:val="false"/>
          <w:bCs w:val="false"/>
          <w:sz w:val="21"/>
          <w:szCs w:val="21"/>
        </w:rPr>
        <w:t xml:space="preserve">Upon the Appellant's subsequent attempt to file the present Appeal through the RTI Online portal, the portal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did not permit</w:t>
      </w:r>
      <w:r>
        <w:rPr>
          <w:b w:val="false"/>
          <w:bCs w:val="false"/>
          <w:sz w:val="21"/>
          <w:szCs w:val="21"/>
        </w:rPr>
        <w:t xml:space="preserve"> online submission and instead directed physical filing.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(d) </w:t>
      </w:r>
      <w:r>
        <w:rPr>
          <w:b w:val="false"/>
          <w:bCs w:val="false"/>
          <w:sz w:val="21"/>
          <w:szCs w:val="21"/>
        </w:rPr>
        <w:t xml:space="preserve">The cumulative effect of (a) to (c) above constitutes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sufficient cause</w:t>
      </w:r>
      <w:r>
        <w:rPr>
          <w:b w:val="false"/>
          <w:bCs w:val="false"/>
          <w:sz w:val="21"/>
          <w:szCs w:val="21"/>
        </w:rPr>
        <w:t xml:space="preserve"> within the meaning of the proviso to Section 19(1), and the Appellant respectfully prays that the delay of approximately 47 days be condoned in the interest of substantial justice.</w:t>
      </w:r>
    </w:p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TWO RESPONSES — COMPARISON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Response 1 — Singhvi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Response 2 — Salaye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Division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Division-II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Division-V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26/05/2026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04/06/2026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Items answered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out of 9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out of 9</w:t>
            </w:r>
          </w:p>
        </w:tc>
      </w:tr>
      <w:tr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FAA named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named</w:t>
            </w:r>
          </w:p>
        </w:tc>
        <w:tc>
          <w:tcPr>
            <w:tcW w:type="dxa" w:w="4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Shri Siddharthan T</w:t>
            </w:r>
          </w:p>
        </w:tc>
      </w:tr>
    </w:tbl>
    <w:p/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GROUND 1 — </w:t>
      </w:r>
      <w:r>
        <w:rPr>
          <w:b/>
          <w:bCs/>
          <w:sz w:val="23"/>
          <w:szCs w:val="23"/>
        </w:rPr>
        <w:t xml:space="preserve">BLANKET DENIAL WITHOUT ITEM-WISE REASONS — VOID IN LAW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Both responses consist of an identical single-line blanket denial covering nine distinct items. Section 7(1) of the RTI Act 2005 requires the CPIO to provide information — or give specific reasons for declining — on each item separately. A single sentence covering nine distinct items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is not a response in law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i/>
          <w:iCs/>
          <w:sz w:val="21"/>
          <w:szCs w:val="21"/>
        </w:rPr>
        <w:t xml:space="preserve">CBSE &amp; Anr. v. Aditya Bandopadhyay &amp; Ors. (2011) 8 SCC 497</w:t>
      </w:r>
      <w:r>
        <w:rPr>
          <w:sz w:val="21"/>
          <w:szCs w:val="21"/>
        </w:rPr>
        <w:t xml:space="preserve"> — CPIO cannot refuse information without specific item-wise reasons. </w:t>
      </w:r>
      <w:r>
        <w:rPr>
          <w:i/>
          <w:iCs/>
          <w:sz w:val="21"/>
          <w:szCs w:val="21"/>
        </w:rPr>
        <w:t xml:space="preserve">Girish Ramchandra Deshpande v. CIC &amp; Ors. (2013) 1 SCC 212</w:t>
      </w:r>
      <w:r>
        <w:rPr>
          <w:sz w:val="21"/>
          <w:szCs w:val="21"/>
        </w:rPr>
        <w:t xml:space="preserve"> — Blanket denial without citing specific exemption is impermissible.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GROUND 2 — </w:t>
      </w:r>
      <w:r>
        <w:rPr>
          <w:b/>
          <w:bCs/>
          <w:sz w:val="23"/>
          <w:szCs w:val="23"/>
        </w:rPr>
        <w:t xml:space="preserve">NO EXEMPTION UNDER SECTION 8 RTI ACT CITED — DENIAL WITHOUT STATUTORY BASIS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Neither response cites any provision of Section 8(1) as the basis for withholding information. </w:t>
      </w:r>
      <w:r>
        <w:rPr>
          <w:i/>
          <w:iCs/>
          <w:sz w:val="21"/>
          <w:szCs w:val="21"/>
        </w:rPr>
        <w:t xml:space="preserve">R.K. Jain v. Union of India (2013) 14 SCC 794</w:t>
      </w:r>
      <w:r>
        <w:rPr>
          <w:sz w:val="21"/>
          <w:szCs w:val="21"/>
        </w:rPr>
        <w:t xml:space="preserve"> — Section 8 exemptions must be construed strictly and narrowly.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GROUND 3 — </w:t>
      </w:r>
      <w:r>
        <w:rPr>
          <w:b/>
          <w:bCs/>
          <w:sz w:val="23"/>
          <w:szCs w:val="23"/>
        </w:rPr>
        <w:t xml:space="preserve">SECTION 10 SEVERABILITY IGNORED — NON-EXEMPT ITEMS MUST BE PROVIDED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Section 10(1) imposes a mandatory duty to provide all non-exempt portions of information. </w:t>
      </w:r>
      <w:r>
        <w:rPr>
          <w:i/>
          <w:iCs/>
          <w:sz w:val="21"/>
          <w:szCs w:val="21"/>
        </w:rPr>
        <w:t xml:space="preserve">Namit Sharma v. Union of India (2013) 1 SCC 745</w:t>
      </w:r>
      <w:r>
        <w:rPr>
          <w:sz w:val="21"/>
          <w:szCs w:val="21"/>
        </w:rPr>
        <w:t xml:space="preserve"> — Section 10 severability is mandatory.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GROUND 4 — </w:t>
      </w:r>
      <w:r>
        <w:rPr>
          <w:b/>
          <w:bCs/>
          <w:sz w:val="23"/>
          <w:szCs w:val="23"/>
        </w:rPr>
        <w:t xml:space="preserve">FACTUAL OBSERVATION — IDENTITY OF THE CPIO — CLARIFICATION SOUGHT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The Appellant respectfully seeks clarification whether Shri Singhvi is the designated CPIO or whether the designated CPIO is a separate officer to whom a copy was marked.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GROUND 5 — </w:t>
      </w:r>
      <w:r>
        <w:rPr>
          <w:b/>
          <w:bCs/>
          <w:sz w:val="23"/>
          <w:szCs w:val="23"/>
        </w:rPr>
        <w:t xml:space="preserve">PHYSICAL TRANSFER ANOMALY — PORTAL STATUS INCONSISTENCY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The portal continues to record the public authority as Chief Commissioner Mumbai Zone — creating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jurisdictional ambiguity</w:t>
      </w:r>
      <w:r>
        <w:rPr>
          <w:b w:val="false"/>
          <w:bCs w:val="false"/>
          <w:sz w:val="21"/>
          <w:szCs w:val="21"/>
        </w:rPr>
        <w:t xml:space="preserve">. The portal directed physical First Appeal filing when online filing was attempted — confirming the anomaly.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GROUND 6 — </w:t>
      </w:r>
      <w:r>
        <w:rPr>
          <w:b/>
          <w:bCs/>
          <w:sz w:val="23"/>
          <w:szCs w:val="23"/>
        </w:rPr>
        <w:t xml:space="preserve">TWO SEPARATE RESPONSES FROM TWO DIVISIONS — INSTITUTIONAL EVASION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Both responses use word-for-word identical language, suggesting a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coordinated institutional response</w:t>
      </w:r>
      <w:r>
        <w:rPr>
          <w:b w:val="false"/>
          <w:bCs w:val="false"/>
          <w:sz w:val="21"/>
          <w:szCs w:val="21"/>
        </w:rPr>
        <w:t xml:space="preserve"> rather than a genuine examination of whether the information is held.</w:t>
      </w:r>
    </w:p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PRAYER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a. </w:t>
      </w:r>
      <w:r>
        <w:rPr>
          <w:sz w:val="21"/>
          <w:szCs w:val="21"/>
        </w:rPr>
        <w:t xml:space="preserve">Condone the delay of approximately 47 days in filing this Appeal;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b. </w:t>
      </w:r>
      <w:r>
        <w:rPr>
          <w:sz w:val="21"/>
          <w:szCs w:val="21"/>
        </w:rPr>
        <w:t xml:space="preserve">Hold that both responses are non-speaking blanket denials, void in law;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c. </w:t>
      </w:r>
      <w:r>
        <w:rPr>
          <w:sz w:val="21"/>
          <w:szCs w:val="21"/>
        </w:rPr>
        <w:t xml:space="preserve">Direct the designated CPIO to provide a fresh, complete, item-wise response within 15 days;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d. </w:t>
      </w:r>
      <w:r>
        <w:rPr>
          <w:sz w:val="21"/>
          <w:szCs w:val="21"/>
        </w:rPr>
        <w:t xml:space="preserve">Direct written confirmation of GST registration status on department letterhead;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e. </w:t>
      </w:r>
      <w:r>
        <w:rPr>
          <w:sz w:val="21"/>
          <w:szCs w:val="21"/>
        </w:rPr>
        <w:t xml:space="preserve">Direct both Division-II and Division-V to confirm whether any GST record exists in their respective records;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f. </w:t>
      </w:r>
      <w:r>
        <w:rPr>
          <w:sz w:val="21"/>
          <w:szCs w:val="21"/>
        </w:rPr>
        <w:t xml:space="preserve">Direct citation of specific sub-sections of Section 8(1) for any item withheld;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g. </w:t>
      </w:r>
      <w:r>
        <w:rPr>
          <w:sz w:val="21"/>
          <w:szCs w:val="21"/>
        </w:rPr>
        <w:t xml:space="preserve">Impose penalty under Section 20(1) at Rs. 250/- per day for the period of default;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h. </w:t>
      </w:r>
      <w:r>
        <w:rPr>
          <w:sz w:val="21"/>
          <w:szCs w:val="21"/>
        </w:rPr>
        <w:t xml:space="preserve">Pass such other and further orders as this Hon'ble Authority may deem fit.</w:t>
      </w:r>
    </w:p>
    <w:p/>
    <w:p>
      <w:pPr>
        <w:spacing w:after="60" w:line="276"/>
      </w:pPr>
      <w:r>
        <w:rPr>
          <w:sz w:val="21"/>
          <w:szCs w:val="21"/>
        </w:rPr>
        <w:t xml:space="preserve">Place: Mumbai     Date: ____________</w:t>
      </w:r>
    </w:p>
    <w:p/>
    <w:p>
      <w:pPr>
        <w:spacing w:after="60" w:line="276"/>
      </w:pPr>
      <w:r>
        <w:rPr>
          <w:sz w:val="21"/>
          <w:szCs w:val="21"/>
        </w:rPr>
        <w:t xml:space="preserve">Respectfully submitted,</w:t>
      </w:r>
    </w:p>
    <w:p/>
    <w:p>
      <w:pPr>
        <w:spacing w:after="60" w:line="276"/>
      </w:pPr>
      <w:r>
        <w:rPr>
          <w:sz w:val="21"/>
          <w:szCs w:val="21"/>
        </w:rPr>
        <w:t xml:space="preserve">Neeraj Singh Mohnia</w:t>
      </w:r>
    </w:p>
    <w:p>
      <w:pPr>
        <w:spacing w:after="60" w:line="276"/>
      </w:pPr>
      <w:r>
        <w:rPr>
          <w:sz w:val="21"/>
          <w:szCs w:val="21"/>
        </w:rPr>
        <w:t xml:space="preserve">Appellant — In Person</w:t>
      </w:r>
    </w:p>
    <w:p/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VERIFICATION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I, Neeraj Singh Mohnia, the Appellant above-named, do hereby verify that the contents of this First Appeal, including the statements made in support of condonation of delay, are true and correct.</w:t>
      </w:r>
    </w:p>
    <w:p>
      <w:pPr>
        <w:spacing w:after="60" w:line="276"/>
      </w:pPr>
      <w:r>
        <w:rPr>
          <w:sz w:val="21"/>
          <w:szCs w:val="21"/>
        </w:rPr>
        <w:t xml:space="preserve">Verified at Mumbai on this ____ day of __________ 2026.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i/>
        <w:iCs/>
        <w:color w:val="1F2A5E"/>
        <w:sz w:val="15"/>
        <w:szCs w:val="15"/>
      </w:rPr>
      <w:t xml:space="preserve">FIRST APPEAL | CCEM1/R/E/26/00116 | RASHMI METASTEEL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2026-08-09T09:24:02.114Z</dcterms:created>
  <dcterms:modified xsi:type="dcterms:W3CDTF">2026-08-09T09:24:02.115Z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