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2A5E" w:val="clear"/>
        <w:spacing w:after="20" w:before="80"/>
        <w:jc w:val="center"/>
      </w:pPr>
      <w:r>
        <w:rPr>
          <w:b/>
          <w:bCs/>
          <w:color w:val="FFFFFF"/>
          <w:sz w:val="26"/>
          <w:szCs w:val="26"/>
        </w:rPr>
        <w:t xml:space="preserve">APPLICATION UNDER THE RIGHT TO INFORMATION ACT, 2005</w:t>
      </w:r>
    </w:p>
    <w:p>
      <w:pPr>
        <w:shd w:fill="1F2A5E" w:val="clear"/>
        <w:spacing w:after="160"/>
        <w:jc w:val="center"/>
      </w:pPr>
      <w:r>
        <w:rPr>
          <w:b/>
          <w:bCs/>
          <w:color w:val="FFFFFF"/>
          <w:sz w:val="19"/>
          <w:szCs w:val="19"/>
        </w:rPr>
        <w:t xml:space="preserve">Physical / Speed Post filing — Maharashtra Value Added Tax records</w:t>
      </w:r>
    </w:p>
    <w:p/>
    <w:p>
      <w:pPr>
        <w:spacing w:after="60" w:line="276"/>
      </w:pPr>
      <w:r>
        <w:rPr>
          <w:sz w:val="21"/>
          <w:szCs w:val="21"/>
        </w:rPr>
        <w:t xml:space="preserve">To,</w:t>
      </w:r>
    </w:p>
    <w:p>
      <w:pPr>
        <w:spacing w:after="60" w:line="276"/>
      </w:pPr>
      <w:r>
        <w:rPr>
          <w:sz w:val="21"/>
          <w:szCs w:val="21"/>
        </w:rPr>
        <w:t xml:space="preserve">The State Public Information Officer</w:t>
      </w:r>
    </w:p>
    <w:p>
      <w:pPr>
        <w:spacing w:after="60" w:line="276"/>
      </w:pPr>
      <w:r>
        <w:rPr>
          <w:sz w:val="21"/>
          <w:szCs w:val="21"/>
        </w:rPr>
        <w:t xml:space="preserve">Maharashtra Sales Tax Department</w:t>
      </w:r>
    </w:p>
    <w:p>
      <w:pPr>
        <w:spacing w:after="60" w:line="276"/>
      </w:pPr>
      <w:r>
        <w:rPr>
          <w:sz w:val="21"/>
          <w:szCs w:val="21"/>
        </w:rPr>
        <w:t xml:space="preserve">GST Bhavan, Mazgaon, Mumbai – 400 010</w:t>
      </w:r>
    </w:p>
    <w:p/>
    <w:p>
      <w:pPr>
        <w:spacing w:after="60" w:line="276"/>
      </w:pPr>
      <w:r>
        <w:rPr>
          <w:sz w:val="21"/>
          <w:szCs w:val="21"/>
        </w:rPr>
        <w:t xml:space="preserve">From:</w:t>
      </w:r>
    </w:p>
    <w:p>
      <w:pPr>
        <w:spacing w:after="60" w:line="276"/>
      </w:pPr>
      <w:r>
        <w:rPr>
          <w:sz w:val="21"/>
          <w:szCs w:val="21"/>
        </w:rPr>
        <w:t xml:space="preserve">Neeraj Singh Mohnia</w:t>
      </w:r>
    </w:p>
    <w:p>
      <w:pPr>
        <w:spacing w:after="60" w:line="276"/>
      </w:pPr>
      <w:r>
        <w:rPr>
          <w:sz w:val="21"/>
          <w:szCs w:val="21"/>
        </w:rPr>
        <w:t xml:space="preserve">A-503, Marathon Eminence, Dadasaheb Gaikwad Marg, Mulund West, Mumbai – 400 080</w:t>
      </w:r>
    </w:p>
    <w:p>
      <w:pPr>
        <w:spacing w:after="60" w:line="276"/>
      </w:pPr>
      <w:r>
        <w:rPr>
          <w:sz w:val="21"/>
          <w:szCs w:val="21"/>
        </w:rPr>
        <w:t xml:space="preserve">Mobile: 9323722122 | Email: adarshimpexent@gmail.com</w:t>
      </w:r>
    </w:p>
    <w:p/>
    <w:p>
      <w:pPr>
        <w:spacing w:after="60" w:line="276"/>
      </w:pPr>
      <w:r>
        <w:rPr>
          <w:sz w:val="21"/>
          <w:szCs w:val="21"/>
        </w:rPr>
        <w:t xml:space="preserve">Date: ____________     Place: Mumbai</w:t>
      </w:r>
    </w:p>
    <w:p/>
    <w:p>
      <w:pPr>
        <w:spacing w:after="100" w:before="180"/>
      </w:pPr>
      <w:r>
        <w:rPr>
          <w:b/>
          <w:bCs/>
          <w:color w:val="1F2A5E"/>
          <w:sz w:val="24"/>
          <w:szCs w:val="24"/>
        </w:rPr>
        <w:t xml:space="preserve">Subject: RTI Application seeking Maharashtra VAT registration and turnover records of Rashmi Metasteel Private Limited (CIN U27310MH2011PTC213595), for the period 2011 to June 2017</w:t>
      </w:r>
    </w:p>
    <w:p>
      <w:pPr>
        <w:spacing w:after="160" w:line="276"/>
        <w:jc w:val="both"/>
      </w:pPr>
      <w:r>
        <w:rPr>
          <w:sz w:val="21"/>
          <w:szCs w:val="21"/>
        </w:rPr>
        <w:t xml:space="preserve">Sir/Madam,</w:t>
      </w:r>
    </w:p>
    <w:p>
      <w:pPr>
        <w:spacing w:after="160" w:line="276"/>
        <w:jc w:val="both"/>
      </w:pPr>
      <w:r>
        <w:rPr>
          <w:sz w:val="21"/>
          <w:szCs w:val="21"/>
        </w:rPr>
        <w:t xml:space="preserve">I, Neeraj Singh Mohnia, Decree Holder in Civil Suit No. 1352/2017, City Civil Court, Mumbai, and Intervener vide I.A. No. 884/2026 in O.A. No. 122/2022 before the Debts Recovery Tribunal-II, Mumbai, hereby seek the following information under Section 6(1) of the Right to Information Act, 2005.</w:t>
      </w:r>
    </w:p>
    <w:p>
      <w:pPr>
        <w:spacing w:after="160" w:line="276"/>
        <w:jc w:val="both"/>
      </w:pPr>
      <w:r>
        <w:rPr>
          <w:b w:val="false"/>
          <w:bCs w:val="false"/>
          <w:sz w:val="21"/>
          <w:szCs w:val="21"/>
        </w:rPr>
        <w:t xml:space="preserve">This information is sought for use as evidence in active proceedings before DRT-II Mumbai, and before EOW, Mumbai, in connection with an investigation into fraud exceeding </w:t>
      </w:r>
      <w:r>
        <w:rPr>
          <w:b/>
          <w:bCs/>
          <w:color w:val="C00000"/>
          <w:sz w:val="21"/>
          <w:szCs w:val="21"/>
          <w:highlight w:val="yellow"/>
          <w:highlightCs w:val="yellow"/>
        </w:rPr>
        <w:t xml:space="preserve">Rs. 51.29 crore</w:t>
      </w:r>
      <w:r>
        <w:rPr>
          <w:b w:val="false"/>
          <w:bCs w:val="false"/>
          <w:sz w:val="21"/>
          <w:szCs w:val="21"/>
        </w:rPr>
        <w:t xml:space="preserve">.</w:t>
      </w:r>
    </w:p>
    <w:p>
      <w:pPr>
        <w:spacing w:after="120" w:before="200"/>
      </w:pPr>
      <w:r>
        <w:rPr>
          <w:b/>
          <w:bCs/>
          <w:color w:val="8B0000"/>
          <w:sz w:val="27"/>
          <w:szCs w:val="27"/>
        </w:rPr>
        <w:t xml:space="preserve">ITEM 1 — </w:t>
      </w:r>
      <w:r>
        <w:rPr>
          <w:b/>
          <w:bCs/>
          <w:sz w:val="23"/>
          <w:szCs w:val="23"/>
        </w:rPr>
        <w:t xml:space="preserve">VAT Registration</w:t>
      </w:r>
    </w:p>
    <w:p>
      <w:pPr>
        <w:spacing w:after="160" w:line="276"/>
        <w:jc w:val="both"/>
      </w:pPr>
      <w:r>
        <w:rPr>
          <w:b/>
          <w:bCs/>
          <w:sz w:val="25"/>
          <w:szCs w:val="25"/>
          <w:highlight w:val="yellow"/>
          <w:highlightCs w:val="yellow"/>
        </w:rPr>
        <w:t xml:space="preserve">1-A. </w:t>
      </w:r>
      <w:r>
        <w:rPr>
          <w:sz w:val="21"/>
          <w:szCs w:val="21"/>
        </w:rPr>
        <w:t xml:space="preserve">Whether Rashmi Metasteel Private Limited (CIN U27310MH2011PTC213595) was ever registered as a dealer under the Maharashtra Value Added Tax Act, 2002, and if yes, the TIN allotted.</w:t>
      </w:r>
    </w:p>
    <w:p>
      <w:pPr>
        <w:spacing w:after="160" w:line="276"/>
        <w:jc w:val="both"/>
      </w:pPr>
      <w:r>
        <w:rPr>
          <w:b/>
          <w:bCs/>
          <w:sz w:val="25"/>
          <w:szCs w:val="25"/>
          <w:highlight w:val="green"/>
          <w:highlightCs w:val="green"/>
        </w:rPr>
        <w:t xml:space="preserve">1-B. </w:t>
      </w:r>
      <w:r>
        <w:rPr>
          <w:sz w:val="21"/>
          <w:szCs w:val="21"/>
        </w:rPr>
        <w:t xml:space="preserve">The date of VAT registration, the registered address declared, and the category of registration.</w:t>
      </w:r>
    </w:p>
    <w:p>
      <w:pPr>
        <w:spacing w:after="160" w:line="276"/>
        <w:jc w:val="both"/>
      </w:pPr>
      <w:r>
        <w:rPr>
          <w:b/>
          <w:bCs/>
          <w:sz w:val="25"/>
          <w:szCs w:val="25"/>
          <w:highlight w:val="yellow"/>
          <w:highlightCs w:val="yellow"/>
        </w:rPr>
        <w:t xml:space="preserve">1-C. </w:t>
      </w:r>
      <w:r>
        <w:rPr>
          <w:sz w:val="21"/>
          <w:szCs w:val="21"/>
        </w:rPr>
        <w:t xml:space="preserve">The commodity classification declared, specifically whether aluminium, steel, ferrous or non-ferrous metals, or scrap and waste metals were covered.</w:t>
      </w:r>
    </w:p>
    <w:p>
      <w:pPr>
        <w:spacing w:after="160" w:line="276"/>
        <w:jc w:val="both"/>
      </w:pPr>
      <w:r>
        <w:rPr>
          <w:b/>
          <w:bCs/>
          <w:sz w:val="25"/>
          <w:szCs w:val="25"/>
          <w:highlight w:val="green"/>
          <w:highlightCs w:val="green"/>
        </w:rPr>
        <w:t xml:space="preserve">1-D. </w:t>
      </w:r>
      <w:r>
        <w:rPr>
          <w:sz w:val="21"/>
          <w:szCs w:val="21"/>
        </w:rPr>
        <w:t xml:space="preserve">Whether also registered under the Central Sales Tax Act, 1956.</w:t>
      </w:r>
    </w:p>
    <w:p>
      <w:pPr>
        <w:spacing w:after="160" w:line="276"/>
        <w:jc w:val="both"/>
      </w:pPr>
      <w:r>
        <w:rPr>
          <w:b/>
          <w:bCs/>
          <w:sz w:val="25"/>
          <w:szCs w:val="25"/>
          <w:highlight w:val="yellow"/>
          <w:highlightCs w:val="yellow"/>
        </w:rPr>
        <w:t xml:space="preserve">1-E. </w:t>
      </w:r>
      <w:r>
        <w:rPr>
          <w:sz w:val="21"/>
          <w:szCs w:val="21"/>
        </w:rPr>
        <w:t xml:space="preserve">If never registered under MVAT, written confirmation on department letterhead to that effect.</w:t>
      </w:r>
    </w:p>
    <w:p>
      <w:pPr>
        <w:spacing w:after="120" w:before="200"/>
      </w:pPr>
      <w:r>
        <w:rPr>
          <w:b/>
          <w:bCs/>
          <w:color w:val="8B0000"/>
          <w:sz w:val="27"/>
          <w:szCs w:val="27"/>
        </w:rPr>
        <w:t xml:space="preserve">ITEM 2 — </w:t>
      </w:r>
      <w:r>
        <w:rPr>
          <w:b/>
          <w:bCs/>
          <w:sz w:val="23"/>
          <w:szCs w:val="23"/>
        </w:rPr>
        <w:t xml:space="preserve">Annual VAT Returns — Year-wise Turnover (2011-12 to 2016-17)</w:t>
      </w:r>
    </w:p>
    <w:p>
      <w:pPr>
        <w:spacing w:after="160" w:line="276"/>
        <w:jc w:val="both"/>
      </w:pPr>
      <w:r>
        <w:rPr>
          <w:b/>
          <w:bCs/>
          <w:sz w:val="25"/>
          <w:szCs w:val="25"/>
          <w:highlight w:val="yellow"/>
          <w:highlightCs w:val="yellow"/>
        </w:rPr>
        <w:t xml:space="preserve">2-A. </w:t>
      </w:r>
      <w:r>
        <w:rPr>
          <w:sz w:val="21"/>
          <w:szCs w:val="21"/>
        </w:rPr>
        <w:t xml:space="preserve">Total gross turnover, total taxable turnover, and total tax payable as declared in MVAT returns for each year.</w:t>
      </w:r>
    </w:p>
    <w:p>
      <w:pPr>
        <w:spacing w:after="160" w:line="276"/>
        <w:jc w:val="both"/>
      </w:pPr>
      <w:r>
        <w:rPr>
          <w:b/>
          <w:bCs/>
          <w:sz w:val="25"/>
          <w:szCs w:val="25"/>
          <w:highlight w:val="green"/>
          <w:highlightCs w:val="green"/>
        </w:rPr>
        <w:t xml:space="preserve">2-B. </w:t>
      </w:r>
      <w:r>
        <w:rPr>
          <w:sz w:val="21"/>
          <w:szCs w:val="21"/>
        </w:rPr>
        <w:t xml:space="preserve">Turnover breakdown by commodity.</w:t>
      </w:r>
    </w:p>
    <w:p>
      <w:pPr>
        <w:spacing w:after="160" w:line="276"/>
        <w:jc w:val="both"/>
      </w:pPr>
      <w:r>
        <w:rPr>
          <w:b/>
          <w:bCs/>
          <w:sz w:val="25"/>
          <w:szCs w:val="25"/>
          <w:highlight w:val="yellow"/>
          <w:highlightCs w:val="yellow"/>
        </w:rPr>
        <w:t xml:space="preserve">2-C. </w:t>
      </w:r>
      <w:r>
        <w:rPr>
          <w:sz w:val="21"/>
          <w:szCs w:val="21"/>
        </w:rPr>
        <w:t xml:space="preserve">Whether any purchases of raw materials were declared.</w:t>
      </w:r>
    </w:p>
    <w:p>
      <w:pPr>
        <w:spacing w:after="160" w:line="276"/>
        <w:jc w:val="both"/>
      </w:pPr>
      <w:r>
        <w:rPr>
          <w:b/>
          <w:bCs/>
          <w:sz w:val="25"/>
          <w:szCs w:val="25"/>
          <w:highlight w:val="green"/>
          <w:highlightCs w:val="green"/>
        </w:rPr>
        <w:t xml:space="preserve">2-D. </w:t>
      </w:r>
      <w:r>
        <w:rPr>
          <w:sz w:val="21"/>
          <w:szCs w:val="21"/>
        </w:rPr>
        <w:t xml:space="preserve">Whether any Input Tax Credit was claimed, and if yes, total ITC per year.</w:t>
      </w:r>
    </w:p>
    <w:p>
      <w:pPr>
        <w:spacing w:after="120" w:before="200"/>
      </w:pPr>
      <w:r>
        <w:rPr>
          <w:b/>
          <w:bCs/>
          <w:color w:val="8B0000"/>
          <w:sz w:val="27"/>
          <w:szCs w:val="27"/>
        </w:rPr>
        <w:t xml:space="preserve">ITEM 3 — </w:t>
      </w:r>
      <w:r>
        <w:rPr>
          <w:b/>
          <w:bCs/>
          <w:sz w:val="23"/>
          <w:szCs w:val="23"/>
        </w:rPr>
        <w:t xml:space="preserve">Assessment and Audit History</w:t>
      </w:r>
    </w:p>
    <w:p>
      <w:pPr>
        <w:spacing w:after="160" w:line="276"/>
        <w:jc w:val="both"/>
      </w:pPr>
      <w:r>
        <w:rPr>
          <w:b/>
          <w:bCs/>
          <w:sz w:val="25"/>
          <w:szCs w:val="25"/>
          <w:highlight w:val="yellow"/>
          <w:highlightCs w:val="yellow"/>
        </w:rPr>
        <w:t xml:space="preserve">3-A. </w:t>
      </w:r>
      <w:r>
        <w:rPr>
          <w:sz w:val="21"/>
          <w:szCs w:val="21"/>
        </w:rPr>
        <w:t xml:space="preserve">Whether any assessment was ever conducted under Section 23 of the MVAT Act, 2002.</w:t>
      </w:r>
    </w:p>
    <w:p>
      <w:pPr>
        <w:spacing w:after="160" w:line="276"/>
        <w:jc w:val="both"/>
      </w:pPr>
      <w:r>
        <w:rPr>
          <w:b/>
          <w:bCs/>
          <w:sz w:val="25"/>
          <w:szCs w:val="25"/>
          <w:highlight w:val="green"/>
          <w:highlightCs w:val="green"/>
        </w:rPr>
        <w:t xml:space="preserve">3-B. </w:t>
      </w:r>
      <w:r>
        <w:rPr>
          <w:sz w:val="21"/>
          <w:szCs w:val="21"/>
        </w:rPr>
        <w:t xml:space="preserve">Whether any audit was conducted under Section 22 of the MVAT Act, 2002.</w:t>
      </w:r>
    </w:p>
    <w:p>
      <w:pPr>
        <w:spacing w:after="160" w:line="276"/>
        <w:jc w:val="both"/>
      </w:pPr>
      <w:r>
        <w:rPr>
          <w:b/>
          <w:bCs/>
          <w:sz w:val="25"/>
          <w:szCs w:val="25"/>
          <w:highlight w:val="yellow"/>
          <w:highlightCs w:val="yellow"/>
        </w:rPr>
        <w:t xml:space="preserve">3-C. </w:t>
      </w:r>
      <w:r>
        <w:rPr>
          <w:sz w:val="21"/>
          <w:szCs w:val="21"/>
        </w:rPr>
        <w:t xml:space="preserve">Whether any notice was issued for non-filing of returns.</w:t>
      </w:r>
    </w:p>
    <w:p>
      <w:pPr>
        <w:spacing w:after="160" w:line="276"/>
        <w:jc w:val="both"/>
      </w:pPr>
      <w:r>
        <w:rPr>
          <w:b/>
          <w:bCs/>
          <w:sz w:val="25"/>
          <w:szCs w:val="25"/>
          <w:highlight w:val="green"/>
          <w:highlightCs w:val="green"/>
        </w:rPr>
        <w:t xml:space="preserve">3-D. </w:t>
      </w:r>
      <w:r>
        <w:rPr>
          <w:sz w:val="21"/>
          <w:szCs w:val="21"/>
        </w:rPr>
        <w:t xml:space="preserve">Whether any demand was raised for unpaid VAT, and if yes, amount and recovery status.</w:t>
      </w:r>
    </w:p>
    <w:p>
      <w:pPr>
        <w:spacing w:after="120" w:before="200"/>
      </w:pPr>
      <w:r>
        <w:rPr>
          <w:b/>
          <w:bCs/>
          <w:color w:val="8B0000"/>
          <w:sz w:val="27"/>
          <w:szCs w:val="27"/>
        </w:rPr>
        <w:t xml:space="preserve">ITEM 4 — </w:t>
      </w:r>
      <w:r>
        <w:rPr>
          <w:b/>
          <w:bCs/>
          <w:sz w:val="23"/>
          <w:szCs w:val="23"/>
        </w:rPr>
        <w:t xml:space="preserve">Service Tax Registration</w:t>
      </w:r>
    </w:p>
    <w:p>
      <w:pPr>
        <w:spacing w:after="160" w:line="276"/>
        <w:jc w:val="both"/>
      </w:pPr>
      <w:r>
        <w:rPr>
          <w:b/>
          <w:bCs/>
          <w:sz w:val="25"/>
          <w:szCs w:val="25"/>
          <w:highlight w:val="yellow"/>
          <w:highlightCs w:val="yellow"/>
        </w:rPr>
        <w:t xml:space="preserve">4-A. </w:t>
      </w:r>
      <w:r>
        <w:rPr>
          <w:sz w:val="21"/>
          <w:szCs w:val="21"/>
        </w:rPr>
        <w:t xml:space="preserve">Whether Rashmi Metasteel was ever registered under the Finance Act, 1994 for Service Tax.</w:t>
      </w:r>
    </w:p>
    <w:p>
      <w:pPr>
        <w:spacing w:after="160" w:line="276"/>
        <w:jc w:val="both"/>
      </w:pPr>
      <w:r>
        <w:rPr>
          <w:b/>
          <w:bCs/>
          <w:sz w:val="25"/>
          <w:szCs w:val="25"/>
          <w:highlight w:val="green"/>
          <w:highlightCs w:val="green"/>
        </w:rPr>
        <w:t xml:space="preserve">4-B. </w:t>
      </w:r>
      <w:r>
        <w:rPr>
          <w:sz w:val="21"/>
          <w:szCs w:val="21"/>
        </w:rPr>
        <w:t xml:space="preserve">If registered, the Service Tax Registration Number and total service tax paid per year.</w:t>
      </w:r>
    </w:p>
    <w:p>
      <w:pPr>
        <w:spacing w:after="160" w:line="276"/>
        <w:jc w:val="both"/>
      </w:pPr>
      <w:r>
        <w:rPr>
          <w:b/>
          <w:bCs/>
          <w:sz w:val="25"/>
          <w:szCs w:val="25"/>
          <w:highlight w:val="yellow"/>
          <w:highlightCs w:val="yellow"/>
        </w:rPr>
        <w:t xml:space="preserve">4-C. </w:t>
      </w:r>
      <w:r>
        <w:rPr>
          <w:sz w:val="21"/>
          <w:szCs w:val="21"/>
        </w:rPr>
        <w:t xml:space="preserve">If never registered for service tax, written confirmation of that fact.</w:t>
      </w:r>
    </w:p>
    <w:p>
      <w:pPr>
        <w:spacing w:after="120" w:before="200"/>
      </w:pPr>
      <w:r>
        <w:rPr>
          <w:b/>
          <w:bCs/>
          <w:color w:val="8B0000"/>
          <w:sz w:val="27"/>
          <w:szCs w:val="27"/>
        </w:rPr>
        <w:t xml:space="preserve">ITEM 5 — </w:t>
      </w:r>
      <w:r>
        <w:rPr>
          <w:b/>
          <w:bCs/>
          <w:sz w:val="23"/>
          <w:szCs w:val="23"/>
        </w:rPr>
        <w:t xml:space="preserve">Cancellation of VAT Registration</w:t>
      </w:r>
    </w:p>
    <w:p>
      <w:pPr>
        <w:spacing w:after="160" w:line="276"/>
        <w:jc w:val="both"/>
      </w:pPr>
      <w:r>
        <w:rPr>
          <w:b/>
          <w:bCs/>
          <w:sz w:val="25"/>
          <w:szCs w:val="25"/>
          <w:highlight w:val="yellow"/>
          <w:highlightCs w:val="yellow"/>
        </w:rPr>
        <w:t xml:space="preserve">5-A. </w:t>
      </w:r>
      <w:r>
        <w:rPr>
          <w:sz w:val="21"/>
          <w:szCs w:val="21"/>
        </w:rPr>
        <w:t xml:space="preserve">Whether VAT registration was ever cancelled, and if yes, date and reason.</w:t>
      </w:r>
    </w:p>
    <w:p>
      <w:pPr>
        <w:spacing w:after="160" w:line="276"/>
        <w:jc w:val="both"/>
      </w:pPr>
      <w:r>
        <w:rPr>
          <w:b/>
          <w:bCs/>
          <w:sz w:val="25"/>
          <w:szCs w:val="25"/>
          <w:highlight w:val="green"/>
          <w:highlightCs w:val="green"/>
        </w:rPr>
        <w:t xml:space="preserve">5-B. </w:t>
      </w:r>
      <w:r>
        <w:rPr>
          <w:sz w:val="21"/>
          <w:szCs w:val="21"/>
        </w:rPr>
        <w:t xml:space="preserve">Whether the company applied voluntarily for cancellation citing business closure.</w:t>
      </w:r>
    </w:p>
    <w:p>
      <w:pPr>
        <w:spacing w:after="160" w:line="276"/>
        <w:jc w:val="both"/>
      </w:pPr>
      <w:r>
        <w:rPr>
          <w:b/>
          <w:bCs/>
          <w:sz w:val="25"/>
          <w:szCs w:val="25"/>
          <w:highlight w:val="yellow"/>
          <w:highlightCs w:val="yellow"/>
        </w:rPr>
        <w:t xml:space="preserve">5-C. </w:t>
      </w:r>
      <w:r>
        <w:rPr>
          <w:sz w:val="21"/>
          <w:szCs w:val="21"/>
        </w:rPr>
        <w:t xml:space="preserve">The last return period for which any VAT return was filed.</w:t>
      </w:r>
    </w:p>
    <w:p>
      <w:pPr>
        <w:spacing w:after="100" w:before="180"/>
      </w:pPr>
      <w:r>
        <w:rPr>
          <w:b/>
          <w:bCs/>
          <w:color w:val="1F2A5E"/>
          <w:sz w:val="24"/>
          <w:szCs w:val="24"/>
        </w:rPr>
        <w:t xml:space="preserve">Legal Basis</w:t>
      </w:r>
    </w:p>
    <w:p>
      <w:pPr>
        <w:spacing w:after="160" w:line="276"/>
        <w:jc w:val="both"/>
      </w:pPr>
      <w:r>
        <w:rPr>
          <w:b w:val="false"/>
          <w:bCs w:val="false"/>
          <w:sz w:val="21"/>
          <w:szCs w:val="21"/>
        </w:rPr>
        <w:t xml:space="preserve">This application is made under Section 6(1) of the RTI Act, 2005. The public interest override under Section 8(2) is </w:t>
      </w:r>
      <w:r>
        <w:rPr>
          <w:b/>
          <w:bCs/>
          <w:color w:val="C00000"/>
          <w:sz w:val="21"/>
          <w:szCs w:val="21"/>
          <w:highlight w:val="yellow"/>
          <w:highlightCs w:val="yellow"/>
        </w:rPr>
        <w:t xml:space="preserve">expressly invoked</w:t>
      </w:r>
      <w:r>
        <w:rPr>
          <w:b w:val="false"/>
          <w:bCs w:val="false"/>
          <w:sz w:val="21"/>
          <w:szCs w:val="21"/>
        </w:rPr>
        <w:t xml:space="preserve">, given the fraud quantum exceeding Rs. 51.29 crore under active investigation.</w:t>
      </w:r>
    </w:p>
    <w:p>
      <w:pPr>
        <w:spacing w:after="160" w:line="276"/>
        <w:jc w:val="both"/>
      </w:pPr>
      <w:r>
        <w:rPr>
          <w:sz w:val="21"/>
          <w:szCs w:val="21"/>
        </w:rPr>
        <w:t xml:space="preserve">If any part of this information is not held by your office, kindly transfer the relevant portion under Section 6(3) of the Act within five days.</w:t>
      </w:r>
    </w:p>
    <w:p/>
    <w:p>
      <w:pPr>
        <w:spacing w:after="100" w:before="180"/>
      </w:pPr>
      <w:r>
        <w:rPr>
          <w:b/>
          <w:bCs/>
          <w:color w:val="1F2A5E"/>
          <w:sz w:val="24"/>
          <w:szCs w:val="24"/>
        </w:rPr>
        <w:t xml:space="preserve">Fee</w:t>
      </w:r>
    </w:p>
    <w:p>
      <w:pPr>
        <w:spacing w:after="160" w:line="276"/>
        <w:jc w:val="both"/>
      </w:pPr>
      <w:r>
        <w:rPr>
          <w:sz w:val="21"/>
          <w:szCs w:val="21"/>
        </w:rPr>
        <w:t xml:space="preserve">A fee of Rs. 10/- is enclosed by way of Court Fee Stamp, affixed herewith.</w:t>
      </w:r>
    </w:p>
    <w:p/>
    <w:p>
      <w:pPr>
        <w:spacing w:after="100" w:before="180"/>
      </w:pPr>
      <w:r>
        <w:rPr>
          <w:b/>
          <w:bCs/>
          <w:color w:val="1F2A5E"/>
          <w:sz w:val="24"/>
          <w:szCs w:val="24"/>
        </w:rPr>
        <w:t xml:space="preserve">Declaration</w:t>
      </w:r>
    </w:p>
    <w:p>
      <w:pPr>
        <w:spacing w:after="160" w:line="276"/>
        <w:jc w:val="both"/>
      </w:pPr>
      <w:r>
        <w:rPr>
          <w:sz w:val="21"/>
          <w:szCs w:val="21"/>
        </w:rPr>
        <w:t xml:space="preserve">I, Neeraj Singh Mohnia, declare that I am a citizen of India, that I am not an officer of any intelligence or security organisation specified in the Second Schedule to the Act, and that the information sought is for a genuine legal purpose.</w:t>
      </w:r>
    </w:p>
    <w:p/>
    <w:p>
      <w:pPr>
        <w:spacing w:after="60" w:line="276"/>
      </w:pPr>
      <w:r>
        <w:rPr>
          <w:sz w:val="21"/>
          <w:szCs w:val="21"/>
        </w:rPr>
        <w:t xml:space="preserve">Place: Mumbai</w:t>
      </w:r>
    </w:p>
    <w:p>
      <w:pPr>
        <w:spacing w:after="60" w:line="276"/>
      </w:pPr>
      <w:r>
        <w:rPr>
          <w:sz w:val="21"/>
          <w:szCs w:val="21"/>
        </w:rPr>
        <w:t xml:space="preserve">Date: ____________</w:t>
      </w:r>
    </w:p>
    <w:p/>
    <w:p>
      <w:pPr>
        <w:spacing w:after="60" w:line="276"/>
      </w:pPr>
      <w:r>
        <w:rPr>
          <w:sz w:val="21"/>
          <w:szCs w:val="21"/>
        </w:rPr>
        <w:t xml:space="preserve">Yours faithfully,</w:t>
      </w:r>
    </w:p>
    <w:p/>
    <w:p>
      <w:pPr>
        <w:spacing w:after="60" w:line="276"/>
      </w:pPr>
      <w:r>
        <w:rPr>
          <w:sz w:val="21"/>
          <w:szCs w:val="21"/>
        </w:rPr>
        <w:t xml:space="preserve">Neeraj Singh Mohnia</w:t>
      </w:r>
    </w:p>
    <w:p>
      <w:pPr>
        <w:spacing w:after="60" w:line="276"/>
      </w:pPr>
      <w:r>
        <w:rPr>
          <w:sz w:val="21"/>
          <w:szCs w:val="21"/>
        </w:rPr>
        <w:t xml:space="preserve">Applicant</w:t>
      </w:r>
    </w:p>
    <w:sectPr>
      <w:headerReference w:type="default" r:id="rId7"/>
      <w:footerReference w:type="default" r:id="rId8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i/>
        <w:iCs/>
        <w:color w:val="1F2A5E"/>
        <w:sz w:val="15"/>
        <w:szCs w:val="15"/>
      </w:rPr>
      <w:t xml:space="preserve">RTI APPLICATION | MAHARASHTRA SALES TAX | RASHMI METASTEEL PVT. LTD.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2026-08-09T09:24:26.770Z</dcterms:created>
  <dcterms:modified xsi:type="dcterms:W3CDTF">2026-08-09T09:24:26.770Z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