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000000" w:sz="8"/>
              <w:left w:val="single" w:color="000000" w:sz="8"/>
              <w:bottom w:val="single" w:color="000000" w:sz="8"/>
              <w:right w:val="single" w:color="000000" w:sz="8"/>
            </w:tcBorders>
            <w:shd w:fill="1F3864" w:color="auto" w:val="clear"/>
            <w:tcMar>
              <w:top w:type="dxa" w:w="140"/>
              <w:left w:type="dxa" w:w="200"/>
              <w:bottom w:type="dxa" w:w="140"/>
              <w:right w:type="dxa" w:w="200"/>
            </w:tcMar>
          </w:tcPr>
          <w:p>
            <w:pPr>
              <w:spacing w:after="60"/>
              <w:jc w:val="center"/>
            </w:pPr>
            <w:r>
              <w:rPr>
                <w:rFonts w:ascii="Cambria" w:cs="Cambria" w:eastAsia="Cambria" w:hAnsi="Cambria"/>
                <w:b/>
                <w:bCs/>
                <w:color w:val="FFFFFF"/>
                <w:sz w:val="26"/>
                <w:szCs w:val="26"/>
              </w:rPr>
              <w:t xml:space="preserve">BEFORE THE CENTRAL INFORMATION COMMISSION, NEW DELHI</w:t>
            </w:r>
          </w:p>
          <w:p>
            <w:pPr>
              <w:spacing w:after="60"/>
              <w:jc w:val="center"/>
            </w:pPr>
            <w:r>
              <w:rPr>
                <w:rFonts w:ascii="Cambria" w:cs="Cambria" w:eastAsia="Cambria" w:hAnsi="Cambria"/>
                <w:b/>
                <w:bCs/>
                <w:color w:val="FFFFFF"/>
                <w:sz w:val="22"/>
                <w:szCs w:val="22"/>
              </w:rPr>
              <w:t xml:space="preserve">SECOND APPEAL UNDER SECTION 19(3) OF THE RIGHT TO INFORMATION ACT, 2005</w:t>
            </w:r>
          </w:p>
        </w:tc>
      </w:tr>
    </w:tbl>
    <w:p>
      <w:pPr>
        <w:spacing w:after="60" w:line="288"/>
        <w:jc w:val="both"/>
      </w:pPr>
      <w:r>
        <w:rPr>
          <w:rFonts w:ascii="Cambria" w:cs="Cambria" w:eastAsia="Cambria" w:hAnsi="Cambria"/>
          <w:b w:val="false"/>
          <w:bCs w:val="false"/>
          <w:i w:val="false"/>
          <w:iCs w:val="false"/>
          <w:sz w:val="22"/>
          <w:szCs w:val="22"/>
        </w:rP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6806"/>
      </w:tblGrid>
      <w:tr>
        <w:tc>
          <w:tcPr>
            <w:tcW w:type="dxa" w:w="25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Appellant</w:t>
            </w:r>
          </w:p>
        </w:tc>
        <w:tc>
          <w:tcPr>
            <w:tcW w:type="dxa" w:w="68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Neeraj Singh Mohnia, A1-204, Prasad Nagar Society, Wadgaon Sheri, Pune – 411014 (address on the RTI record: A-503, Marathon Eminence, Dadasaheb Gaikwad Marg, Mulund West, Mumbai – 400080). Mobile: 9323722122. Email: adarshimpexent@gmail.com</w:t>
            </w:r>
          </w:p>
        </w:tc>
      </w:tr>
      <w:tr>
        <w:tc>
          <w:tcPr>
            <w:tcW w:type="dxa" w:w="25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Respondent 1</w:t>
            </w:r>
          </w:p>
        </w:tc>
        <w:tc>
          <w:tcPr>
            <w:tcW w:type="dxa" w:w="68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The CPIO, Central Registry of Securitisation Asset Reconstruction and Security Interest of India (CERSAI), 4th Floor, Office Block, Tower-1, Plate-A, NBCC, Kidwai Nagar East, New Delhi – 110023</w:t>
            </w:r>
          </w:p>
        </w:tc>
      </w:tr>
      <w:tr>
        <w:tc>
          <w:tcPr>
            <w:tcW w:type="dxa" w:w="25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Respondent 2</w:t>
            </w:r>
          </w:p>
        </w:tc>
        <w:tc>
          <w:tcPr>
            <w:tcW w:type="dxa" w:w="68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Shri Sanjiv Lal Srivastava, DGM &amp; First Appellate Authority, CERSAI, at the same address</w:t>
            </w:r>
          </w:p>
        </w:tc>
      </w:tr>
      <w:tr>
        <w:tc>
          <w:tcPr>
            <w:tcW w:type="dxa" w:w="25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RTI application</w:t>
            </w:r>
          </w:p>
        </w:tc>
        <w:tc>
          <w:tcPr>
            <w:tcW w:type="dxa" w:w="68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CERSA/R/E/26/00052 dated 03.06.2026</w:t>
            </w:r>
          </w:p>
        </w:tc>
      </w:tr>
      <w:tr>
        <w:tc>
          <w:tcPr>
            <w:tcW w:type="dxa" w:w="25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CPIO reply</w:t>
            </w:r>
          </w:p>
        </w:tc>
        <w:tc>
          <w:tcPr>
            <w:tcW w:type="dxa" w:w="68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Dated 29.06.2026</w:t>
            </w:r>
          </w:p>
        </w:tc>
      </w:tr>
      <w:tr>
        <w:tc>
          <w:tcPr>
            <w:tcW w:type="dxa" w:w="25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First Appeal</w:t>
            </w:r>
          </w:p>
        </w:tc>
        <w:tc>
          <w:tcPr>
            <w:tcW w:type="dxa" w:w="68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CERSA/A/E/26/00017, dated and filed 30.06.2026</w:t>
            </w:r>
          </w:p>
        </w:tc>
      </w:tr>
      <w:tr>
        <w:tc>
          <w:tcPr>
            <w:tcW w:type="dxa" w:w="25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Impugned order</w:t>
            </w:r>
          </w:p>
        </w:tc>
        <w:tc>
          <w:tcPr>
            <w:tcW w:type="dxa" w:w="68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CERSAI/RTI APPEAL/2026-27/Note-990 dated 22.07.2026 (portal action date 23.07.2026)</w:t>
            </w:r>
          </w:p>
        </w:tc>
      </w:tr>
      <w:tr>
        <w:tc>
          <w:tcPr>
            <w:tcW w:type="dxa" w:w="25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Debtor / property</w:t>
            </w:r>
          </w:p>
        </w:tc>
        <w:tc>
          <w:tcPr>
            <w:tcW w:type="dxa" w:w="68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M/s Light and Glaze Profile Pvt. Ltd.; Survey No. 124, Block/Plot No. 152, Kural Village, Vadodara</w:t>
            </w:r>
          </w:p>
        </w:tc>
      </w:tr>
      <w:tr>
        <w:tc>
          <w:tcPr>
            <w:tcW w:type="dxa" w:w="25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Limitation</w:t>
            </w:r>
          </w:p>
        </w:tc>
        <w:tc>
          <w:tcPr>
            <w:tcW w:type="dxa" w:w="68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90 days from 22.07.2026 expire on 20.10.2026. The appeal is filed within time.</w:t>
            </w:r>
          </w:p>
        </w:tc>
      </w:tr>
    </w:tbl>
    <w:p>
      <w:pPr>
        <w:spacing w:after="60" w:line="288"/>
        <w:jc w:val="both"/>
      </w:pPr>
      <w:r>
        <w:rPr>
          <w:rFonts w:ascii="Cambria" w:cs="Cambria" w:eastAsia="Cambria" w:hAnsi="Cambria"/>
          <w:b w:val="false"/>
          <w:bCs w:val="false"/>
          <w:i w:val="false"/>
          <w:iCs w:val="false"/>
          <w:sz w:val="22"/>
          <w:szCs w:val="22"/>
        </w:rPr>
        <w:t xml:space="preserve"/>
      </w:r>
    </w:p>
    <w:p>
      <w:pPr>
        <w:keepNext/>
        <w:spacing w:after="120" w:before="220"/>
      </w:pPr>
      <w:r>
        <w:rPr>
          <w:rFonts w:ascii="Cambria" w:cs="Cambria" w:eastAsia="Cambria" w:hAnsi="Cambria"/>
          <w:b/>
          <w:bCs/>
          <w:i w:val="false"/>
          <w:iCs w:val="false"/>
          <w:color w:val="1F3864"/>
          <w:sz w:val="26"/>
          <w:szCs w:val="26"/>
        </w:rPr>
        <w:t xml:space="preserve">PRELIMINARY FACTS</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The Appellant filed RTI Application No. CERSA/R/E/26/00052 on 03.06.2026 concerning three Asset IDs registered on the Central Registry against M/s Light and Glaze Profile Pvt. Ltd., all relating to land at Survey No. 124, Vadodara: Asset ID 200000693841 (“Eastern Portion”, 3,456.88 sq. m.), Asset ID 200000694206 (“Western Portion”, 2,846.12 sq. m.) and Asset ID 200003766496 (“Block No. 152”, 6,303.00 sq. m.). The areas of the first two together equal exactly the area of the third.</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Before filing the application, the Appellant ran a Debtor Based Search on the CERSAI portal on 02.06.2026. For Asset IDs 200000693841 and 200000694206 the portal displayed only the message that all security interests were either satisfied or de-registered. For Asset ID 200003766496 it generated a full report showing the charge-holder, the secured amount and a status of “Not Satisfied”.</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By reply dated 29.06.2026 the CPIO furnished, for Asset IDs 200000693841 and 200000694206, the date of registration (31.07.2012) and the date (05.02.2015) and transaction IDs of satisfaction or de-registration. The CPIO declined to furnish the name of the charge-holder, the secured amount and the identity of the entity that filed the satisfaction or de-registration, citing Sections 8(1)(j) and 8(1)(e) of the Act on the ground that, once a charge is satisfied, these particulars become personal information held in a fiduciary capacity. In the same reply, at Serial No. 11, the CPIO furnished the charge-holder name, secured amount and creation date for Asset ID 200003766496 without claiming any exemption.</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The application also asked (i) whether Asset ID 200003766496, the charge that remains unsatisfied, has been flagged under any internal mechanism for security interests left unsatisfied for a long period, and (ii) whether CERSAI has ever communicated with the charge-holder of that Asset ID about its obligation to file satisfaction. The CPIO answered query (i) only by reference to the general rejection at Serial No. 1, citing Section 2(f) of the Act, and gave no reply at all to query (ii).</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The Appellant filed First Appeal No. CERSA/A/E/26/00017 on 30.06.2026 on three grounds: the exemptions were applied inconsistently to identical categories of information concerning the same debtor; the existence and status of the satisfied Asset IDs are already disclosed by the CERSAI portal to any member of the public; and the two specific queries about Asset ID 200003766496 were not answered.</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By the impugned order dated 22.07.2026, the First Appellate Authority upheld the CPIO's reply. On the two satisfied Asset IDs it held that, after satisfaction of a charge, detailed particulars are not available for public search, and that reliance on Sections 8(1)(j) and 8(1)(e) was therefore well founded. On the flagging and communication queries, which it dealt with together in a single observation, it agreed that the request does not fall within the definition of information under Section 2(f), held that reliance on CBSE v. Aditya Bandopadhyay and Dr. D.V. Rao v. Yashwant Singh was well founded, and held that referring to the reply at another serial number was not a flaw in the process. The appeal was disposed of without interference.</w:t>
      </w:r>
    </w:p>
    <w:p>
      <w:pPr>
        <w:keepNext/>
        <w:spacing w:after="120" w:before="220"/>
      </w:pPr>
      <w:r>
        <w:rPr>
          <w:rFonts w:ascii="Cambria" w:cs="Cambria" w:eastAsia="Cambria" w:hAnsi="Cambria"/>
          <w:b/>
          <w:bCs/>
          <w:i w:val="false"/>
          <w:iCs w:val="false"/>
          <w:color w:val="1F3864"/>
          <w:sz w:val="26"/>
          <w:szCs w:val="26"/>
        </w:rPr>
        <w:t xml:space="preserve">GROUNDS OF APPEAL</w:t>
      </w:r>
    </w:p>
    <w:p>
      <w:pPr>
        <w:keepNext/>
        <w:spacing w:after="110" w:before="200"/>
      </w:pPr>
      <w:r>
        <w:rPr>
          <w:rFonts w:ascii="Cambria" w:cs="Cambria" w:eastAsia="Cambria" w:hAnsi="Cambria"/>
          <w:b/>
          <w:bCs/>
          <w:i w:val="false"/>
          <w:iCs w:val="false"/>
          <w:color w:val="800000"/>
          <w:sz w:val="28"/>
          <w:szCs w:val="28"/>
        </w:rPr>
        <w:t xml:space="preserve">GROUND A  </w:t>
      </w:r>
      <w:r>
        <w:rPr>
          <w:rFonts w:ascii="Cambria" w:cs="Cambria" w:eastAsia="Cambria" w:hAnsi="Cambria"/>
          <w:b/>
          <w:bCs/>
          <w:i w:val="false"/>
          <w:iCs w:val="false"/>
          <w:color w:val="800000"/>
          <w:sz w:val="21"/>
          <w:szCs w:val="21"/>
        </w:rPr>
        <w:t xml:space="preserve">THE SAME CATEGORIES OF INFORMATION WERE DISCLOSED FOR ONE ASSET AND WITHHELD FOR TWO OTHERS</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In one reply to one application, the CPIO disclosed the charge-holder name and secured amount for Asset ID 200003766496 and withheld exactly the same categories for Asset IDs 200000693841 and 200000694206, which concern the same debtor and the same land. The only difference is that the first charge is unsatisfied and the other two are satisfied.</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Whether information is personal, or is held in a fiduciary relationship, depends on its nature, not on whether the underlying transaction is open or closed. The identity of a lender and the amount it secured do not become private because the loan was later repaid. The reply gives no reason for treating the same particulars differently, and the impugned order does not deal with this ground. It holds only that the reference to an earlier serial number was not a procedural flaw, which is a different point.</w:t>
      </w:r>
    </w:p>
    <w:p>
      <w:pPr>
        <w:keepNext/>
        <w:spacing w:after="110" w:before="200"/>
      </w:pPr>
      <w:r>
        <w:rPr>
          <w:rFonts w:ascii="Cambria" w:cs="Cambria" w:eastAsia="Cambria" w:hAnsi="Cambria"/>
          <w:b/>
          <w:bCs/>
          <w:i w:val="false"/>
          <w:iCs w:val="false"/>
          <w:color w:val="800000"/>
          <w:sz w:val="28"/>
          <w:szCs w:val="28"/>
        </w:rPr>
        <w:t xml:space="preserve">GROUND B  </w:t>
      </w:r>
      <w:r>
        <w:rPr>
          <w:rFonts w:ascii="Cambria" w:cs="Cambria" w:eastAsia="Cambria" w:hAnsi="Cambria"/>
          <w:b/>
          <w:bCs/>
          <w:i w:val="false"/>
          <w:iCs w:val="false"/>
          <w:color w:val="800000"/>
          <w:sz w:val="21"/>
          <w:szCs w:val="21"/>
        </w:rPr>
        <w:t xml:space="preserve">SECTIONS 8(1)(j) AND 8(1)(e) DO NOT APPLY TO REGISTRY PARTICULARS OF A COMPANY'S MORTGAGE</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The borrower is a private limited company and the charge-holder is a bank. Section 8(1)(j) protects personal information whose disclosure would be an unwarranted invasion of the privacy of an individual. The particulars sought (who held the charge, for how much, and who filed its satisfaction) are commercial registry entries about bodies corporate, not personal information about any individual.</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Nor does CERSAI hold these particulars in a fiduciary capacity under Section 8(1)(e). The Central Registry is a statutory public registry established under the SARFAESI Act, 2002, which provides for public inspection of the particulars entered in it. CERSAI holds the entries in discharge of that statutory function, not for the benefit of the borrower or the charge-holder, and not in the relationship of trust that Section 8(1)(e) contemplates.</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The impugned order rests on the fact that, after satisfaction, detailed particulars are not available for public search. That is a feature of how the portal's public search is designed. It is not an exemption under the Act. The question under Section 8 is whether the information itself is personal or fiduciary, not whether the portal displays it, and information that CERSAI continues to hold in its records does not become exempt because it is no longer shown on a search screen.</w:t>
      </w:r>
    </w:p>
    <w:p>
      <w:pPr>
        <w:keepNext/>
        <w:spacing w:after="110" w:before="200"/>
      </w:pPr>
      <w:r>
        <w:rPr>
          <w:rFonts w:ascii="Cambria" w:cs="Cambria" w:eastAsia="Cambria" w:hAnsi="Cambria"/>
          <w:b/>
          <w:bCs/>
          <w:i w:val="false"/>
          <w:iCs w:val="false"/>
          <w:color w:val="800000"/>
          <w:sz w:val="28"/>
          <w:szCs w:val="28"/>
        </w:rPr>
        <w:t xml:space="preserve">GROUND C  </w:t>
      </w:r>
      <w:r>
        <w:rPr>
          <w:rFonts w:ascii="Cambria" w:cs="Cambria" w:eastAsia="Cambria" w:hAnsi="Cambria"/>
          <w:b/>
          <w:bCs/>
          <w:i w:val="false"/>
          <w:iCs w:val="false"/>
          <w:color w:val="800000"/>
          <w:sz w:val="21"/>
          <w:szCs w:val="21"/>
        </w:rPr>
        <w:t xml:space="preserve">THE DECISIONS CITED IN THE IMPUGNED ORDER ARE NOT APPLIED TO THE FACTS</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The First Appellate Authority recorded that reliance on CBSE v. Aditya Bandopadhyay and Dr. D.V. Rao v. Yashwant Singh was well founded, without stating what principle it took from either decision or how that principle applies to entries in a statutory public registry. In Aditya Bandopadhyay the Supreme Court read the fiduciary exemption narrowly and held that the Act extends to all information that exists and is held by a public authority, subject only to the exemptions. That decision does not support treating a registry entry as fiduciary, and it does not excuse a public authority from saying whether a record it holds exists. A citation without application to the facts does not make a reasoned order.</w:t>
      </w:r>
    </w:p>
    <w:p>
      <w:pPr>
        <w:spacing w:after="140" w:line="288"/>
        <w:ind w:left="720" w:right="720"/>
        <w:jc w:val="both"/>
      </w:pPr>
      <w:r>
        <w:rPr>
          <w:rFonts w:ascii="Cambria" w:cs="Cambria" w:eastAsia="Cambria" w:hAnsi="Cambria"/>
          <w:b w:val="false"/>
          <w:bCs w:val="false"/>
          <w:i/>
          <w:iCs/>
          <w:color w:val="1F3864"/>
          <w:sz w:val="21"/>
          <w:szCs w:val="21"/>
        </w:rPr>
        <w:t xml:space="preserve">Central Board of Secondary Education &amp; Anr. v. Aditya Bandopadhyay &amp; Ors., (2011) 8 SCC 497.</w:t>
      </w:r>
    </w:p>
    <w:p>
      <w:pPr>
        <w:keepNext/>
        <w:spacing w:after="110" w:before="200"/>
      </w:pPr>
      <w:r>
        <w:rPr>
          <w:rFonts w:ascii="Cambria" w:cs="Cambria" w:eastAsia="Cambria" w:hAnsi="Cambria"/>
          <w:b/>
          <w:bCs/>
          <w:i w:val="false"/>
          <w:iCs w:val="false"/>
          <w:color w:val="800000"/>
          <w:sz w:val="28"/>
          <w:szCs w:val="28"/>
        </w:rPr>
        <w:t xml:space="preserve">GROUND D  </w:t>
      </w:r>
      <w:r>
        <w:rPr>
          <w:rFonts w:ascii="Cambria" w:cs="Cambria" w:eastAsia="Cambria" w:hAnsi="Cambria"/>
          <w:b/>
          <w:bCs/>
          <w:i w:val="false"/>
          <w:iCs w:val="false"/>
          <w:color w:val="800000"/>
          <w:sz w:val="21"/>
          <w:szCs w:val="21"/>
        </w:rPr>
        <w:t xml:space="preserve">THE TWO QUERIES ABOUT ASSET ID 200003766496 SEEK EXISTING RECORDS</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Section 2(f) defines information to include records, documents, e-mails, logbooks and data material held in electronic form. Whether Asset ID 200003766496, a named entry that the CPIO has itself confirmed to be unsatisfied for over thirteen years, carries any flag in CERSAI's systems is a matter of record. Whether CERSAI has written to or received correspondence from its charge-holder about filing satisfaction is equally a matter of record. Neither query asks for an opinion, advice or the creation of new information.</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The first query was answered only by reference to a general rejection that concerned abstract questions about CERSAI's processes, not this specific Asset ID. The second query, which also sought certified copies of any such communications, received no reply of any kind from the CPIO: neither an answer nor an exemption. The impugned order then grouped both queries under a single observation that they are not information under Section 2(f), without separately considering that the second query asks for copies of documents, which are records within the plain words of the section. If no flag or communication exists, the Act requires the CPIO to say so plainly.</w:t>
      </w:r>
    </w:p>
    <w:p>
      <w:pPr>
        <w:keepNext/>
        <w:spacing w:after="110" w:before="200"/>
      </w:pPr>
      <w:r>
        <w:rPr>
          <w:rFonts w:ascii="Cambria" w:cs="Cambria" w:eastAsia="Cambria" w:hAnsi="Cambria"/>
          <w:b/>
          <w:bCs/>
          <w:i w:val="false"/>
          <w:iCs w:val="false"/>
          <w:color w:val="800000"/>
          <w:sz w:val="28"/>
          <w:szCs w:val="28"/>
        </w:rPr>
        <w:t xml:space="preserve">GROUND E  </w:t>
      </w:r>
      <w:r>
        <w:rPr>
          <w:rFonts w:ascii="Cambria" w:cs="Cambria" w:eastAsia="Cambria" w:hAnsi="Cambria"/>
          <w:b/>
          <w:bCs/>
          <w:i w:val="false"/>
          <w:iCs w:val="false"/>
          <w:color w:val="800000"/>
          <w:sz w:val="21"/>
          <w:szCs w:val="21"/>
        </w:rPr>
        <w:t xml:space="preserve">SEVERABILITY AND ONUS</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Even if any part of the material were exempt, Section 10(1) requires the exempt part to be severed and the rest disclosed. Neither the CPIO nor the First Appellate Authority considered severance. Under Section 19(5), the onus of proving that the denial was justified lies on the CPIO, and it has not been discharged.</w:t>
      </w:r>
    </w:p>
    <w:p>
      <w:pPr>
        <w:keepNext/>
        <w:spacing w:after="110" w:before="200"/>
      </w:pPr>
      <w:r>
        <w:rPr>
          <w:rFonts w:ascii="Cambria" w:cs="Cambria" w:eastAsia="Cambria" w:hAnsi="Cambria"/>
          <w:b/>
          <w:bCs/>
          <w:i w:val="false"/>
          <w:iCs w:val="false"/>
          <w:color w:val="800000"/>
          <w:sz w:val="28"/>
          <w:szCs w:val="28"/>
        </w:rPr>
        <w:t xml:space="preserve">GROUND F  </w:t>
      </w:r>
      <w:r>
        <w:rPr>
          <w:rFonts w:ascii="Cambria" w:cs="Cambria" w:eastAsia="Cambria" w:hAnsi="Cambria"/>
          <w:b/>
          <w:bCs/>
          <w:i w:val="false"/>
          <w:iCs w:val="false"/>
          <w:color w:val="800000"/>
          <w:sz w:val="21"/>
          <w:szCs w:val="21"/>
        </w:rPr>
        <w:t xml:space="preserve">PUBLIC INTEREST UNDER SECTION 8(2)</w:t>
      </w:r>
    </w:p>
    <w:p>
      <w:pPr>
        <w:pStyle w:val="ListParagraph"/>
        <w:numPr>
          <w:ilvl w:val="0"/>
          <w:numId w:val="2"/>
        </w:numPr>
        <w:spacing w:after="140" w:line="288"/>
        <w:jc w:val="both"/>
      </w:pPr>
      <w:r>
        <w:rPr>
          <w:rFonts w:ascii="Cambria" w:cs="Cambria" w:eastAsia="Cambria" w:hAnsi="Cambria"/>
          <w:b w:val="false"/>
          <w:bCs w:val="false"/>
          <w:i w:val="false"/>
          <w:iCs w:val="false"/>
          <w:sz w:val="22"/>
          <w:szCs w:val="22"/>
        </w:rPr>
        <w:t xml:space="preserve">The information concerns registered security interests over immovable property that is the subject of pending recovery proceedings before the Debts Recovery Tribunal-II, Mumbai (O.A. No. 122 of 2022) and of a complaint before the Central Bureau of Investigation. The accuracy and status of entries on a statutory registry is a matter of public interest. The same categories of particulars have already been disclosed for one Asset ID of the same debtor without any identifiable harm. The public interest in disclosure outweighs any interest the exemptions protect, and the impugned order records no consideration of Section 8(2).</w:t>
      </w:r>
    </w:p>
    <w:p>
      <w:pPr>
        <w:keepNext/>
        <w:spacing w:after="120" w:before="220"/>
      </w:pPr>
      <w:r>
        <w:rPr>
          <w:rFonts w:ascii="Cambria" w:cs="Cambria" w:eastAsia="Cambria" w:hAnsi="Cambria"/>
          <w:b/>
          <w:bCs/>
          <w:i w:val="false"/>
          <w:iCs w:val="false"/>
          <w:color w:val="1F3864"/>
          <w:sz w:val="26"/>
          <w:szCs w:val="26"/>
        </w:rPr>
        <w:t xml:space="preserve">PRAYER</w:t>
      </w:r>
    </w:p>
    <w:p>
      <w:pPr>
        <w:spacing w:after="140" w:line="288"/>
        <w:jc w:val="both"/>
      </w:pPr>
      <w:r>
        <w:rPr>
          <w:rFonts w:ascii="Cambria" w:cs="Cambria" w:eastAsia="Cambria" w:hAnsi="Cambria"/>
          <w:b w:val="false"/>
          <w:bCs w:val="false"/>
          <w:i w:val="false"/>
          <w:iCs w:val="false"/>
          <w:sz w:val="22"/>
          <w:szCs w:val="22"/>
        </w:rPr>
        <w:t xml:space="preserve">The Appellant respectfully prays that this Hon'ble Commission may be pleased to:</w:t>
      </w:r>
    </w:p>
    <w:p>
      <w:pPr>
        <w:pStyle w:val="ListParagraph"/>
        <w:numPr>
          <w:ilvl w:val="0"/>
          <w:numId w:val="3"/>
        </w:numPr>
        <w:spacing w:after="140" w:line="288"/>
        <w:jc w:val="both"/>
      </w:pPr>
      <w:r>
        <w:rPr>
          <w:rFonts w:ascii="Cambria" w:cs="Cambria" w:eastAsia="Cambria" w:hAnsi="Cambria"/>
          <w:b w:val="false"/>
          <w:bCs w:val="false"/>
          <w:i w:val="false"/>
          <w:iCs w:val="false"/>
          <w:sz w:val="22"/>
          <w:szCs w:val="22"/>
        </w:rPr>
        <w:t xml:space="preserve">Set aside the order of the First Appellate Authority dated 22.07.2026 and the CPIO's reply dated 29.06.2026, to the extent challenged;</w:t>
      </w:r>
    </w:p>
    <w:p>
      <w:pPr>
        <w:pStyle w:val="ListParagraph"/>
        <w:numPr>
          <w:ilvl w:val="0"/>
          <w:numId w:val="3"/>
        </w:numPr>
        <w:spacing w:after="140" w:line="288"/>
        <w:jc w:val="both"/>
      </w:pPr>
      <w:r>
        <w:rPr>
          <w:rFonts w:ascii="Cambria" w:cs="Cambria" w:eastAsia="Cambria" w:hAnsi="Cambria"/>
          <w:b w:val="false"/>
          <w:bCs w:val="false"/>
          <w:i w:val="false"/>
          <w:iCs w:val="false"/>
          <w:sz w:val="22"/>
          <w:szCs w:val="22"/>
        </w:rPr>
        <w:t xml:space="preserve">Direct the CPIO to furnish, for Asset IDs 200000693841 and 200000694206, the name of the charge-holder, the secured amount and the identity of the entity that filed the satisfaction or de-registration on 05.02.2015;</w:t>
      </w:r>
    </w:p>
    <w:p>
      <w:pPr>
        <w:pStyle w:val="ListParagraph"/>
        <w:numPr>
          <w:ilvl w:val="0"/>
          <w:numId w:val="3"/>
        </w:numPr>
        <w:spacing w:after="140" w:line="288"/>
        <w:jc w:val="both"/>
      </w:pPr>
      <w:r>
        <w:rPr>
          <w:rFonts w:ascii="Cambria" w:cs="Cambria" w:eastAsia="Cambria" w:hAnsi="Cambria"/>
          <w:b w:val="false"/>
          <w:bCs w:val="false"/>
          <w:i w:val="false"/>
          <w:iCs w:val="false"/>
          <w:sz w:val="22"/>
          <w:szCs w:val="22"/>
        </w:rPr>
        <w:t xml:space="preserve">Direct the CPIO to state specifically whether Asset ID 200003766496 has been flagged under any internal mechanism for long-unsatisfied security interests, and whether any communication with its charge-holder about filing satisfaction is on record, furnishing copies of any such record;</w:t>
      </w:r>
    </w:p>
    <w:p>
      <w:pPr>
        <w:pStyle w:val="ListParagraph"/>
        <w:numPr>
          <w:ilvl w:val="0"/>
          <w:numId w:val="3"/>
        </w:numPr>
        <w:spacing w:after="140" w:line="288"/>
        <w:jc w:val="both"/>
      </w:pPr>
      <w:r>
        <w:rPr>
          <w:rFonts w:ascii="Cambria" w:cs="Cambria" w:eastAsia="Cambria" w:hAnsi="Cambria"/>
          <w:b w:val="false"/>
          <w:bCs w:val="false"/>
          <w:i w:val="false"/>
          <w:iCs w:val="false"/>
          <w:sz w:val="22"/>
          <w:szCs w:val="22"/>
        </w:rPr>
        <w:t xml:space="preserve">Direct that, if any part of the information is withheld, the CPIO state item by item the clause of Section 8 relied on and the reasons, after applying Sections 8(2) and 10(1); and</w:t>
      </w:r>
    </w:p>
    <w:p>
      <w:pPr>
        <w:pStyle w:val="ListParagraph"/>
        <w:numPr>
          <w:ilvl w:val="0"/>
          <w:numId w:val="3"/>
        </w:numPr>
        <w:spacing w:after="140" w:line="288"/>
        <w:jc w:val="both"/>
      </w:pPr>
      <w:r>
        <w:rPr>
          <w:rFonts w:ascii="Cambria" w:cs="Cambria" w:eastAsia="Cambria" w:hAnsi="Cambria"/>
          <w:b w:val="false"/>
          <w:bCs w:val="false"/>
          <w:i w:val="false"/>
          <w:iCs w:val="false"/>
          <w:sz w:val="22"/>
          <w:szCs w:val="22"/>
        </w:rPr>
        <w:t xml:space="preserve">Pass such further orders as this Hon'ble Commission may deem fit in the interest of justice.</w:t>
      </w:r>
    </w:p>
    <w:p>
      <w:pPr>
        <w:keepNext/>
        <w:spacing w:after="120" w:before="220"/>
      </w:pPr>
      <w:r>
        <w:rPr>
          <w:rFonts w:ascii="Cambria" w:cs="Cambria" w:eastAsia="Cambria" w:hAnsi="Cambria"/>
          <w:b/>
          <w:bCs/>
          <w:i w:val="false"/>
          <w:iCs w:val="false"/>
          <w:color w:val="1F3864"/>
          <w:sz w:val="26"/>
          <w:szCs w:val="26"/>
        </w:rPr>
        <w:t xml:space="preserve">DECLARATION AND VERIFICATION</w:t>
      </w:r>
    </w:p>
    <w:p>
      <w:pPr>
        <w:spacing w:after="140" w:line="288"/>
        <w:jc w:val="both"/>
      </w:pPr>
      <w:r>
        <w:rPr>
          <w:rFonts w:ascii="Cambria" w:cs="Cambria" w:eastAsia="Cambria" w:hAnsi="Cambria"/>
          <w:b w:val="false"/>
          <w:bCs w:val="false"/>
          <w:i w:val="false"/>
          <w:iCs w:val="false"/>
          <w:sz w:val="22"/>
          <w:szCs w:val="22"/>
        </w:rPr>
        <w:t xml:space="preserve">I, Neeraj Singh Mohnia, the Appellant, declare that the matter raised in this appeal has not been decided by this Commission and is not pending before any other court or authority, and verify that its contents are true and correct to the best of my knowledge and belief.</w:t>
      </w:r>
    </w:p>
    <w:p>
      <w:pPr>
        <w:spacing w:after="60" w:line="288"/>
        <w:jc w:val="both"/>
      </w:pPr>
      <w:r>
        <w:rPr>
          <w:rFonts w:ascii="Cambria" w:cs="Cambria" w:eastAsia="Cambria" w:hAnsi="Cambria"/>
          <w:b w:val="false"/>
          <w:bCs w:val="false"/>
          <w:i w:val="false"/>
          <w:iCs w:val="false"/>
          <w:sz w:val="22"/>
          <w:szCs w:val="22"/>
        </w:rPr>
        <w:t xml:space="preserve"/>
      </w:r>
    </w:p>
    <w:p>
      <w:pPr>
        <w:spacing w:after="60" w:line="288"/>
        <w:jc w:val="left"/>
      </w:pPr>
      <w:r>
        <w:rPr>
          <w:rFonts w:ascii="Cambria" w:cs="Cambria" w:eastAsia="Cambria" w:hAnsi="Cambria"/>
          <w:b w:val="false"/>
          <w:bCs w:val="false"/>
          <w:i w:val="false"/>
          <w:iCs w:val="false"/>
          <w:sz w:val="22"/>
          <w:szCs w:val="22"/>
        </w:rPr>
        <w:t xml:space="preserve">Place: Pune</w:t>
      </w:r>
    </w:p>
    <w:p>
      <w:pPr>
        <w:spacing w:after="140" w:line="288"/>
        <w:jc w:val="left"/>
      </w:pPr>
      <w:r>
        <w:rPr>
          <w:rFonts w:ascii="Cambria" w:cs="Cambria" w:eastAsia="Cambria" w:hAnsi="Cambria"/>
          <w:b w:val="false"/>
          <w:bCs w:val="false"/>
          <w:i w:val="false"/>
          <w:iCs w:val="false"/>
          <w:sz w:val="22"/>
          <w:szCs w:val="22"/>
        </w:rPr>
        <w:t xml:space="preserve">Date: ____________</w:t>
      </w:r>
    </w:p>
    <w:p>
      <w:pPr>
        <w:spacing w:after="60" w:line="288"/>
        <w:jc w:val="both"/>
      </w:pPr>
      <w:r>
        <w:rPr>
          <w:rFonts w:ascii="Cambria" w:cs="Cambria" w:eastAsia="Cambria" w:hAnsi="Cambria"/>
          <w:b w:val="false"/>
          <w:bCs w:val="false"/>
          <w:i w:val="false"/>
          <w:iCs w:val="false"/>
          <w:sz w:val="22"/>
          <w:szCs w:val="22"/>
        </w:rPr>
        <w:t xml:space="preserve"/>
      </w:r>
    </w:p>
    <w:p>
      <w:pPr>
        <w:spacing w:after="60" w:line="288"/>
        <w:jc w:val="both"/>
      </w:pPr>
      <w:r>
        <w:rPr>
          <w:rFonts w:ascii="Cambria" w:cs="Cambria" w:eastAsia="Cambria" w:hAnsi="Cambria"/>
          <w:b w:val="false"/>
          <w:bCs w:val="false"/>
          <w:i w:val="false"/>
          <w:iCs w:val="false"/>
          <w:sz w:val="22"/>
          <w:szCs w:val="22"/>
        </w:rPr>
        <w:t xml:space="preserve"/>
      </w:r>
    </w:p>
    <w:p>
      <w:pPr>
        <w:spacing w:after="40" w:line="288"/>
        <w:jc w:val="left"/>
      </w:pPr>
      <w:r>
        <w:rPr>
          <w:rFonts w:ascii="Cambria" w:cs="Cambria" w:eastAsia="Cambria" w:hAnsi="Cambria"/>
          <w:b w:val="false"/>
          <w:bCs w:val="false"/>
          <w:i w:val="false"/>
          <w:iCs w:val="false"/>
          <w:sz w:val="22"/>
          <w:szCs w:val="22"/>
        </w:rPr>
        <w:t xml:space="preserve">_______________________________</w:t>
      </w:r>
    </w:p>
    <w:p>
      <w:pPr>
        <w:spacing w:after="40" w:line="288"/>
        <w:jc w:val="left"/>
      </w:pPr>
      <w:r>
        <w:rPr>
          <w:rFonts w:ascii="Cambria" w:cs="Cambria" w:eastAsia="Cambria" w:hAnsi="Cambria"/>
          <w:b/>
          <w:bCs/>
          <w:i w:val="false"/>
          <w:iCs w:val="false"/>
          <w:sz w:val="22"/>
          <w:szCs w:val="22"/>
        </w:rPr>
        <w:t xml:space="preserve">Neeraj Singh Mohnia</w:t>
      </w:r>
    </w:p>
    <w:p>
      <w:pPr>
        <w:spacing w:after="40" w:line="288"/>
        <w:jc w:val="left"/>
      </w:pPr>
      <w:r>
        <w:rPr>
          <w:rFonts w:ascii="Cambria" w:cs="Cambria" w:eastAsia="Cambria" w:hAnsi="Cambria"/>
          <w:b w:val="false"/>
          <w:bCs w:val="false"/>
          <w:i w:val="false"/>
          <w:iCs w:val="false"/>
          <w:sz w:val="22"/>
          <w:szCs w:val="22"/>
        </w:rPr>
        <w:t xml:space="preserve">Appellant (In Person)</w:t>
      </w:r>
    </w:p>
    <w:p>
      <w:pPr>
        <w:keepNext/>
        <w:spacing w:after="120" w:before="220"/>
      </w:pPr>
      <w:r>
        <w:rPr>
          <w:rFonts w:ascii="Cambria" w:cs="Cambria" w:eastAsia="Cambria" w:hAnsi="Cambria"/>
          <w:b/>
          <w:bCs/>
          <w:i w:val="false"/>
          <w:iCs w:val="false"/>
          <w:color w:val="1F3864"/>
          <w:sz w:val="26"/>
          <w:szCs w:val="26"/>
        </w:rPr>
        <w:t xml:space="preserve">INDEX OF ENCLOSURES (self-attested copies)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00"/>
        <w:gridCol w:w="7906"/>
      </w:tblGrid>
      <w:tr>
        <w:tc>
          <w:tcPr>
            <w:tcW w:type="dxa" w:w="14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Annexure</w:t>
            </w:r>
          </w:p>
        </w:tc>
        <w:tc>
          <w:tcPr>
            <w:tcW w:type="dxa" w:w="79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Document</w:t>
            </w:r>
          </w:p>
        </w:tc>
      </w:tr>
      <w:tr>
        <w:tc>
          <w:tcPr>
            <w:tcW w:type="dxa" w:w="14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A-1</w:t>
            </w:r>
          </w:p>
        </w:tc>
        <w:tc>
          <w:tcPr>
            <w:tcW w:type="dxa" w:w="79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RTI Application No. CERSA/R/E/26/00052 dated 03.06.2026</w:t>
            </w:r>
          </w:p>
        </w:tc>
      </w:tr>
      <w:tr>
        <w:tc>
          <w:tcPr>
            <w:tcW w:type="dxa" w:w="14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A-2</w:t>
            </w:r>
          </w:p>
        </w:tc>
        <w:tc>
          <w:tcPr>
            <w:tcW w:type="dxa" w:w="79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CPIO's reply dated 29.06.2026 (with the annexed table)</w:t>
            </w:r>
          </w:p>
        </w:tc>
      </w:tr>
      <w:tr>
        <w:tc>
          <w:tcPr>
            <w:tcW w:type="dxa" w:w="14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A-3</w:t>
            </w:r>
          </w:p>
        </w:tc>
        <w:tc>
          <w:tcPr>
            <w:tcW w:type="dxa" w:w="79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First Appeal No. CERSA/A/E/26/00017 dated 30.06.2026, with its enclosures: CERSAI Asset Based Search Report dated 20.05.2026 for Asset ID 200003766496, and screenshots of the Debtor Based Search of 02.06.2026 (12 pages)</w:t>
            </w:r>
          </w:p>
        </w:tc>
      </w:tr>
      <w:tr>
        <w:tc>
          <w:tcPr>
            <w:tcW w:type="dxa" w:w="1400"/>
            <w:tcBorders>
              <w:top w:val="single" w:color="000000" w:sz="8"/>
              <w:left w:val="single" w:color="000000" w:sz="8"/>
              <w:bottom w:val="single" w:color="000000" w:sz="8"/>
              <w:right w:val="single" w:color="000000" w:sz="8"/>
            </w:tcBorders>
            <w:shd w:fill="E8EDF5" w:color="auto" w:val="clear"/>
            <w:tcMar>
              <w:top w:type="dxa" w:w="70"/>
              <w:left w:type="dxa" w:w="110"/>
              <w:bottom w:type="dxa" w:w="70"/>
              <w:right w:type="dxa" w:w="110"/>
            </w:tcMar>
          </w:tcPr>
          <w:p>
            <w:r>
              <w:rPr>
                <w:rFonts w:ascii="Cambria" w:cs="Cambria" w:eastAsia="Cambria" w:hAnsi="Cambria"/>
                <w:b/>
                <w:bCs/>
                <w:i w:val="false"/>
                <w:iCs w:val="false"/>
                <w:sz w:val="20"/>
                <w:szCs w:val="20"/>
              </w:rPr>
              <w:t xml:space="preserve">A-4</w:t>
            </w:r>
          </w:p>
        </w:tc>
        <w:tc>
          <w:tcPr>
            <w:tcW w:type="dxa" w:w="7906"/>
            <w:tcBorders>
              <w:top w:val="single" w:color="000000" w:sz="8"/>
              <w:left w:val="single" w:color="000000" w:sz="8"/>
              <w:bottom w:val="single" w:color="000000" w:sz="8"/>
              <w:right w:val="single" w:color="000000" w:sz="8"/>
            </w:tcBorders>
            <w:tcMar>
              <w:top w:type="dxa" w:w="70"/>
              <w:left w:type="dxa" w:w="110"/>
              <w:bottom w:type="dxa" w:w="70"/>
              <w:right w:type="dxa" w:w="110"/>
            </w:tcMar>
          </w:tcPr>
          <w:p>
            <w:r>
              <w:rPr>
                <w:rFonts w:ascii="Cambria" w:cs="Cambria" w:eastAsia="Cambria" w:hAnsi="Cambria"/>
                <w:b w:val="false"/>
                <w:bCs w:val="false"/>
                <w:i w:val="false"/>
                <w:iCs w:val="false"/>
                <w:sz w:val="20"/>
                <w:szCs w:val="20"/>
              </w:rPr>
              <w:t xml:space="preserve">Impugned order No. CERSAI/RTI APPEAL/2026-27/Note-990 dated 22.07.2026</w:t>
            </w:r>
          </w:p>
        </w:tc>
      </w:tr>
    </w:tbl>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mbria" w:cs="Cambria" w:eastAsia="Cambria" w:hAnsi="Cambria"/>
        <w:color w:val="555555"/>
        <w:sz w:val="18"/>
        <w:szCs w:val="18"/>
      </w:rPr>
      <w:t xml:space="preserve">CIC Second Appeal – CERSA/A/E/26/00017  |  Page </w:t>
    </w:r>
    <w:r>
      <w:rPr>
        <w:rFonts w:ascii="Cambria" w:cs="Cambria" w:eastAsia="Cambria" w:hAnsi="Cambria"/>
        <w:color w:val="555555"/>
        <w:sz w:val="18"/>
        <w:szCs w:val="18"/>
      </w:rPr>
      <w:fldChar w:fldCharType="begin"/>
      <w:instrText xml:space="preserve">PAGE</w:instrText>
      <w:fldChar w:fldCharType="separate"/>
      <w:fldChar w:fldCharType="end"/>
    </w:r>
    <w:r>
      <w:rPr>
        <w:rFonts w:ascii="Cambria" w:cs="Cambria" w:eastAsia="Cambria" w:hAnsi="Cambria"/>
        <w:color w:val="555555"/>
        <w:sz w:val="18"/>
        <w:szCs w:val="18"/>
      </w:rPr>
      <w:t xml:space="preserve"> of </w:t>
    </w:r>
    <w:r>
      <w:rPr>
        <w:rFonts w:ascii="Cambria" w:cs="Cambria" w:eastAsia="Cambria" w:hAnsi="Cambria"/>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420"/>
      </w:pPr>
      <w:rPr>
        <w:rFonts w:ascii="Cambria" w:cs="Cambria" w:eastAsia="Cambria" w:hAnsi="Cambria"/>
        <w:b/>
        <w:bCs/>
        <w:color w:val="800000"/>
      </w:rPr>
    </w:lvl>
  </w:abstractNum>
  <w:abstractNum w:abstractNumId="3" w15:restartNumberingAfterBreak="0">
    <w:multiLevelType w:val="hybridMultilevel"/>
    <w:lvl w:ilvl="0" w15:tentative="1">
      <w:start w:val="1"/>
      <w:numFmt w:val="lowerLetter"/>
      <w:lvlText w:val="(%1)"/>
      <w:lvlJc w:val="left"/>
      <w:pPr>
        <w:ind w:left="560" w:hanging="420"/>
      </w:pPr>
      <w:rPr>
        <w:rFonts w:ascii="Cambria" w:cs="Cambria" w:eastAsia="Cambria" w:hAnsi="Cambria"/>
        <w:b/>
        <w:bCs/>
        <w:color w:val="8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2026-10-16T04:59:11.346Z</dcterms:created>
  <dcterms:modified xsi:type="dcterms:W3CDTF">2026-10-16T04:59:11.346Z</dcterms:modified>
</cp:coreProperties>
</file>

<file path=docProps/custom.xml><?xml version="1.0" encoding="utf-8"?>
<Properties xmlns="http://schemas.openxmlformats.org/officeDocument/2006/custom-properties" xmlns:vt="http://schemas.openxmlformats.org/officeDocument/2006/docPropsVTypes"/>
</file>