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WORK BREAKDOWN DOCUMENT</w:t>
      </w:r>
    </w:p>
    <w:p>
      <w:pPr>
        <w:jc w:val="center"/>
      </w:pPr>
      <w:r>
        <w:rPr>
          <w:b/>
          <w:sz w:val="24"/>
        </w:rPr>
        <w:t>Problem Statement #49 – Webhook Ingestion &amp; Retry Mechanism Hub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Neeraj R Gowda</w:t>
            </w:r>
          </w:p>
        </w:tc>
      </w:tr>
      <w:tr>
        <w:tc>
          <w:tcPr>
            <w:tcW w:type="dxa" w:w="4320"/>
          </w:tcPr>
          <w:p>
            <w:r>
              <w:t>SRN</w:t>
            </w:r>
          </w:p>
        </w:tc>
        <w:tc>
          <w:tcPr>
            <w:tcW w:type="dxa" w:w="4320"/>
          </w:tcPr>
          <w:p>
            <w:r>
              <w:t>PES1UG24CS295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Webhook Ingestion &amp; Retry Mechanism Hub</w:t>
            </w:r>
          </w:p>
        </w:tc>
      </w:tr>
    </w:tbl>
    <w:p>
      <w:pPr>
        <w:pStyle w:val="Heading1"/>
      </w:pPr>
      <w:r>
        <w:t>1. Project Objective</w:t>
      </w:r>
    </w:p>
    <w:p>
      <w:r>
        <w:t>Build a resilient webhook gateway that receives third-party webhook events, records the webhook payloads, forwards them to internal services, retries failed deliveries, and handles undelivered events using a dead-letter queue.</w:t>
      </w:r>
    </w:p>
    <w:p>
      <w:pPr>
        <w:pStyle w:val="Heading1"/>
      </w:pPr>
      <w:r>
        <w:t>2.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</w:rPr>
              <w:t>WBS ID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Activities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  <w:vAlign w:val="center"/>
          </w:tcPr>
          <w:p>
            <w:r>
              <w:t>1.0</w:t>
            </w:r>
          </w:p>
        </w:tc>
        <w:tc>
          <w:tcPr>
            <w:tcW w:type="dxa" w:w="1728"/>
            <w:vAlign w:val="center"/>
          </w:tcPr>
          <w:p>
            <w:r>
              <w:t>Requirements Analysis</w:t>
            </w:r>
          </w:p>
        </w:tc>
        <w:tc>
          <w:tcPr>
            <w:tcW w:type="dxa" w:w="1728"/>
            <w:vAlign w:val="center"/>
          </w:tcPr>
          <w:p>
            <w:r>
              <w:t>Study Problem Statement #49; identify stakeholders, functional requirements and non-functional requirements.</w:t>
            </w:r>
          </w:p>
        </w:tc>
        <w:tc>
          <w:tcPr>
            <w:tcW w:type="dxa" w:w="1728"/>
            <w:vAlign w:val="center"/>
          </w:tcPr>
          <w:p>
            <w:r>
              <w:t>Requirements table and SRS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>
              <w:t>2.0</w:t>
            </w:r>
          </w:p>
        </w:tc>
        <w:tc>
          <w:tcPr>
            <w:tcW w:type="dxa" w:w="1728"/>
            <w:vAlign w:val="center"/>
          </w:tcPr>
          <w:p>
            <w:r>
              <w:t>System Design</w:t>
            </w:r>
          </w:p>
        </w:tc>
        <w:tc>
          <w:tcPr>
            <w:tcW w:type="dxa" w:w="1728"/>
            <w:vAlign w:val="center"/>
          </w:tcPr>
          <w:p>
            <w:r>
              <w:t>Identify system boundary, actors, use cases, webhook flow, retry handling and dead-letter processing.</w:t>
            </w:r>
          </w:p>
        </w:tc>
        <w:tc>
          <w:tcPr>
            <w:tcW w:type="dxa" w:w="1728"/>
            <w:vAlign w:val="center"/>
          </w:tcPr>
          <w:p>
            <w:r>
              <w:t>UML Use-Case Diagram and design notes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>
              <w:t>3.0</w:t>
            </w:r>
          </w:p>
        </w:tc>
        <w:tc>
          <w:tcPr>
            <w:tcW w:type="dxa" w:w="1728"/>
            <w:vAlign w:val="center"/>
          </w:tcPr>
          <w:p>
            <w:r>
              <w:t>Webhook Ingestion</w:t>
            </w:r>
          </w:p>
        </w:tc>
        <w:tc>
          <w:tcPr>
            <w:tcW w:type="dxa" w:w="1728"/>
            <w:vAlign w:val="center"/>
          </w:tcPr>
          <w:p>
            <w:r>
              <w:t>Receive incoming third-party webhook events and validate/request-process the incoming data.</w:t>
            </w:r>
          </w:p>
        </w:tc>
        <w:tc>
          <w:tcPr>
            <w:tcW w:type="dxa" w:w="1728"/>
            <w:vAlign w:val="center"/>
          </w:tcPr>
          <w:p>
            <w:r>
              <w:t>Webhook ingestion functionality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>
              <w:t>4.0</w:t>
            </w:r>
          </w:p>
        </w:tc>
        <w:tc>
          <w:tcPr>
            <w:tcW w:type="dxa" w:w="1728"/>
            <w:vAlign w:val="center"/>
          </w:tcPr>
          <w:p>
            <w:r>
              <w:t>Payload Logging</w:t>
            </w:r>
          </w:p>
        </w:tc>
        <w:tc>
          <w:tcPr>
            <w:tcW w:type="dxa" w:w="1728"/>
            <w:vAlign w:val="center"/>
          </w:tcPr>
          <w:p>
            <w:r>
              <w:t>Record incoming webhook payloads for tracking and processing.</w:t>
            </w:r>
          </w:p>
        </w:tc>
        <w:tc>
          <w:tcPr>
            <w:tcW w:type="dxa" w:w="1728"/>
            <w:vAlign w:val="center"/>
          </w:tcPr>
          <w:p>
            <w:r>
              <w:t>Payload logging functionality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>
              <w:t>5.0</w:t>
            </w:r>
          </w:p>
        </w:tc>
        <w:tc>
          <w:tcPr>
            <w:tcW w:type="dxa" w:w="1728"/>
            <w:vAlign w:val="center"/>
          </w:tcPr>
          <w:p>
            <w:r>
              <w:t>Webhook Forwarding</w:t>
            </w:r>
          </w:p>
        </w:tc>
        <w:tc>
          <w:tcPr>
            <w:tcW w:type="dxa" w:w="1728"/>
            <w:vAlign w:val="center"/>
          </w:tcPr>
          <w:p>
            <w:r>
              <w:t>Forward accepted webhook payloads to the required internal service or target endpoint.</w:t>
            </w:r>
          </w:p>
        </w:tc>
        <w:tc>
          <w:tcPr>
            <w:tcW w:type="dxa" w:w="1728"/>
            <w:vAlign w:val="center"/>
          </w:tcPr>
          <w:p>
            <w:r>
              <w:t>Forwarding functionality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>
              <w:t>6.0</w:t>
            </w:r>
          </w:p>
        </w:tc>
        <w:tc>
          <w:tcPr>
            <w:tcW w:type="dxa" w:w="1728"/>
            <w:vAlign w:val="center"/>
          </w:tcPr>
          <w:p>
            <w:r>
              <w:t>Retry Mechanism</w:t>
            </w:r>
          </w:p>
        </w:tc>
        <w:tc>
          <w:tcPr>
            <w:tcW w:type="dxa" w:w="1728"/>
            <w:vAlign w:val="center"/>
          </w:tcPr>
          <w:p>
            <w:r>
              <w:t>Detect failed deliveries and retry them using exponential backoff such as 1s, 2s, 4s and 8s.</w:t>
            </w:r>
          </w:p>
        </w:tc>
        <w:tc>
          <w:tcPr>
            <w:tcW w:type="dxa" w:w="1728"/>
            <w:vAlign w:val="center"/>
          </w:tcPr>
          <w:p>
            <w:r>
              <w:t>Retry handling functionality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>
              <w:t>7.0</w:t>
            </w:r>
          </w:p>
        </w:tc>
        <w:tc>
          <w:tcPr>
            <w:tcW w:type="dxa" w:w="1728"/>
            <w:vAlign w:val="center"/>
          </w:tcPr>
          <w:p>
            <w:r>
              <w:t>Dead-Letter Handling</w:t>
            </w:r>
          </w:p>
        </w:tc>
        <w:tc>
          <w:tcPr>
            <w:tcW w:type="dxa" w:w="1728"/>
            <w:vAlign w:val="center"/>
          </w:tcPr>
          <w:p>
            <w:r>
              <w:t>Move events that cannot be delivered after retry attempts to a dead-letter queue for later handling.</w:t>
            </w:r>
          </w:p>
        </w:tc>
        <w:tc>
          <w:tcPr>
            <w:tcW w:type="dxa" w:w="1728"/>
            <w:vAlign w:val="center"/>
          </w:tcPr>
          <w:p>
            <w:r>
              <w:t>Dead-letter queue functionality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>
              <w:t>8.0</w:t>
            </w:r>
          </w:p>
        </w:tc>
        <w:tc>
          <w:tcPr>
            <w:tcW w:type="dxa" w:w="1728"/>
            <w:vAlign w:val="center"/>
          </w:tcPr>
          <w:p>
            <w:r>
              <w:t>Monitoring</w:t>
            </w:r>
          </w:p>
        </w:tc>
        <w:tc>
          <w:tcPr>
            <w:tcW w:type="dxa" w:w="1728"/>
            <w:vAlign w:val="center"/>
          </w:tcPr>
          <w:p>
            <w:r>
              <w:t>Monitor delivery status and provide a way to view delivery information.</w:t>
            </w:r>
          </w:p>
        </w:tc>
        <w:tc>
          <w:tcPr>
            <w:tcW w:type="dxa" w:w="1728"/>
            <w:vAlign w:val="center"/>
          </w:tcPr>
          <w:p>
            <w:r>
              <w:t>Monitoring/view-delivery functionality</w:t>
            </w:r>
          </w:p>
        </w:tc>
        <w:tc>
          <w:tcPr>
            <w:tcW w:type="dxa" w:w="1728"/>
            <w:vAlign w:val="center"/>
          </w:tcPr>
          <w:p>
            <w:r>
              <w:t>Medium</w:t>
            </w:r>
          </w:p>
        </w:tc>
      </w:tr>
      <w:tr>
        <w:tc>
          <w:tcPr>
            <w:tcW w:type="dxa" w:w="1728"/>
            <w:vAlign w:val="center"/>
          </w:tcPr>
          <w:p>
            <w:r>
              <w:t>9.0</w:t>
            </w:r>
          </w:p>
        </w:tc>
        <w:tc>
          <w:tcPr>
            <w:tcW w:type="dxa" w:w="1728"/>
            <w:vAlign w:val="center"/>
          </w:tcPr>
          <w:p>
            <w:r>
              <w:t>Testing</w:t>
            </w:r>
          </w:p>
        </w:tc>
        <w:tc>
          <w:tcPr>
            <w:tcW w:type="dxa" w:w="1728"/>
            <w:vAlign w:val="center"/>
          </w:tcPr>
          <w:p>
            <w:r>
              <w:t>Test successful delivery, failed delivery, retries, logging and dead-letter handling.</w:t>
            </w:r>
          </w:p>
        </w:tc>
        <w:tc>
          <w:tcPr>
            <w:tcW w:type="dxa" w:w="1728"/>
            <w:vAlign w:val="center"/>
          </w:tcPr>
          <w:p>
            <w:r>
              <w:t>Test results and evidence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>
              <w:t>10.0</w:t>
            </w:r>
          </w:p>
        </w:tc>
        <w:tc>
          <w:tcPr>
            <w:tcW w:type="dxa" w:w="1728"/>
            <w:vAlign w:val="center"/>
          </w:tcPr>
          <w:p>
            <w:r>
              <w:t>Documentation</w:t>
            </w:r>
          </w:p>
        </w:tc>
        <w:tc>
          <w:tcPr>
            <w:tcW w:type="dxa" w:w="1728"/>
            <w:vAlign w:val="center"/>
          </w:tcPr>
          <w:p>
            <w:r>
              <w:t>Prepare SRS, Work Breakdown, UML Use-Case Diagram, Use-Case Flow and GitHub documentation.</w:t>
            </w:r>
          </w:p>
        </w:tc>
        <w:tc>
          <w:tcPr>
            <w:tcW w:type="dxa" w:w="1728"/>
            <w:vAlign w:val="center"/>
          </w:tcPr>
          <w:p>
            <w:r>
              <w:t>Complete Lab 1 documentation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</w:tr>
    </w:tbl>
    <w:p>
      <w:pPr>
        <w:pStyle w:val="Heading1"/>
      </w:pPr>
      <w:r>
        <w:t>3. Task Sequence</w:t>
      </w:r>
    </w:p>
    <w:p>
      <w:pPr>
        <w:pStyle w:val="ListNumber"/>
      </w:pPr>
      <w:r>
        <w:t>Analyze the problem statement and identify requirements.</w:t>
      </w:r>
    </w:p>
    <w:p>
      <w:pPr>
        <w:pStyle w:val="ListNumber"/>
      </w:pPr>
      <w:r>
        <w:t>Prepare the requirements table and SRS.</w:t>
      </w:r>
    </w:p>
    <w:p>
      <w:pPr>
        <w:pStyle w:val="ListNumber"/>
      </w:pPr>
      <w:r>
        <w:t>Identify actors and use cases.</w:t>
      </w:r>
    </w:p>
    <w:p>
      <w:pPr>
        <w:pStyle w:val="ListNumber"/>
      </w:pPr>
      <w:r>
        <w:t>Create the UML Use-Case Diagram.</w:t>
      </w:r>
    </w:p>
    <w:p>
      <w:pPr>
        <w:pStyle w:val="ListNumber"/>
      </w:pPr>
      <w:r>
        <w:t>Prepare the Use-Case Flow Document.</w:t>
      </w:r>
    </w:p>
    <w:p>
      <w:pPr>
        <w:pStyle w:val="ListNumber"/>
      </w:pPr>
      <w:r>
        <w:t>Implement or describe webhook ingestion and payload logging.</w:t>
      </w:r>
    </w:p>
    <w:p>
      <w:pPr>
        <w:pStyle w:val="ListNumber"/>
      </w:pPr>
      <w:r>
        <w:t>Implement or describe forwarding and retry handling.</w:t>
      </w:r>
    </w:p>
    <w:p>
      <w:pPr>
        <w:pStyle w:val="ListNumber"/>
      </w:pPr>
      <w:r>
        <w:t>Handle failed events using the dead-letter queue.</w:t>
      </w:r>
    </w:p>
    <w:p>
      <w:pPr>
        <w:pStyle w:val="ListNumber"/>
      </w:pPr>
      <w:r>
        <w:t>Test the main and alternate flows.</w:t>
      </w:r>
    </w:p>
    <w:p>
      <w:pPr>
        <w:pStyle w:val="ListNumber"/>
      </w:pPr>
      <w:r>
        <w:t>Collect evidence and organize all documents in the GitHub repository.</w:t>
      </w:r>
    </w:p>
    <w:p>
      <w:pPr>
        <w:pStyle w:val="Heading1"/>
      </w:pPr>
      <w:r>
        <w:t>4. Expected Deliverables</w:t>
      </w:r>
    </w:p>
    <w:p>
      <w:pPr>
        <w:pStyle w:val="ListBullet"/>
      </w:pPr>
      <w:r>
        <w:t>SRS document</w:t>
      </w:r>
    </w:p>
    <w:p>
      <w:pPr>
        <w:pStyle w:val="ListBullet"/>
      </w:pPr>
      <w:r>
        <w:t>Work Breakdown document</w:t>
      </w:r>
    </w:p>
    <w:p>
      <w:pPr>
        <w:pStyle w:val="ListBullet"/>
      </w:pPr>
      <w:r>
        <w:t>Requirements table</w:t>
      </w:r>
    </w:p>
    <w:p>
      <w:pPr>
        <w:pStyle w:val="ListBullet"/>
      </w:pPr>
      <w:r>
        <w:t>UML Use-Case Diagram</w:t>
      </w:r>
    </w:p>
    <w:p>
      <w:pPr>
        <w:pStyle w:val="ListBullet"/>
      </w:pPr>
      <w:r>
        <w:t>Use-Case Flow Document</w:t>
      </w:r>
    </w:p>
    <w:p>
      <w:pPr>
        <w:pStyle w:val="ListBullet"/>
      </w:pPr>
      <w:r>
        <w:t>GitHub Copilot evidence</w:t>
      </w:r>
    </w:p>
    <w:p>
      <w:pPr>
        <w:pStyle w:val="ListBullet"/>
      </w:pPr>
      <w:r>
        <w:t>README documentation</w:t>
      </w:r>
    </w:p>
    <w:p>
      <w:pPr>
        <w:pStyle w:val="Heading1"/>
      </w:pPr>
      <w:r>
        <w:t>5. Completion Criteria</w:t>
      </w:r>
    </w:p>
    <w:p>
      <w:r>
        <w:t>The work is considered complete when the required requirements, design, use-case, documentation and supporting evidence are prepared and uploaded to the appropriate folders in the GitHub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