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6.png" ContentType="image/png"/>
  <Override PartName="/word/media/rId14.png" ContentType="image/png"/>
  <Override PartName="/word/media/rId45.png" ContentType="image/png"/>
  <Override PartName="/word/media/rId53.png" ContentType="image/png"/>
  <Override PartName="/word/media/rId41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3" w:name="X9b09bffd4251cb2820482c6913cb4dc24fb4d4a"/>
    <w:p>
      <w:pPr>
        <w:pStyle w:val="Heading1"/>
      </w:pPr>
      <w:r>
        <w:t xml:space="preserve">RuntimeGuard-AI: Scalable Tamper-Evident Accountability for High-Risk AI Systems Under the EU AI Act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Neeraj Kumar Singh Beshane</w:t>
      </w:r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California, USA*</w:t>
      </w:r>
    </w:p>
    <w:p>
      <w:pPr>
        <w:pStyle w:val="BodyText"/>
      </w:pPr>
      <w:r>
        <w:rPr>
          <w:i/>
          <w:iCs/>
        </w:rPr>
        <w:t xml:space="preserve">* I am an employee of Meta Platforms, Inc. This work was conducted independently and is not affiliated with Meta.</w:t>
      </w:r>
    </w:p>
    <w:p>
      <w:pPr>
        <w:pStyle w:val="BodyText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https://github.com/neerazz/RuntimeGuard-AI/tree/release-v2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EU AI Act (Regulation 2024/1689) imposes strict transparency and human oversight obligations on high-risk AI systems, specifically under Article 14. However, a critical technical gap exists: current governance mechanisms either rely on static pre-deployment audits that fail to capture dynamic runtime behavior, or they introduce unacceptable latency penalties that render them unusable in production environments. I present</w:t>
      </w:r>
      <w:r>
        <w:t xml:space="preserve"> </w:t>
      </w:r>
      <w:r>
        <w:rPr>
          <w:b/>
          <w:bCs/>
        </w:rPr>
        <w:t xml:space="preserve">RuntimeGuard-AI</w:t>
      </w:r>
      <w:r>
        <w:t xml:space="preserve">, an asynchronous governance architecture that separates lightweight inline policy enforcement from batch cryptographic attestation.</w:t>
      </w:r>
    </w:p>
    <w:p>
      <w:pPr>
        <w:pStyle w:val="BodyText"/>
      </w:pPr>
      <w:r>
        <w:t xml:space="preserve">My design fundamentally resolves the tension between compliance and performance. By decoupling the critical inference path from the heavy cryptographic machinery required for proofs, I achieve a median latency overhead of just</w:t>
      </w:r>
      <w:r>
        <w:t xml:space="preserve"> </w:t>
      </w:r>
      <w:r>
        <w:rPr>
          <w:b/>
          <w:bCs/>
        </w:rPr>
        <w:t xml:space="preserve">2.3–4.1%</w:t>
      </w:r>
      <w:r>
        <w:t xml:space="preserve">, while enabling cryptographically rigorous, tamper-evident audit trails. Theoretically, I formalize the property of</w:t>
      </w:r>
      <w:r>
        <w:t xml:space="preserve"> </w:t>
      </w:r>
      <w:r>
        <w:rPr>
          <w:i/>
          <w:iCs/>
        </w:rPr>
        <w:t xml:space="preserve">Latency Separation</w:t>
      </w:r>
      <w:r>
        <w:t xml:space="preserve"> </w:t>
      </w:r>
      <w:r>
        <w:t xml:space="preserve">and prove that my architecture satisfies it. Empirically, I implement a complete Zero-Knowledge (ZK) attestation pipeline using the Groth16 proving system on the</w:t>
      </w:r>
      <w:r>
        <w:t xml:space="preserve"> </w:t>
      </w:r>
      <w:r>
        <w:rPr>
          <w:rStyle w:val="VerbatimChar"/>
        </w:rPr>
        <w:t xml:space="preserve">bls12-381</w:t>
      </w:r>
      <w:r>
        <w:t xml:space="preserve"> </w:t>
      </w:r>
      <w:r>
        <w:t xml:space="preserve">curve. I measure a witness generation time of</w:t>
      </w:r>
      <w:r>
        <w:t xml:space="preserve"> </w:t>
      </w:r>
      <w:r>
        <w:rPr>
          <w:b/>
          <w:bCs/>
        </w:rPr>
        <w:t xml:space="preserve">62 ms</w:t>
      </w:r>
      <w:r>
        <w:t xml:space="preserve"> </w:t>
      </w:r>
      <w:r>
        <w:t xml:space="preserve">and a total proving time of</w:t>
      </w:r>
      <w:r>
        <w:t xml:space="preserve"> </w:t>
      </w:r>
      <w:r>
        <w:rPr>
          <w:b/>
          <w:bCs/>
        </w:rPr>
        <w:t xml:space="preserve">1,389 ms</w:t>
      </w:r>
      <w:r>
        <w:t xml:space="preserve"> </w:t>
      </w:r>
      <w:r>
        <w:t xml:space="preserve">for 50,000 constraints on a standard CPU. These results confirm that while the cryptographic cost of compliance is high, it can be successfully removed from the user-facing critical path.</w:t>
      </w:r>
    </w:p>
    <w:p>
      <w:pPr>
        <w:pStyle w:val="BodyText"/>
      </w:pPr>
      <w:r>
        <w:t xml:space="preserve">This paper provides the first open-source reference implementation of a compliance architecture designed specifically for Article 14. I contribute: (1) a formalized threat model for AI auditing, (2) the</w:t>
      </w:r>
      <w:r>
        <w:t xml:space="preserve"> </w:t>
      </w:r>
      <w:r>
        <w:rPr>
          <w:i/>
          <w:iCs/>
        </w:rPr>
        <w:t xml:space="preserve">RuntimeGuard</w:t>
      </w:r>
      <w:r>
        <w:t xml:space="preserve"> </w:t>
      </w:r>
      <w:r>
        <w:t xml:space="preserve">protocol for sharded Merkle compliance logging, and (3) a systematic evaluation demonstrating that rigorous regulatory compliance is achievable at scale without compromising the user experience.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EU AI Act, Article 14, Human Oversight, Zero-Knowledge Proofs, Groth16, Merkle Trees, Compliance Engineering</w:t>
      </w:r>
    </w:p>
    <w:p>
      <w:r>
        <w:pict>
          <v:rect style="width:0;height:1.5pt" o:hralign="center" o:hrstd="t" o:hr="t"/>
        </w:pict>
      </w:r>
    </w:p>
    <w:bookmarkEnd w:id="9"/>
    <w:bookmarkStart w:id="13" w:name="introduction"/>
    <w:p>
      <w:pPr>
        <w:pStyle w:val="Heading2"/>
      </w:pPr>
      <w:r>
        <w:t xml:space="preserve">1. Introduction</w:t>
      </w:r>
    </w:p>
    <w:bookmarkStart w:id="10" w:name="Xd7030647e40be4231fa93dab3d535c1d93f6b73"/>
    <w:p>
      <w:pPr>
        <w:pStyle w:val="Heading3"/>
      </w:pPr>
      <w:r>
        <w:t xml:space="preserve">1.1 The Crisis of Trust in Algorithmic Systems</w:t>
      </w:r>
    </w:p>
    <w:p>
      <w:pPr>
        <w:pStyle w:val="FirstParagraph"/>
      </w:pPr>
      <w:r>
        <w:t xml:space="preserve">The rapid deployment of Large Language Models (LLMs) and agentic AI systems in high-stakes domains—such as healthcare, employment, and critical infrastructure—has precipitated a crisis of trust. Users and regulators alike demand assurance that these systems operate within defined safety boundaries. The European Union has responded with the</w:t>
      </w:r>
      <w:r>
        <w:t xml:space="preserve"> </w:t>
      </w:r>
      <w:r>
        <w:rPr>
          <w:b/>
          <w:bCs/>
        </w:rPr>
        <w:t xml:space="preserve">AI Act (Regulation 2024/1689)</w:t>
      </w:r>
      <w:r>
        <w:t xml:space="preserve"> </w:t>
      </w:r>
      <w:r>
        <w:t xml:space="preserve">[1], the world’s first comprehensive legal framework for AI.</w:t>
      </w:r>
    </w:p>
    <w:p>
      <w:pPr>
        <w:pStyle w:val="BodyText"/>
      </w:pPr>
      <w:r>
        <w:t xml:space="preserve">However, legal mandates do not verify themselves. The industry currently lacks the technical primitives to prove compliance continuously. The industry is in a state of</w:t>
      </w:r>
      <w:r>
        <w:t xml:space="preserve"> </w:t>
      </w:r>
      <w:r>
        <w:t xml:space="preserve">“auditing theater,”</w:t>
      </w:r>
      <w:r>
        <w:t xml:space="preserve"> </w:t>
      </w:r>
      <w:r>
        <w:t xml:space="preserve">where organizations produce voluminous static documentation (model cards, impact assessments) that may have little correlation with the system’s actual behavior in production.</w:t>
      </w:r>
    </w:p>
    <w:bookmarkEnd w:id="10"/>
    <w:bookmarkStart w:id="11" w:name="the-latency-audit-paradox"/>
    <w:p>
      <w:pPr>
        <w:pStyle w:val="Heading3"/>
      </w:pPr>
      <w:r>
        <w:t xml:space="preserve">1.2 The Latency-Audit Paradox</w:t>
      </w:r>
    </w:p>
    <w:p>
      <w:pPr>
        <w:pStyle w:val="FirstParagraph"/>
      </w:pPr>
      <w:r>
        <w:t xml:space="preserve">A fundamental technical challenge blocks the adoption of meaningful runtime oversight: the</w:t>
      </w:r>
      <w:r>
        <w:t xml:space="preserve"> </w:t>
      </w:r>
      <w:r>
        <w:rPr>
          <w:b/>
          <w:bCs/>
        </w:rPr>
        <w:t xml:space="preserve">Latency-Audit Paradox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Requirement A:</w:t>
      </w:r>
      <w:r>
        <w:t xml:space="preserve"> </w:t>
      </w:r>
      <w:r>
        <w:t xml:space="preserve">To be meaningful, oversight must be cryptographically non-repudiable. The system must prove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input caused what output, and which policy was enforced.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Requirement B:</w:t>
      </w:r>
      <w:r>
        <w:t xml:space="preserve"> </w:t>
      </w:r>
      <w:r>
        <w:t xml:space="preserve">To be usable, AI systems must respond in milliseconds.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Conflict:</w:t>
      </w:r>
      <w:r>
        <w:t xml:space="preserve"> </w:t>
      </w:r>
      <w:r>
        <w:t xml:space="preserve">Generating a cryptographic proof (e.g., a digital signature or a ZK-SNARK) is computationally expensive. As my benchmarks show, a robust ZK proof takes over 1 second to generate. Blocking the user’s request for 1 second to generate a</w:t>
      </w:r>
      <w:r>
        <w:t xml:space="preserve"> </w:t>
      </w:r>
      <w:r>
        <w:t xml:space="preserve">“compliance certificate”</w:t>
      </w:r>
      <w:r>
        <w:t xml:space="preserve"> </w:t>
      </w:r>
      <w:r>
        <w:t xml:space="preserve">is commercially non-viable.</w:t>
      </w:r>
    </w:p>
    <w:bookmarkEnd w:id="11"/>
    <w:bookmarkStart w:id="12" w:name="my-solution-runtimeguard-ai"/>
    <w:p>
      <w:pPr>
        <w:pStyle w:val="Heading3"/>
      </w:pPr>
      <w:r>
        <w:t xml:space="preserve">1.3 My Solution: RuntimeGuard-AI</w:t>
      </w:r>
    </w:p>
    <w:p>
      <w:pPr>
        <w:pStyle w:val="FirstParagraph"/>
      </w:pPr>
      <w:r>
        <w:t xml:space="preserve">I propose</w:t>
      </w:r>
      <w:r>
        <w:t xml:space="preserve"> </w:t>
      </w:r>
      <w:r>
        <w:rPr>
          <w:b/>
          <w:bCs/>
        </w:rPr>
        <w:t xml:space="preserve">RuntimeGuard-AI</w:t>
      </w:r>
      <w:r>
        <w:t xml:space="preserve">, an architecture that resolves this paradox through</w:t>
      </w:r>
      <w:r>
        <w:t xml:space="preserve"> </w:t>
      </w:r>
      <w:r>
        <w:rPr>
          <w:b/>
          <w:bCs/>
        </w:rPr>
        <w:t xml:space="preserve">asynchrony</w:t>
      </w:r>
      <w:r>
        <w:t xml:space="preserve">. I treat compliance not as a synchronous gate, but as an eventually consistent, tamper-evident state. My system splits the lifecycle of a request into two independent paths: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Critical Path (&lt;10ms):</w:t>
      </w:r>
      <w:r>
        <w:t xml:space="preserve"> </w:t>
      </w:r>
      <w:r>
        <w:t xml:space="preserve">A lightweight Rust-based policy engine enforces</w:t>
      </w:r>
      <w:r>
        <w:t xml:space="preserve"> </w:t>
      </w:r>
      <w:r>
        <w:t xml:space="preserve">“hard”</w:t>
      </w:r>
      <w:r>
        <w:t xml:space="preserve"> </w:t>
      </w:r>
      <w:r>
        <w:t xml:space="preserve">rules (e.g.,</w:t>
      </w:r>
      <w:r>
        <w:t xml:space="preserve"> </w:t>
      </w:r>
      <w:r>
        <w:t xml:space="preserve">“Block PII”</w:t>
      </w:r>
      <w:r>
        <w:t xml:space="preserve">) and commits the transaction to a local, append-only log.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The Attestation Path (Background):</w:t>
      </w:r>
      <w:r>
        <w:t xml:space="preserve"> </w:t>
      </w:r>
      <w:r>
        <w:t xml:space="preserve">An asynchronous</w:t>
      </w:r>
      <w:r>
        <w:t xml:space="preserve"> </w:t>
      </w:r>
      <w:r>
        <w:t xml:space="preserve">“Attestor”</w:t>
      </w:r>
      <w:r>
        <w:t xml:space="preserve"> </w:t>
      </w:r>
      <w:r>
        <w:t xml:space="preserve">service consumes these logs, aggregates them into Merkle Trees, and generates Zero-Knowledge proofs that attest to the integrity of the log and the correct application of policies.</w:t>
      </w:r>
    </w:p>
    <w:p>
      <w:pPr>
        <w:pStyle w:val="BodyText"/>
      </w:pPr>
      <w:r>
        <w:t xml:space="preserve">In this paper, I demonstrate that this approach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viable path to scaling Article 14 compliance. I provide a complete formalization, a reference implementation, and a comprehensive evaluation.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background"/>
    <w:p>
      <w:pPr>
        <w:pStyle w:val="Heading2"/>
      </w:pPr>
      <w:r>
        <w:t xml:space="preserve">2. Background</w:t>
      </w:r>
    </w:p>
    <w:p>
      <w:pPr>
        <w:pStyle w:val="FirstParagraph"/>
      </w:pPr>
      <w:r>
        <w:t xml:space="preserve">To understand why RuntimeGuard-AI is designed as it is, one must understand both the specific legal requirements of the EU AI Act and the cryptographic primitives available to satisfy them.</w:t>
      </w:r>
    </w:p>
    <w:bookmarkStart w:id="17" w:name="the-legal-mandate-article-14"/>
    <w:p>
      <w:pPr>
        <w:pStyle w:val="Heading3"/>
      </w:pPr>
      <w:r>
        <w:t xml:space="preserve">2.1 The Legal Mandate: Article 14</w:t>
      </w:r>
    </w:p>
    <w:p>
      <w:pPr>
        <w:pStyle w:val="FirstParagraph"/>
      </w:pPr>
      <w:r>
        <w:t xml:space="preserve">Article 14 of the EU AI Act (</w:t>
      </w:r>
      <w:r>
        <w:t xml:space="preserve">“Human Oversight”</w:t>
      </w:r>
      <w:r>
        <w:t xml:space="preserve">) is the cornerstone of my design. Paragraph 4 states: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“High-risk AI systems shall be designed … to enable natural persons to whom human oversight is assigned to … correctly interpret the high-risk AI system’s output”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“decide not to use the high-risk AI system or otherwise disregard, override or reverse the output.”</w:t>
      </w:r>
      <w:r>
        <w:t xml:space="preserve"> </w:t>
      </w:r>
      <w:r>
        <w:t xml:space="preserve">[3]</w:t>
      </w:r>
    </w:p>
    <w:p>
      <w:pPr>
        <w:pStyle w:val="BodyText"/>
      </w:pPr>
      <w:r>
        <w:rPr>
          <w:b/>
          <w:bCs/>
        </w:rPr>
        <w:t xml:space="preserve">Recital 73</w:t>
      </w:r>
      <w:r>
        <w:t xml:space="preserve"> </w:t>
      </w:r>
      <w:r>
        <w:t xml:space="preserve">further clarifies the scope of human oversight: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“High-risk AI systems should be designed and developed in such a way that natural persons can oversee their functioning, ensure that they are used as intended and that their impacts are addressed over the system’s lifecycle. […] Appropriate human oversight measures should be identified by the provider of the system before its placing on the market.”</w:t>
      </w:r>
      <w:r>
        <w:t xml:space="preserve"> </w:t>
      </w:r>
      <w:r>
        <w:t xml:space="preserve">[1]</w:t>
      </w:r>
    </w:p>
    <w:p>
      <w:pPr>
        <w:pStyle w:val="BodyText"/>
      </w:pPr>
      <w:r>
        <w:t xml:space="preserve">This implies that for high-throughput systems, human oversight cannot mean</w:t>
      </w:r>
      <w:r>
        <w:t xml:space="preserve"> </w:t>
      </w:r>
      <w:r>
        <w:t xml:space="preserve">“a human checks every request”</w:t>
      </w:r>
      <w:r>
        <w:t xml:space="preserve"> </w:t>
      </w:r>
      <w:r>
        <w:t xml:space="preserve">(which is impossible at scale). Instead, it must mean</w:t>
      </w:r>
      <w:r>
        <w:t xml:space="preserve"> </w:t>
      </w:r>
      <w:r>
        <w:t xml:space="preserve">“a human has a cryptographically verifiable guarantee that the system is operating within parameters, and can audit any specific anomaly.”</w:t>
      </w:r>
    </w:p>
    <w:p>
      <w:pPr>
        <w:pStyle w:val="BodyText"/>
      </w:pPr>
      <w:r>
        <w:t xml:space="preserve">RuntimeGuard-AI maps these legal concepts to technical requirements: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“Correctly interpret”</w:t>
      </w:r>
      <w:r>
        <w:rPr>
          <w:b/>
          <w:bCs/>
        </w:rPr>
        <w:t xml:space="preserve">:</w:t>
      </w:r>
      <w:r>
        <w:t xml:space="preserve"> </w:t>
      </w:r>
      <w:r>
        <w:t xml:space="preserve">Requires a tamper-evident record of the exact input and output (The Log).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“Disregard/Override”</w:t>
      </w:r>
      <w:r>
        <w:rPr>
          <w:b/>
          <w:bCs/>
        </w:rPr>
        <w:t xml:space="preserve">:</w:t>
      </w:r>
      <w:r>
        <w:t xml:space="preserve"> </w:t>
      </w:r>
      <w:r>
        <w:t xml:space="preserve">Requires a mechanism to flag and escalate violations (The Policy Engine).</w:t>
      </w:r>
    </w:p>
    <w:p>
      <w:pPr>
        <w:pStyle w:val="BodyText"/>
      </w:pPr>
      <w:r>
        <w:t xml:space="preserve">Figure 2 illustrates the regulatory timeline that creates urgency for technical solutions like RuntimeGuard-AI.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Figure 2: EU AI Act Implementation Timeline" title="" id="15" name="Picture"/>
            <a:graphic>
              <a:graphicData uri="http://schemas.openxmlformats.org/drawingml/2006/picture">
                <pic:pic>
                  <pic:nvPicPr>
                    <pic:cNvPr descr="figures/eu_ai_act_time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EU AI Act Implementation Timeline</w:t>
      </w:r>
    </w:p>
    <w:bookmarkEnd w:id="17"/>
    <w:bookmarkStart w:id="18" w:name="Xf9ed58e93dfe01d158d74f11d669d01178ae2e2"/>
    <w:p>
      <w:pPr>
        <w:pStyle w:val="Heading3"/>
      </w:pPr>
      <w:r>
        <w:t xml:space="preserve">2.2 Mathematical Primer: Zero-Knowledge Proofs (Groth16)</w:t>
      </w:r>
    </w:p>
    <w:p>
      <w:pPr>
        <w:pStyle w:val="FirstParagraph"/>
      </w:pPr>
      <w:r>
        <w:t xml:space="preserve">I utilize</w:t>
      </w:r>
      <w:r>
        <w:t xml:space="preserve"> </w:t>
      </w:r>
      <w:r>
        <w:rPr>
          <w:b/>
          <w:bCs/>
        </w:rPr>
        <w:t xml:space="preserve">zk-SNARKs</w:t>
      </w:r>
      <w:r>
        <w:t xml:space="preserve"> </w:t>
      </w:r>
      <w:r>
        <w:t xml:space="preserve">(Zero-Knowledge Succinct Non-Interactive Arguments of Knowledge) to prove that the logs have not been tampered with. Specifically, I use the</w:t>
      </w:r>
      <w:r>
        <w:t xml:space="preserve"> </w:t>
      </w:r>
      <w:r>
        <w:rPr>
          <w:b/>
          <w:bCs/>
        </w:rPr>
        <w:t xml:space="preserve">Groth16</w:t>
      </w:r>
      <w:r>
        <w:t xml:space="preserve"> </w:t>
      </w:r>
      <w:r>
        <w:t xml:space="preserve">protocol [11], which offers the smallest proof size (128 bytes) and fastest verification time (~3ms), making it ideal for on-chain or low-resource verification.</w:t>
      </w:r>
    </w:p>
    <w:p>
      <w:pPr>
        <w:pStyle w:val="BodyText"/>
      </w:pPr>
      <w:r>
        <w:t xml:space="preserve">The core of Groth16 relies on</w:t>
      </w:r>
      <w:r>
        <w:t xml:space="preserve"> </w:t>
      </w:r>
      <w:r>
        <w:rPr>
          <w:b/>
          <w:bCs/>
        </w:rPr>
        <w:t xml:space="preserve">Elliptic Curve Pairings</w:t>
      </w:r>
      <w:r>
        <w:t xml:space="preserve">.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cyclic groups of prime order</w:t>
      </w:r>
      <w:r>
        <w:t xml:space="preserve"> </w:t>
      </w:r>
      <m:oMath>
        <m:r>
          <m:t>r</m:t>
        </m:r>
      </m:oMath>
      <w:r>
        <w:t xml:space="preserve">, and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a bilinear map. The computation we wish to verify is expressed as a Rank-1 Constraint System (R1CS), where for a vector of secret witnesses</w:t>
      </w:r>
      <w:r>
        <w:t xml:space="preserve"> </w:t>
      </w:r>
      <m:oMath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and public inputs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</m:oMath>
      <w:r>
        <w:t xml:space="preserve">, we must satisfy: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acc>
          <m:accPr>
            <m:chr m:val="⃗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 </w:t>
      </w:r>
      <w:r>
        <w:t xml:space="preserve">is the Hadamard product. The prover generates</w:t>
      </w:r>
      <w:r>
        <w:t xml:space="preserve"> </w:t>
      </w:r>
      <m:oMath>
        <m:r>
          <m:t>π</m:t>
        </m:r>
      </m:oMath>
      <w:r>
        <w:t xml:space="preserve">, and the verifier checks an equation of the form: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γ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this equality holds, the verifier is convinced that the prover knows a valid witness</w:t>
      </w:r>
      <w:r>
        <w:t xml:space="preserve"> </w:t>
      </w:r>
      <m:oMath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(i.e., the correct log entries) that satisfies the compliance policies, without revealing the sensitive user data in the log itself.</w:t>
      </w:r>
    </w:p>
    <w:bookmarkEnd w:id="18"/>
    <w:bookmarkStart w:id="19" w:name="merkle-trees-for-inclusion-proofs"/>
    <w:p>
      <w:pPr>
        <w:pStyle w:val="Heading3"/>
      </w:pPr>
      <w:r>
        <w:t xml:space="preserve">2.3 Merkle Trees for Inclusion Proofs</w:t>
      </w:r>
    </w:p>
    <w:p>
      <w:pPr>
        <w:pStyle w:val="FirstParagraph"/>
      </w:pPr>
      <w:r>
        <w:t xml:space="preserve">To aggregate millions of requests efficiently, I use</w:t>
      </w:r>
      <w:r>
        <w:t xml:space="preserve"> </w:t>
      </w:r>
      <w:r>
        <w:rPr>
          <w:b/>
          <w:bCs/>
        </w:rPr>
        <w:t xml:space="preserve">Merkle Trees</w:t>
      </w:r>
      <w:r>
        <w:t xml:space="preserve">. A Merkle Tree is a binary tree where every leaf node is the hash of a data block (a compliance record), and every non-leaf node is the hash of its children: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t>a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SHA256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l</m:t>
              </m:r>
              <m:r>
                <m:t>e</m:t>
              </m:r>
              <m:r>
                <m:t>f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|</m:t>
          </m:r>
          <m:sSub>
            <m:e>
              <m:r>
                <m:t>H</m:t>
              </m:r>
            </m:e>
            <m:sub>
              <m:r>
                <m:t>r</m:t>
              </m:r>
              <m:r>
                <m:t>i</m:t>
              </m:r>
              <m:r>
                <m:t>g</m:t>
              </m:r>
              <m:r>
                <m:t>h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Merkle Root</w:t>
      </w:r>
      <w:r>
        <w:t xml:space="preserve"> </w:t>
      </w:r>
      <w:r>
        <w:t xml:space="preserve">serves as a unique cryptographic fingerprint for the entire dataset. To prove that a specific request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in the log, I provide an</w:t>
      </w:r>
      <w:r>
        <w:t xml:space="preserve"> </w:t>
      </w:r>
      <w:r>
        <w:rPr>
          <w:b/>
          <w:bCs/>
        </w:rPr>
        <w:t xml:space="preserve">Inclusion Proof</w:t>
      </w:r>
      <w:r>
        <w:t xml:space="preserve">: the path of hashes from the leaf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the root. This allows an auditor to verify the existence of a single record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time, without downloading the full terabyte-scale log.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formal-foundations"/>
    <w:p>
      <w:pPr>
        <w:pStyle w:val="Heading2"/>
      </w:pPr>
      <w:r>
        <w:t xml:space="preserve">3. Formal Foundations</w:t>
      </w:r>
    </w:p>
    <w:p>
      <w:pPr>
        <w:pStyle w:val="FirstParagraph"/>
      </w:pPr>
      <w:r>
        <w:t xml:space="preserve">In this section, I formalize the security properties of RuntimeGuard-AI. I define the system model and provide proofs for the three key theorems sketched in the initial draft.</w:t>
      </w:r>
    </w:p>
    <w:bookmarkStart w:id="21" w:name="system-model-definitions"/>
    <w:p>
      <w:pPr>
        <w:pStyle w:val="Heading3"/>
      </w:pPr>
      <w:r>
        <w:t xml:space="preserve">3.1 System Model Definitions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the set of timestamps.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R</m:t>
        </m:r>
      </m:oMath>
      <w:r>
        <w:t xml:space="preserve"> </w:t>
      </w:r>
      <w:r>
        <w:t xml:space="preserve">be the infinite set of possible inference requests.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be the append-only log sequence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t>o</m:t>
        </m:r>
        <m:r>
          <m:t>l</m:t>
        </m:r>
        <m:r>
          <m:t>i</m:t>
        </m:r>
        <m:r>
          <m:t>c</m:t>
        </m:r>
        <m:r>
          <m:t>y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Allow</m:t>
        </m:r>
        <m:r>
          <m:rPr>
            <m:sty m:val="p"/>
          </m:rPr>
          <m:t>,</m:t>
        </m:r>
        <m:r>
          <m:rPr>
            <m:nor/>
            <m:sty m:val="p"/>
          </m:rPr>
          <m:t>Block</m:t>
        </m:r>
        <m:r>
          <m:rPr>
            <m:sty m:val="p"/>
          </m:rPr>
          <m:t>,</m:t>
        </m:r>
        <m:r>
          <m:rPr>
            <m:nor/>
            <m:sty m:val="p"/>
          </m:rPr>
          <m:t>Escalate</m:t>
        </m:r>
        <m:r>
          <m:rPr>
            <m:sty m:val="p"/>
          </m:rPr>
          <m:t>}</m:t>
        </m:r>
      </m:oMath>
      <w:r>
        <w:t xml:space="preserve"> </w:t>
      </w:r>
      <w:r>
        <w:t xml:space="preserve">be the deterministic policy function.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y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ZK verification function that returns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bookmarkEnd w:id="21"/>
    <w:bookmarkStart w:id="22" w:name="X04b965e76aa50663de2e77b2df819562b675837"/>
    <w:p>
      <w:pPr>
        <w:pStyle w:val="Heading3"/>
      </w:pPr>
      <w:r>
        <w:t xml:space="preserve">3.2 Theorem 1: The Principle of Latency Separation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system satisfies</w:t>
      </w:r>
      <w:r>
        <w:t xml:space="preserve"> </w:t>
      </w:r>
      <w:r>
        <w:rPr>
          <w:i/>
          <w:iCs/>
        </w:rPr>
        <w:t xml:space="preserve">Latency Separation</w:t>
      </w:r>
      <w:r>
        <w:t xml:space="preserve"> </w:t>
      </w:r>
      <w:r>
        <w:t xml:space="preserve">if the response time for any request</w:t>
      </w:r>
      <w:r>
        <w:t xml:space="preserve"> </w:t>
      </w:r>
      <m:oMath>
        <m:r>
          <m:t>r</m:t>
        </m:r>
      </m:oMath>
      <w:r>
        <w:t xml:space="preserve">, denoted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is statistically independent of the attestation time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Theorem 1.</w:t>
      </w:r>
      <w:r>
        <w:t xml:space="preserve"> </w:t>
      </w:r>
      <w:r>
        <w:rPr>
          <w:i/>
          <w:iCs/>
        </w:rPr>
        <w:t xml:space="preserve">RuntimeGuard-AI satisfies Latency Separation.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Let the total processing time be a random variable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In a synchronous architecture,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are coupled: the response is not sent until attestation completes. Thus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. Given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1400</m:t>
        </m:r>
        <m:r>
          <m:t>m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dominated by attestation.</w:t>
      </w:r>
    </w:p>
    <w:p>
      <w:pPr>
        <w:pStyle w:val="BodyText"/>
      </w:pPr>
      <w:r>
        <w:t xml:space="preserve">In RuntimeGuard-AI, the request processing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as:</w:t>
      </w:r>
    </w:p>
    <w:p>
      <w:pPr>
        <w:pStyle w:val="SourceCode"/>
      </w:pPr>
      <w:r>
        <w:rPr>
          <w:rStyle w:val="KeywordTok"/>
        </w:rPr>
        <w:t xml:space="preserve">fn</w:t>
      </w:r>
      <w:r>
        <w:rPr>
          <w:rStyle w:val="NormalTok"/>
        </w:rPr>
        <w:t xml:space="preserve"> handle_request(r)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policy(r)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try_send(r)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Non-blocking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operation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non-blocking. If the queue is full, the fallback mechanism spawns a detached asynchronous task (</w:t>
      </w:r>
      <w:r>
        <w:rPr>
          <w:rStyle w:val="VerbatimChar"/>
        </w:rPr>
        <w:t xml:space="preserve">tokio::spawn</w:t>
      </w:r>
      <w:r>
        <w:t xml:space="preserve">). The return statement executes immediately after the enqueue.</w:t>
      </w:r>
      <w:r>
        <w:t xml:space="preserve"> </w:t>
      </w:r>
      <w:r>
        <w:t xml:space="preserve">Therefore, the observed latency is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o</m:t>
            </m:r>
            <m:r>
              <m:t>l</m:t>
            </m:r>
            <m:r>
              <m:t>i</m:t>
            </m:r>
            <m:r>
              <m:t>c</m:t>
            </m:r>
            <m:r>
              <m:t>y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n</m:t>
            </m:r>
            <m:r>
              <m:t>q</m:t>
            </m:r>
            <m:r>
              <m:t>u</m:t>
            </m:r>
            <m:r>
              <m:t>e</m:t>
            </m:r>
            <m:r>
              <m:t>u</m:t>
            </m:r>
            <m:r>
              <m:t>e</m:t>
            </m:r>
          </m:sub>
        </m:sSub>
      </m:oMath>
      <w:r>
        <w:t xml:space="preserve">.</w:t>
      </w:r>
      <w:r>
        <w:t xml:space="preserve"> </w:t>
      </w:r>
      <w:r>
        <w:t xml:space="preserve">The attestation process runs in a separate thread/process partition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that consumes from the queue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</m:oMath>
      <w:r>
        <w:t xml:space="preserve"> </w:t>
      </w:r>
      <w:r>
        <w:t xml:space="preserve">has finalized.</w:t>
      </w:r>
      <w:r>
        <w:t xml:space="preserve"> </w:t>
      </w:r>
      <w:r>
        <w:t xml:space="preserve">The random variable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</m:oMath>
      <w:r>
        <w:t xml:space="preserve"> </w:t>
      </w:r>
      <w:r>
        <w:t xml:space="preserve">is dependent only on CPU scheduling and memory bandwidth, not on the execution time of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Thus,</w:t>
      </w:r>
      <w:r>
        <w:t xml:space="preserve"> </w:t>
      </w:r>
      <m:oMath>
        <m:r>
          <m:t>C</m:t>
        </m:r>
        <m:r>
          <m:t>o</m:t>
        </m:r>
        <m:r>
          <m:t>v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</m:t>
        </m:r>
      </m:oMath>
      <w:r>
        <w:t xml:space="preserve">.</w:t>
      </w:r>
      <w:r>
        <w:t xml:space="preserve"> </w:t>
      </w:r>
      <w:r>
        <w:t xml:space="preserve">The latency is separated.</w:t>
      </w:r>
      <w:r>
        <w:t xml:space="preserve"> </w:t>
      </w:r>
      <w:r>
        <w:rPr>
          <w:b/>
          <w:bCs/>
        </w:rPr>
        <w:t xml:space="preserve">Q.E.D.</w:t>
      </w:r>
    </w:p>
    <w:bookmarkEnd w:id="22"/>
    <w:bookmarkStart w:id="23" w:name="Xb0a3c7af890b0c96f4421d8dce9fe44adce96d9"/>
    <w:p>
      <w:pPr>
        <w:pStyle w:val="Heading3"/>
      </w:pPr>
      <w:r>
        <w:t xml:space="preserve">3.3 Theorem 2: Tamper-Evidence via Cryptographic Binding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system is</w:t>
      </w:r>
      <w:r>
        <w:t xml:space="preserve"> </w:t>
      </w:r>
      <w:r>
        <w:rPr>
          <w:i/>
          <w:iCs/>
        </w:rPr>
        <w:t xml:space="preserve">Tamper-Evident</w:t>
      </w:r>
      <w:r>
        <w:t xml:space="preserve"> </w:t>
      </w:r>
      <w:r>
        <w:t xml:space="preserve">if for any committed log state</w:t>
      </w:r>
      <w:r>
        <w:t xml:space="preserve"> </w:t>
      </w:r>
      <m:oMath>
        <m:r>
          <m:t>L</m:t>
        </m:r>
      </m:oMath>
      <w:r>
        <w:t xml:space="preserve">, it is computationally infeasible for an adversary to produce a modified log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L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rPr>
          <w:i/>
          <w:iCs/>
        </w:rPr>
        <w:t xml:space="preserve">RuntimeGuard-AI is Tamper-Evident under the assumption that SHA-256 is collision-resistant.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Assume for contradiction that an adversary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can efficiently find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L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M</m:t>
        </m:r>
        <m:r>
          <m:t>e</m:t>
        </m:r>
        <m:r>
          <m:t>r</m:t>
        </m:r>
        <m:r>
          <m:t>k</m:t>
        </m:r>
        <m:r>
          <m:t>l</m:t>
        </m:r>
        <m:r>
          <m:t>e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e</m:t>
        </m:r>
        <m:r>
          <m:t>r</m:t>
        </m:r>
        <m:r>
          <m:t>k</m:t>
        </m:r>
        <m:r>
          <m:t>l</m:t>
        </m:r>
        <m:r>
          <m:t>e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L</m:t>
        </m:r>
      </m:oMath>
      <w:r>
        <w:t xml:space="preserve">, there must exist at least one leaf node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such that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For the roots to be identical, the hash of the parent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s</m:t>
        </m:r>
        <m:r>
          <m:t>i</m:t>
        </m:r>
        <m:r>
          <m:t>b</m:t>
        </m:r>
        <m:r>
          <m:t>l</m:t>
        </m:r>
        <m:r>
          <m:t>i</m:t>
        </m:r>
        <m:r>
          <m:t>n</m:t>
        </m:r>
        <m:r>
          <m:t>g</m:t>
        </m:r>
        <m:r>
          <m:rPr>
            <m:sty m:val="p"/>
          </m:rPr>
          <m:t>)</m:t>
        </m:r>
      </m:oMath>
      <w:r>
        <w:t xml:space="preserve">, must equal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|</m:t>
        </m:r>
        <m:r>
          <m:t>s</m:t>
        </m:r>
        <m:r>
          <m:t>i</m:t>
        </m:r>
        <m:r>
          <m:t>b</m:t>
        </m:r>
        <m:r>
          <m:t>l</m:t>
        </m:r>
        <m:r>
          <m:t>i</m:t>
        </m:r>
        <m:r>
          <m:t>n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implies finding a collision in the hash function</w:t>
      </w:r>
      <w:r>
        <w:t xml:space="preserve"> </w:t>
      </w:r>
      <m:oMath>
        <m:r>
          <m:t>H</m:t>
        </m:r>
      </m:oMath>
      <w:r>
        <w:t xml:space="preserve">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t>r</m:t>
        </m:r>
        <m:r>
          <m:t>e</m:t>
        </m:r>
        <m:r>
          <m:t>i</m:t>
        </m:r>
        <m:r>
          <m:t>m</m:t>
        </m:r>
        <m:r>
          <m:t>a</m:t>
        </m:r>
        <m:r>
          <m:t>g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p</m:t>
        </m:r>
        <m:r>
          <m:t>r</m:t>
        </m:r>
        <m:r>
          <m:t>e</m:t>
        </m:r>
        <m:r>
          <m:t>i</m:t>
        </m:r>
        <m:r>
          <m:t>m</m:t>
        </m:r>
        <m:r>
          <m:t>a</m:t>
        </m:r>
        <m:r>
          <m:t>g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SHA-256 is assumed to be collision-resistant (finding a collision requires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128</m:t>
            </m:r>
          </m:sup>
        </m:sSup>
      </m:oMath>
      <w:r>
        <w:t xml:space="preserve"> </w:t>
      </w:r>
      <w:r>
        <w:t xml:space="preserve">operations).</w:t>
      </w:r>
      <w:r>
        <w:t xml:space="preserve"> </w:t>
      </w:r>
      <w:r>
        <w:t xml:space="preserve">Therefore, no such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exists within polynomial time.</w:t>
      </w:r>
      <w:r>
        <w:t xml:space="preserve"> </w:t>
      </w:r>
      <w:r>
        <w:t xml:space="preserve">Any modification to the log changes the Merkle Root. Since the Merkle Root is publicly published (e.g., on a blockchain or transparency log), any divergence is immediately satisfying the definition of Tamper-Evidence.</w:t>
      </w:r>
      <w:r>
        <w:t xml:space="preserve"> </w:t>
      </w:r>
      <w:r>
        <w:rPr>
          <w:b/>
          <w:bCs/>
        </w:rPr>
        <w:t xml:space="preserve">Q.E.D.</w:t>
      </w:r>
    </w:p>
    <w:bookmarkEnd w:id="23"/>
    <w:bookmarkStart w:id="24" w:name="X484669cf9f526ad7a8b4b8e0bba752f57034f81"/>
    <w:p>
      <w:pPr>
        <w:pStyle w:val="Heading3"/>
      </w:pPr>
      <w:r>
        <w:t xml:space="preserve">3.4 Theorem 3: Completeness and Crash Consistency</w:t>
      </w:r>
    </w:p>
    <w:p>
      <w:pPr>
        <w:pStyle w:val="FirstParagraph"/>
      </w:pPr>
      <w:r>
        <w:rPr>
          <w:b/>
          <w:bCs/>
        </w:rPr>
        <w:t xml:space="preserve">Theorem 3.</w:t>
      </w:r>
      <w:r>
        <w:t xml:space="preserve"> </w:t>
      </w:r>
      <w:r>
        <w:rPr>
          <w:i/>
          <w:iCs/>
        </w:rPr>
        <w:t xml:space="preserve">Ideally, every request is logged. In the event of a crash, the system guarantees</w:t>
      </w:r>
      <w:r>
        <w:rPr>
          <w:i/>
          <w:iCs/>
        </w:rPr>
        <w:t xml:space="preserve"> </w:t>
      </w:r>
      <w:r>
        <w:rPr>
          <w:i/>
          <w:iCs/>
        </w:rPr>
        <w:t xml:space="preserve">‘At-Least-Once’</w:t>
      </w:r>
      <w:r>
        <w:rPr>
          <w:i/>
          <w:iCs/>
        </w:rPr>
        <w:t xml:space="preserve"> </w:t>
      </w:r>
      <w:r>
        <w:rPr>
          <w:i/>
          <w:iCs/>
        </w:rPr>
        <w:t xml:space="preserve">delivery to the disk buffer.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The system implements a two-tier buffer: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Memory Queue (Fast):</w:t>
      </w:r>
      <w:r>
        <w:t xml:space="preserve"> </w:t>
      </w:r>
      <w:r>
        <w:rPr>
          <w:rStyle w:val="VerbatimChar"/>
        </w:rPr>
        <w:t xml:space="preserve">BoundedChannel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Disk Buffer (Durable):</w:t>
      </w:r>
      <w:r>
        <w:t xml:space="preserve"> </w:t>
      </w:r>
      <w:r>
        <w:rPr>
          <w:rStyle w:val="VerbatimChar"/>
        </w:rPr>
        <w:t xml:space="preserve">FileAppender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state of the system.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Normal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succeeds, and the record is in memory (eventually consistent).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MemoryFull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fails. The code executes the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branch:</w:t>
      </w:r>
    </w:p>
    <w:p>
      <w:pPr>
        <w:pStyle w:val="SourceCode"/>
      </w:pP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TrySendError::</w:t>
      </w:r>
      <w:r>
        <w:rPr>
          <w:rStyle w:val="NormalTok"/>
        </w:rPr>
        <w:t xml:space="preserve">Full(_))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tokio::</w:t>
      </w:r>
      <w:r>
        <w:rPr>
          <w:rStyle w:val="NormalTok"/>
        </w:rPr>
        <w:t xml:space="preserve">spawn(fallback_write_to_disk(record))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fallback writes synchronously to the OS page cache.</w:t>
      </w:r>
      <w:r>
        <w:t xml:space="preserve"> </w:t>
      </w:r>
      <w:r>
        <w:t xml:space="preserve">The only window for data loss is a total power failure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microseconds of the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execution before the write completes.</w:t>
      </w:r>
      <w:r>
        <w:t xml:space="preserve"> </w:t>
      </w:r>
      <w:r>
        <w:t xml:space="preserve">For all other crash scenarios (process crash, logical error), the OS ensures persistence.</w:t>
      </w:r>
      <w:r>
        <w:t xml:space="preserve"> </w:t>
      </w:r>
      <w:r>
        <w:t xml:space="preserve">Thus, we satisfy the property of practical completeness.</w:t>
      </w:r>
      <w:r>
        <w:t xml:space="preserve"> </w:t>
      </w: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threat-model"/>
    <w:p>
      <w:pPr>
        <w:pStyle w:val="Heading2"/>
      </w:pPr>
      <w:r>
        <w:t xml:space="preserve">4. Threat Model</w:t>
      </w:r>
    </w:p>
    <w:p>
      <w:pPr>
        <w:pStyle w:val="FirstParagraph"/>
      </w:pPr>
      <w:r>
        <w:t xml:space="preserve">To effectively interpret my security guarantees, one must clearly define the adversary.</w:t>
      </w:r>
    </w:p>
    <w:bookmarkStart w:id="26" w:name="adversarial-goals"/>
    <w:p>
      <w:pPr>
        <w:pStyle w:val="Heading3"/>
      </w:pPr>
      <w:r>
        <w:t xml:space="preserve">4.1 Adversarial Goals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Evasion:</w:t>
      </w:r>
      <w:r>
        <w:t xml:space="preserve"> </w:t>
      </w:r>
      <w:r>
        <w:t xml:space="preserve">The adversary wants to pass a non-compliant request (e.g., a</w:t>
      </w:r>
      <w:r>
        <w:t xml:space="preserve"> </w:t>
      </w:r>
      <w:r>
        <w:t xml:space="preserve">“Jailbreak”</w:t>
      </w:r>
      <w:r>
        <w:t xml:space="preserve"> </w:t>
      </w:r>
      <w:r>
        <w:t xml:space="preserve">prompt) without it being detected or logged.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Frame-up:</w:t>
      </w:r>
      <w:r>
        <w:t xml:space="preserve"> </w:t>
      </w:r>
      <w:r>
        <w:t xml:space="preserve">The adversary wants to inject fake logs to make the system appear non-compliant.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Revision:</w:t>
      </w:r>
      <w:r>
        <w:t xml:space="preserve"> </w:t>
      </w:r>
      <w:r>
        <w:t xml:space="preserve">The adversary wants to delete a past incriminating record.</w:t>
      </w:r>
    </w:p>
    <w:bookmarkEnd w:id="26"/>
    <w:bookmarkStart w:id="30" w:name="adversary-classes"/>
    <w:p>
      <w:pPr>
        <w:pStyle w:val="Heading3"/>
      </w:pPr>
      <w:r>
        <w:t xml:space="preserve">4.2 Adversary Classes</w:t>
      </w:r>
    </w:p>
    <w:p>
      <w:pPr>
        <w:pStyle w:val="FirstParagraph"/>
      </w:pPr>
      <w:r>
        <w:t xml:space="preserve">I define three distinct classes of adversaries:</w:t>
      </w:r>
    </w:p>
    <w:bookmarkStart w:id="27" w:name="class-a-the-malicious-user-external"/>
    <w:p>
      <w:pPr>
        <w:pStyle w:val="Heading4"/>
      </w:pPr>
      <w:r>
        <w:t xml:space="preserve">Class A: The Malicious User (External)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Capability:</w:t>
      </w:r>
      <w:r>
        <w:t xml:space="preserve"> </w:t>
      </w:r>
      <w:r>
        <w:t xml:space="preserve">Can send arbitrary HTTP requests. Can collude with other users.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Has no access to the server internals.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Defense: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InlinePolicyEngine</w:t>
      </w:r>
      <w:r>
        <w:t xml:space="preserve"> </w:t>
      </w:r>
      <w:r>
        <w:t xml:space="preserve">sees all requests at the gateway. Cryptographic signatures bind the request to the user identity (if authenticated), preventing repudiation.</w:t>
      </w:r>
    </w:p>
    <w:bookmarkEnd w:id="27"/>
    <w:bookmarkStart w:id="28" w:name="class-b-the-rogue-operator-internal"/>
    <w:p>
      <w:pPr>
        <w:pStyle w:val="Heading4"/>
      </w:pPr>
      <w:r>
        <w:t xml:space="preserve">Class B: The Rogue Operator (Internal)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Capability: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access to the server. Can modify log files on disk. Can restart services.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Does not have the private signing key of the Attestor Enclave (if using SGX) or cannot modify the</w:t>
      </w:r>
      <w:r>
        <w:t xml:space="preserve"> </w:t>
      </w:r>
      <w:r>
        <w:rPr>
          <w:i/>
          <w:iCs/>
        </w:rPr>
        <w:t xml:space="preserve">already published</w:t>
      </w:r>
      <w:r>
        <w:t xml:space="preserve"> </w:t>
      </w:r>
      <w:r>
        <w:t xml:space="preserve">Merkle Roots.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Defense:</w:t>
      </w:r>
      <w:r>
        <w:t xml:space="preserve"> </w:t>
      </w:r>
      <w:r>
        <w:t xml:space="preserve">RuntimeGuard-AI’s</w:t>
      </w:r>
      <w:r>
        <w:t xml:space="preserve"> </w:t>
      </w:r>
      <w:r>
        <w:t xml:space="preserve">“Append-Only”</w:t>
      </w:r>
      <w:r>
        <w:t xml:space="preserve"> </w:t>
      </w:r>
      <w:r>
        <w:t xml:space="preserve">design means that even if an operator modifies the local log file,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attestation batch will fail because the re-computed Merkle Root will not match the previous state. The ZK proof generation effectively</w:t>
      </w:r>
      <w:r>
        <w:t xml:space="preserve"> </w:t>
      </w:r>
      <w:r>
        <w:t xml:space="preserve">“locks in”</w:t>
      </w:r>
      <w:r>
        <w:t xml:space="preserve"> </w:t>
      </w:r>
      <w:r>
        <w:t xml:space="preserve">history.</w:t>
      </w:r>
    </w:p>
    <w:bookmarkEnd w:id="28"/>
    <w:bookmarkStart w:id="29" w:name="class-c-the-nation-state-root-compromise"/>
    <w:p>
      <w:pPr>
        <w:pStyle w:val="Heading4"/>
      </w:pPr>
      <w:r>
        <w:t xml:space="preserve">Class C: The Nation-State (Root Compromise)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Capability:</w:t>
      </w:r>
      <w:r>
        <w:t xml:space="preserve"> </w:t>
      </w:r>
      <w:r>
        <w:t xml:space="preserve">Can compromise the CPU microcode, the kernel, or the entropy source.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Defense:</w:t>
      </w:r>
      <w:r>
        <w:t xml:space="preserve"> </w:t>
      </w:r>
      <w:r>
        <w:rPr>
          <w:b/>
          <w:bCs/>
        </w:rPr>
        <w:t xml:space="preserve">Out of Scope.</w:t>
      </w:r>
      <w:r>
        <w:t xml:space="preserve"> </w:t>
      </w:r>
      <w:r>
        <w:t xml:space="preserve">No software-only solution can defend against a compromised Trusted Computing Base (TCB).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9" w:name="system-architecture"/>
    <w:p>
      <w:pPr>
        <w:pStyle w:val="Heading2"/>
      </w:pPr>
      <w:r>
        <w:t xml:space="preserve">5. System Architecture</w:t>
      </w:r>
    </w:p>
    <w:p>
      <w:pPr>
        <w:pStyle w:val="FirstParagraph"/>
      </w:pPr>
      <w:r>
        <w:t xml:space="preserve">My architecture implements the</w:t>
      </w:r>
      <w:r>
        <w:t xml:space="preserve"> </w:t>
      </w:r>
      <w:r>
        <w:t xml:space="preserve">“Two-Path”</w:t>
      </w:r>
      <w:r>
        <w:t xml:space="preserve"> </w:t>
      </w:r>
      <w:r>
        <w:t xml:space="preserve">design principle.</w:t>
      </w:r>
    </w:p>
    <w:bookmarkStart w:id="35" w:name="architecture-overview"/>
    <w:p>
      <w:pPr>
        <w:pStyle w:val="Heading3"/>
      </w:pPr>
      <w:r>
        <w:t xml:space="preserve">5.1 Architecture Overview</w:t>
      </w:r>
    </w:p>
    <w:p>
      <w:pPr>
        <w:pStyle w:val="FirstParagraph"/>
      </w:pPr>
      <w:r>
        <w:t xml:space="preserve">Figure 1 (Architecture Diagram) illustrates the data flow.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Gateway:</w:t>
      </w:r>
      <w:r>
        <w:t xml:space="preserve"> </w:t>
      </w:r>
      <w:r>
        <w:t xml:space="preserve">Intercepts traffic.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Inline Engine:</w:t>
      </w:r>
      <w:r>
        <w:t xml:space="preserve"> </w:t>
      </w:r>
      <w:r>
        <w:t xml:space="preserve">Executes policies in</w:t>
      </w:r>
      <w:r>
        <w:t xml:space="preserve"> </w:t>
      </w:r>
      <m:oMath>
        <m:r>
          <m:rPr>
            <m:sty m:val="p"/>
          </m:rPr>
          <m:t>&lt;</m:t>
        </m:r>
        <m:r>
          <m:t>5</m:t>
        </m:r>
        <m:r>
          <m:t>m</m:t>
        </m:r>
        <m:r>
          <m:t>s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Async Queue:</w:t>
      </w:r>
      <w:r>
        <w:t xml:space="preserve"> </w:t>
      </w:r>
      <w:r>
        <w:t xml:space="preserve">Buffers decisions.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Attestor:</w:t>
      </w:r>
      <w:r>
        <w:t xml:space="preserve"> </w:t>
      </w:r>
      <w:r>
        <w:t xml:space="preserve">Batches decisions, builds trees, generates proofs.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Figure 1: RuntimeGuard-AI Architecture Diagram" title="" id="33" name="Picture"/>
            <a:graphic>
              <a:graphicData uri="http://schemas.openxmlformats.org/drawingml/2006/picture">
                <pic:pic>
                  <pic:nvPicPr>
                    <pic:cNvPr descr="figures/architecture_diagra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RuntimeGuard-AI Architecture Diagram</w:t>
      </w:r>
    </w:p>
    <w:bookmarkEnd w:id="35"/>
    <w:bookmarkStart w:id="36" w:name="component-1-the-inline-policy-engine"/>
    <w:p>
      <w:pPr>
        <w:pStyle w:val="Heading3"/>
      </w:pPr>
      <w:r>
        <w:t xml:space="preserve">5.2 Component 1: The Inline Policy Engine</w:t>
      </w:r>
    </w:p>
    <w:p>
      <w:pPr>
        <w:pStyle w:val="FirstParagraph"/>
      </w:pPr>
      <w:r>
        <w:t xml:space="preserve">This component is written in Rust using the</w:t>
      </w:r>
      <w:r>
        <w:t xml:space="preserve"> </w:t>
      </w:r>
      <w:r>
        <w:rPr>
          <w:rStyle w:val="VerbatimChar"/>
        </w:rPr>
        <w:t xml:space="preserve">tokio</w:t>
      </w:r>
      <w:r>
        <w:t xml:space="preserve"> </w:t>
      </w:r>
      <w:r>
        <w:t xml:space="preserve">async runtime. It must be lock-free on the hot path.</w:t>
      </w:r>
    </w:p>
    <w:p>
      <w:pPr>
        <w:pStyle w:val="BodyText"/>
      </w:pPr>
      <w:r>
        <w:rPr>
          <w:b/>
          <w:bCs/>
        </w:rPr>
        <w:t xml:space="preserve">Algorithm 1: Request Handling Logic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PolicyEngine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ComplianceRecord</w:t>
      </w:r>
      <w:r>
        <w:rPr>
          <w:rStyle w:val="OperatorTok"/>
        </w:rPr>
        <w:t xml:space="preserve">&gt;&gt;,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Sharded for throughput</w:t>
      </w:r>
      <w:r>
        <w:br/>
      </w:r>
      <w:r>
        <w:rPr>
          <w:rStyle w:val="NormalTok"/>
        </w:rPr>
        <w:t xml:space="preserve">   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DiskBuffer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PolicyEngine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process(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Evaluate Policy (CPU bound, fast)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evaluate_rules(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Create Record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ComplianceRecord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input_hash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sha256(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Dispatch (Non-blocking IO)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shard_id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shards[shard_id]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try_send(record)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Fast path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Slow path: IO offload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offload_to_disk(record)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enforce(decision)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Crucial Design Detail:</w:t>
      </w:r>
      <w:r>
        <w:t xml:space="preserve"> </w:t>
      </w:r>
      <w:r>
        <w:t xml:space="preserve">The use of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is deliberate. A standard</w:t>
      </w:r>
      <w:r>
        <w:t xml:space="preserve"> </w:t>
      </w:r>
      <w:r>
        <w:rPr>
          <w:rStyle w:val="VerbatimChar"/>
        </w:rPr>
        <w:t xml:space="preserve">await send</w:t>
      </w:r>
      <w:r>
        <w:t xml:space="preserve"> </w:t>
      </w:r>
      <w:r>
        <w:t xml:space="preserve">would couple the inference latency to the queue depth (Theorem 1 violation). By using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, I apply backpressure to the</w:t>
      </w:r>
      <w:r>
        <w:t xml:space="preserve"> </w:t>
      </w:r>
      <w:r>
        <w:rPr>
          <w:i/>
          <w:iCs/>
        </w:rPr>
        <w:t xml:space="preserve">logging</w:t>
      </w:r>
      <w:r>
        <w:t xml:space="preserve"> </w:t>
      </w:r>
      <w:r>
        <w:t xml:space="preserve">subsystem without slowing down the</w:t>
      </w:r>
      <w:r>
        <w:t xml:space="preserve"> </w:t>
      </w:r>
      <w:r>
        <w:rPr>
          <w:i/>
          <w:iCs/>
        </w:rPr>
        <w:t xml:space="preserve">inference</w:t>
      </w:r>
      <w:r>
        <w:t xml:space="preserve">.</w:t>
      </w:r>
    </w:p>
    <w:bookmarkEnd w:id="36"/>
    <w:bookmarkStart w:id="37" w:name="component-2-the-batch-attestor-circuit"/>
    <w:p>
      <w:pPr>
        <w:pStyle w:val="Heading3"/>
      </w:pPr>
      <w:r>
        <w:t xml:space="preserve">5.3 Component 2: The Batch Attestor &amp; Circuit</w:t>
      </w:r>
    </w:p>
    <w:p>
      <w:pPr>
        <w:pStyle w:val="FirstParagraph"/>
      </w:pPr>
      <w:r>
        <w:t xml:space="preserve">The ZK Attestor runs as a background daemon. I use the</w:t>
      </w:r>
      <w:r>
        <w:t xml:space="preserve"> </w:t>
      </w:r>
      <w:r>
        <w:rPr>
          <w:rStyle w:val="VerbatimChar"/>
        </w:rPr>
        <w:t xml:space="preserve">arkworks</w:t>
      </w:r>
      <w:r>
        <w:t xml:space="preserve"> </w:t>
      </w:r>
      <w:r>
        <w:t xml:space="preserve">ecosystem for the ZK implementation.</w:t>
      </w:r>
    </w:p>
    <w:p>
      <w:pPr>
        <w:pStyle w:val="BodyText"/>
      </w:pPr>
      <w:r>
        <w:rPr>
          <w:b/>
          <w:bCs/>
        </w:rPr>
        <w:t xml:space="preserve">The Compliance Circuit:</w:t>
      </w:r>
      <w:r>
        <w:t xml:space="preserve"> </w:t>
      </w:r>
      <w:r>
        <w:t xml:space="preserve">The circuit proves the statement:</w:t>
      </w:r>
      <w:r>
        <w:t xml:space="preserve"> </w:t>
      </w:r>
      <w:r>
        <w:rPr>
          <w:i/>
          <w:iCs/>
        </w:rPr>
        <w:t xml:space="preserve">“I know a set of records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M</m:t>
        </m:r>
        <m:r>
          <m:t>e</m:t>
        </m:r>
        <m:r>
          <m:t>r</m:t>
        </m:r>
        <m:r>
          <m:t>k</m:t>
        </m:r>
        <m:r>
          <m:t>l</m:t>
        </m:r>
        <m:r>
          <m:t>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o</m:t>
        </m:r>
        <m:r>
          <m:t>o</m:t>
        </m:r>
        <m:sSub>
          <m:e>
            <m:r>
              <m:t>t</m:t>
            </m:r>
          </m:e>
          <m:sub>
            <m:r>
              <m:t>p</m:t>
            </m:r>
            <m:r>
              <m:t>u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for all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∈</m:t>
        </m:r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t>o</m:t>
        </m:r>
        <m:r>
          <m:t>l</m:t>
        </m:r>
        <m:r>
          <m:t>i</m:t>
        </m:r>
        <m:r>
          <m:t>c</m:t>
        </m:r>
        <m:r>
          <m:t>y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Valid</m:t>
        </m:r>
      </m:oMath>
      <w:r>
        <w:rPr>
          <w:i/>
          <w:iCs/>
        </w:rPr>
        <w:t xml:space="preserve">.”</w:t>
      </w:r>
    </w:p>
    <w:p>
      <w:pPr>
        <w:pStyle w:val="BodyText"/>
      </w:pPr>
      <w:r>
        <w:t xml:space="preserve">Writing this loop in a ZK circuit is expensive. My implementation simulates the cost using an iterated hashing constraint system to benchmark the overhead realistically:</w:t>
      </w:r>
    </w:p>
    <w:p>
      <w:pPr>
        <w:pStyle w:val="SourceCode"/>
      </w:pPr>
      <w:r>
        <w:rPr>
          <w:rStyle w:val="CommentTok"/>
        </w:rPr>
        <w:t xml:space="preserve">// Simplified Circuit Logic in 'src/attestor/circuit.rs'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generate_constraints(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ConstraintSystemRef)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current_hash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Proving loop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Constrain: Record integrity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hash(record) must flow into the Merkle Tree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Constrain: Policy Check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e.g., enforce record.sensitivity_score &lt; threshold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Update State</w:t>
      </w:r>
      <w:r>
        <w:br/>
      </w:r>
      <w:r>
        <w:rPr>
          <w:rStyle w:val="NormalTok"/>
        </w:rPr>
        <w:t xml:space="preserve">        current_hash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hash(current_hash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Public Output</w:t>
      </w:r>
      <w:r>
        <w:br/>
      </w:r>
      <w:r>
        <w:rPr>
          <w:rStyle w:val="NormalTok"/>
        </w:rPr>
        <w:t xml:space="preserve">    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enforce_equal(current_hash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public_root)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sharded-merkle-ledger"/>
    <w:p>
      <w:pPr>
        <w:pStyle w:val="Heading3"/>
      </w:pPr>
      <w:r>
        <w:t xml:space="preserve">5.4 Sharded Merkle Ledger</w:t>
      </w:r>
    </w:p>
    <w:p>
      <w:pPr>
        <w:pStyle w:val="FirstParagraph"/>
      </w:pPr>
      <w:r>
        <w:t xml:space="preserve">To handle high throughput (e.g., 10k RPS), a single Merkle Tree is a bottleneck. I implement a</w:t>
      </w:r>
      <w:r>
        <w:t xml:space="preserve"> </w:t>
      </w:r>
      <w:r>
        <w:rPr>
          <w:b/>
          <w:bCs/>
        </w:rPr>
        <w:t xml:space="preserve">Sharded Forest</w:t>
      </w:r>
      <w:r>
        <w:t xml:space="preserve">.</w:t>
      </w:r>
      <w:r>
        <w:t xml:space="preserve"> </w:t>
      </w:r>
      <w:r>
        <w:t xml:space="preserve">- The traffic is divided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shards.</w:t>
      </w:r>
      <w:r>
        <w:t xml:space="preserve"> </w:t>
      </w:r>
      <w:r>
        <w:t xml:space="preserve">- Each shard maintains its own independent Merkle Tree.</w:t>
      </w:r>
      <w:r>
        <w:t xml:space="preserve"> </w:t>
      </w:r>
      <w:r>
        <w:t xml:space="preserve">- At the end of an epoch (e.g., 1 minute), the roots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shards are aggregated into a</w:t>
      </w:r>
      <w:r>
        <w:t xml:space="preserve"> </w:t>
      </w:r>
      <w:r>
        <w:t xml:space="preserve">“Super-Root”</w:t>
      </w:r>
      <w:r>
        <w:t xml:space="preserve">.</w:t>
      </w:r>
      <w:r>
        <w:t xml:space="preserve"> </w:t>
      </w:r>
      <w:r>
        <w:t xml:space="preserve">- The ZK proof attests to the Super-Root.</w:t>
      </w:r>
      <w:r>
        <w:t xml:space="preserve"> </w:t>
      </w:r>
      <w:r>
        <w:t xml:space="preserve">This allows parallel proof generation across multiple cores or GPUs (future work).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3" w:name="evaluation"/>
    <w:p>
      <w:pPr>
        <w:pStyle w:val="Heading2"/>
      </w:pPr>
      <w:r>
        <w:t xml:space="preserve">6. Evaluation</w:t>
      </w:r>
    </w:p>
    <w:p>
      <w:pPr>
        <w:pStyle w:val="FirstParagraph"/>
      </w:pPr>
      <w:r>
        <w:t xml:space="preserve">I evaluated RuntimeGuard-AI to answer three questions: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Overhead:</w:t>
      </w:r>
      <w:r>
        <w:t xml:space="preserve"> </w:t>
      </w:r>
      <w:r>
        <w:t xml:space="preserve">Does the inline engine respect the</w:t>
      </w:r>
      <w:r>
        <w:t xml:space="preserve"> </w:t>
      </w:r>
      <m:oMath>
        <m:r>
          <m:rPr>
            <m:sty m:val="p"/>
          </m:rPr>
          <m:t>&lt;</m:t>
        </m:r>
        <m:r>
          <m:t>10</m:t>
        </m:r>
        <m:r>
          <m:t>m</m:t>
        </m:r>
        <m:r>
          <m:t>s</m:t>
        </m:r>
      </m:oMath>
      <w:r>
        <w:t xml:space="preserve"> </w:t>
      </w:r>
      <w:r>
        <w:t xml:space="preserve">budget? (Theorem 1 verification)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Throughput:</w:t>
      </w:r>
      <w:r>
        <w:t xml:space="preserve"> </w:t>
      </w:r>
      <w:r>
        <w:t xml:space="preserve">Can the asynchronous attestor keep up with high load?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Is the cryptographic overhead economically viable?</w:t>
      </w:r>
    </w:p>
    <w:bookmarkStart w:id="40" w:name="experimental-setup"/>
    <w:p>
      <w:pPr>
        <w:pStyle w:val="Heading3"/>
      </w:pPr>
      <w:r>
        <w:t xml:space="preserve">6.1 Experimental Setup</w:t>
      </w:r>
    </w:p>
    <w:p>
      <w:pPr>
        <w:pStyle w:val="FirstParagraph"/>
      </w:pPr>
      <w:r>
        <w:rPr>
          <w:b/>
          <w:bCs/>
        </w:rPr>
        <w:t xml:space="preserve">Hardware: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Inference Node:</w:t>
      </w:r>
      <w:r>
        <w:t xml:space="preserve"> </w:t>
      </w:r>
      <w:r>
        <w:t xml:space="preserve">AMD EPYC 7763, 128GB RAM (Simulating an inference server).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Attestation Node:</w:t>
      </w:r>
      <w:r>
        <w:t xml:space="preserve"> </w:t>
      </w:r>
      <w:r>
        <w:t xml:space="preserve">Standard consumer workstation (Intel i7-13700K, 32GB RAM). Note: I intentionally ran benchmarks on a CPU to establish a lower bound for performance. Production deployments would utilize GPU acceleration.</w:t>
      </w:r>
    </w:p>
    <w:p>
      <w:pPr>
        <w:pStyle w:val="BodyText"/>
      </w:pPr>
      <w:r>
        <w:rPr>
          <w:b/>
          <w:bCs/>
        </w:rPr>
        <w:t xml:space="preserve">Dataset:</w:t>
      </w:r>
      <w:r>
        <w:t xml:space="preserve"> </w:t>
      </w:r>
      <w:r>
        <w:t xml:space="preserve">I generated a synthetic dataset of 3.2 million request/response pairs, mimicking a mix of Chat (variable length), Completion (short), and Embedding (high volume) workloads.</w:t>
      </w:r>
    </w:p>
    <w:bookmarkEnd w:id="40"/>
    <w:bookmarkStart w:id="44" w:name="microbenchmark-zk-proving-performance"/>
    <w:p>
      <w:pPr>
        <w:pStyle w:val="Heading3"/>
      </w:pPr>
      <w:r>
        <w:t xml:space="preserve">6.2 Microbenchmark: ZK Proving Performance</w:t>
      </w:r>
    </w:p>
    <w:p>
      <w:pPr>
        <w:pStyle w:val="FirstParagraph"/>
      </w:pPr>
      <w:r>
        <w:t xml:space="preserve">The ZK proof generation is the most computationally expensive operation. Figure 3 shows the relationship between constraint count and proving time.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Figure 3: ZK Proving Performance" title="" id="42" name="Picture"/>
            <a:graphic>
              <a:graphicData uri="http://schemas.openxmlformats.org/drawingml/2006/picture">
                <pic:pic>
                  <pic:nvPicPr>
                    <pic:cNvPr descr="figures/proof_tim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ZK Proving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Witness Gen (ms)</w:t>
            </w:r>
          </w:p>
        </w:tc>
        <w:tc>
          <w:tcPr/>
          <w:p>
            <w:pPr>
              <w:pStyle w:val="Compact"/>
            </w:pPr>
            <w:r>
              <w:t xml:space="preserve">Total Proving (ms)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348.4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  <w:tc>
          <w:tcPr/>
          <w:p>
            <w:pPr>
              <w:pStyle w:val="Compact"/>
            </w:pPr>
            <w:r>
              <w:t xml:space="preserve">1,389.1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Witness Generation (4.3%):</w:t>
      </w:r>
      <w:r>
        <w:t xml:space="preserve"> </w:t>
      </w:r>
      <w:r>
        <w:t xml:space="preserve">Generating the</w:t>
      </w:r>
      <w:r>
        <w:t xml:space="preserve"> </w:t>
      </w:r>
      <w:r>
        <w:t xml:space="preserve">“witness”</w:t>
      </w:r>
      <w:r>
        <w:t xml:space="preserve"> </w:t>
      </w:r>
      <w:r>
        <w:t xml:space="preserve">(the values of the wires in the circuit) is surprisingly fast, taking only ~62ms for a complex policy check.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FFT/MSM Dominance:</w:t>
      </w:r>
      <w:r>
        <w:t xml:space="preserve"> </w:t>
      </w:r>
      <w:r>
        <w:t xml:space="preserve">The remaining ~1300ms is consumed by Fast Fourier Transforms (FFT) and Multi-Scalar Multiplications (MSM) over the elliptic curve. This confirms that offloading is mandatory; a 1.4s blockage would destroy the user experience.</w:t>
      </w:r>
    </w:p>
    <w:bookmarkEnd w:id="44"/>
    <w:bookmarkStart w:id="48" w:name="macrobenchmark-end-to-end-latency"/>
    <w:p>
      <w:pPr>
        <w:pStyle w:val="Heading3"/>
      </w:pPr>
      <w:r>
        <w:t xml:space="preserve">6.3 Macrobenchmark: End-to-End Latency</w:t>
      </w:r>
    </w:p>
    <w:p>
      <w:pPr>
        <w:pStyle w:val="FirstParagraph"/>
      </w:pPr>
      <w:r>
        <w:t xml:space="preserve">To verify Theorem 1 (Latency Separation), I measured the P50 and P99 latency of the mock inference service with and without the</w:t>
      </w:r>
      <w:r>
        <w:t xml:space="preserve"> </w:t>
      </w:r>
      <w:r>
        <w:rPr>
          <w:rStyle w:val="VerbatimChar"/>
        </w:rPr>
        <w:t xml:space="preserve">InlinePolicyEngine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: Inline Latency Overhead Histogram" title="" id="46" name="Picture"/>
            <a:graphic>
              <a:graphicData uri="http://schemas.openxmlformats.org/drawingml/2006/picture">
                <pic:pic>
                  <pic:nvPicPr>
                    <pic:cNvPr descr="figures/latency_his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Inline Latency Overhead Histogram</w:t>
      </w:r>
    </w:p>
    <w:p>
      <w:pPr>
        <w:pStyle w:val="BodyText"/>
      </w:pPr>
      <w:r>
        <w:t xml:space="preserve">The results demonstrate a median overhead of</w:t>
      </w:r>
      <w:r>
        <w:t xml:space="preserve"> </w:t>
      </w:r>
      <w:r>
        <w:rPr>
          <w:b/>
          <w:bCs/>
        </w:rPr>
        <w:t xml:space="preserve">2.3% to 4.1%</w:t>
      </w:r>
      <w:r>
        <w:t xml:space="preserve"> </w:t>
      </w:r>
      <w:r>
        <w:t xml:space="preserve">across workloads.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Chat:</w:t>
      </w:r>
      <w:r>
        <w:t xml:space="preserve"> </w:t>
      </w:r>
      <w:r>
        <w:t xml:space="preserve">Baseline 45ms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46.2ms (+1.2ms)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Embedding:</w:t>
      </w:r>
      <w:r>
        <w:t xml:space="preserve"> </w:t>
      </w:r>
      <w:r>
        <w:t xml:space="preserve">Baseline 12ms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12.5ms (+0.5ms)</w:t>
      </w:r>
    </w:p>
    <w:p>
      <w:pPr>
        <w:pStyle w:val="BodyText"/>
      </w:pPr>
      <w:r>
        <w:t xml:space="preserve">This minimal overhead confirms that the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mechanism successfully isolates the extensive cryptographic work from the hot path.</w:t>
      </w:r>
    </w:p>
    <w:bookmarkEnd w:id="48"/>
    <w:bookmarkStart w:id="52" w:name="throughput-scalability"/>
    <w:p>
      <w:pPr>
        <w:pStyle w:val="Heading3"/>
      </w:pPr>
      <w:r>
        <w:t xml:space="preserve">6.4 Throughput Scalability</w:t>
      </w:r>
    </w:p>
    <w:p>
      <w:pPr>
        <w:pStyle w:val="FirstParagraph"/>
      </w:pPr>
      <w:r>
        <w:t xml:space="preserve">I measured the maximum sustainable throughput of the</w:t>
      </w:r>
      <w:r>
        <w:t xml:space="preserve"> </w:t>
      </w:r>
      <w:r>
        <w:rPr>
          <w:rStyle w:val="VerbatimChar"/>
        </w:rPr>
        <w:t xml:space="preserve">InlinePolicyEngine</w:t>
      </w:r>
      <w:r>
        <w:t xml:space="preserve"> </w:t>
      </w:r>
      <w:r>
        <w:t xml:space="preserve">under increasing load. Figure 5 demonstrates that the system maintains linear scalability up to 10,000 requests per second on a single node.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5: Throughput Scalability" title="" id="50" name="Picture"/>
            <a:graphic>
              <a:graphicData uri="http://schemas.openxmlformats.org/drawingml/2006/picture">
                <pic:pic>
                  <pic:nvPicPr>
                    <pic:cNvPr descr="figures/throughpu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Throughput Scalability</w:t>
      </w:r>
    </w:p>
    <w:p>
      <w:pPr>
        <w:pStyle w:val="BodyText"/>
      </w:pPr>
      <w:r>
        <w:t xml:space="preserve">The throughput ceiling is determined by CPU core count and memory bandwidth, not by any blocking operations in the policy evaluation path.</w:t>
      </w:r>
    </w:p>
    <w:bookmarkEnd w:id="52"/>
    <w:bookmarkStart w:id="56" w:name="merkle-tree-storage-growth"/>
    <w:p>
      <w:pPr>
        <w:pStyle w:val="Heading3"/>
      </w:pPr>
      <w:r>
        <w:t xml:space="preserve">6.5 Merkle Tree Storage Growth</w:t>
      </w:r>
    </w:p>
    <w:p>
      <w:pPr>
        <w:pStyle w:val="FirstParagraph"/>
      </w:pPr>
      <w:r>
        <w:t xml:space="preserve">A critical concern for long-running compliance systems is storage. Figure 6 shows the growth of the Merkle tree depth over time.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6: Merkle Tree Growth" title="" id="54" name="Picture"/>
            <a:graphic>
              <a:graphicData uri="http://schemas.openxmlformats.org/drawingml/2006/picture">
                <pic:pic>
                  <pic:nvPicPr>
                    <pic:cNvPr descr="figures/merkle_growth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Merkle Tree Growth</w:t>
      </w:r>
    </w:p>
    <w:p>
      <w:pPr>
        <w:pStyle w:val="BodyText"/>
      </w:pPr>
      <w:r>
        <w:t xml:space="preserve">Due to the logarithmic nature of Merkle Trees, even after processing 1 billion records, the tree depth remains manageable (~30 levels). This confirms the architecture’s suitability for long-term auditability.</w:t>
      </w:r>
    </w:p>
    <w:bookmarkEnd w:id="56"/>
    <w:bookmarkStart w:id="57" w:name="the-frontier-of-acceleration-gpu-vs-fpga"/>
    <w:p>
      <w:pPr>
        <w:pStyle w:val="Heading3"/>
      </w:pPr>
      <w:r>
        <w:t xml:space="preserve">6.6 The Frontier of Acceleration: GPU vs FPGA</w:t>
      </w:r>
    </w:p>
    <w:p>
      <w:pPr>
        <w:pStyle w:val="FirstParagraph"/>
      </w:pPr>
      <w:r>
        <w:t xml:space="preserve">While my reference implementation uses CPU-based proving, the future of runtime compliance lies in hardware acceleration. The bottleneck in Groth16 is the</w:t>
      </w:r>
      <w:r>
        <w:t xml:space="preserve"> </w:t>
      </w:r>
      <w:r>
        <w:rPr>
          <w:b/>
          <w:bCs/>
        </w:rPr>
        <w:t xml:space="preserve">Multi-Scalar Multiplication (MSM)</w:t>
      </w:r>
      <w:r>
        <w:t xml:space="preserve">, which is embarrassingly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GPU Acceleration:</w:t>
      </w:r>
      <w:r>
        <w:t xml:space="preserve"> </w:t>
      </w:r>
      <w:r>
        <w:t xml:space="preserve">Libraries like</w:t>
      </w:r>
      <w:r>
        <w:t xml:space="preserve"> </w:t>
      </w:r>
      <w:r>
        <w:rPr>
          <w:b/>
          <w:bCs/>
        </w:rPr>
        <w:t xml:space="preserve">ICICLE</w:t>
      </w:r>
      <w:r>
        <w:t xml:space="preserve"> </w:t>
      </w:r>
      <w:r>
        <w:t xml:space="preserve">(by Ingonyama) utilize CUDA cores to accelerate MSMs. Preliminary benchmarks on an NVIDIA RTX 4090 indicate a</w:t>
      </w:r>
      <w:r>
        <w:t xml:space="preserve"> </w:t>
      </w:r>
      <w:r>
        <w:rPr>
          <w:b/>
          <w:bCs/>
        </w:rPr>
        <w:t xml:space="preserve">5-10x speedup</w:t>
      </w:r>
      <w:r>
        <w:t xml:space="preserve">, potentially reducing the batch proving time from ~1400ms to &lt;200ms.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FPGA Acceleration:</w:t>
      </w:r>
      <w:r>
        <w:t xml:space="preserve"> </w:t>
      </w:r>
      <w:r>
        <w:t xml:space="preserve">Field-Programmable Gate Arrays offer better energy efficiency (Joules/Proof). For high-scale datacenters processing millions of tokens per second, custom FPGA logic for the Elliptic Curve operations will likely be necessary to keep power budgets neutral.</w:t>
      </w:r>
      <w:r>
        <w:t xml:space="preserve"> </w:t>
      </w:r>
      <w:r>
        <w:t xml:space="preserve">RuntimeGuard-AI is designed to be</w:t>
      </w:r>
      <w:r>
        <w:t xml:space="preserve"> </w:t>
      </w:r>
      <w:r>
        <w:t xml:space="preserve">“Hardware Agnostic”</w:t>
      </w:r>
      <w:r>
        <w:t xml:space="preserve">—the</w:t>
      </w:r>
      <w:r>
        <w:t xml:space="preserve"> </w:t>
      </w:r>
      <w:r>
        <w:rPr>
          <w:rStyle w:val="VerbatimChar"/>
        </w:rPr>
        <w:t xml:space="preserve">BatchAttestor</w:t>
      </w:r>
      <w:r>
        <w:t xml:space="preserve"> </w:t>
      </w:r>
      <w:r>
        <w:t xml:space="preserve">can be swapped for a GPU-accelerated version without changing the core protocol or the Inline Policy Engine.</w:t>
      </w:r>
    </w:p>
    <w:bookmarkEnd w:id="57"/>
    <w:bookmarkStart w:id="61" w:name="X20f20f7e1780bec79fcd77fcfe602bd5085f27c"/>
    <w:p>
      <w:pPr>
        <w:pStyle w:val="Heading3"/>
      </w:pPr>
      <w:r>
        <w:t xml:space="preserve">6.7 Systematic Comparison: Beyond</w:t>
      </w:r>
      <w:r>
        <w:t xml:space="preserve"> </w:t>
      </w:r>
      <w:r>
        <w:t xml:space="preserve">“Observability”</w:t>
      </w:r>
    </w:p>
    <w:p>
      <w:pPr>
        <w:pStyle w:val="FirstParagraph"/>
      </w:pPr>
      <w:r>
        <w:t xml:space="preserve">How does RuntimeGuard-AI compare to the existing ecosystem of AI tools? I contrast it with three dominant paradigms.</w:t>
      </w:r>
    </w:p>
    <w:bookmarkStart w:id="58" w:name="vs.-datadog-splunk-observability"/>
    <w:p>
      <w:pPr>
        <w:pStyle w:val="Heading4"/>
      </w:pPr>
      <w:r>
        <w:t xml:space="preserve">6.7.1 vs. Datadog / Splunk (Observability)</w:t>
      </w:r>
    </w:p>
    <w:p>
      <w:pPr>
        <w:pStyle w:val="FirstParagraph"/>
      </w:pPr>
      <w:r>
        <w:t xml:space="preserve">Traditional observability tools are optimized for</w:t>
      </w:r>
      <w:r>
        <w:t xml:space="preserve"> </w:t>
      </w:r>
      <w:r>
        <w:rPr>
          <w:b/>
          <w:bCs/>
        </w:rPr>
        <w:t xml:space="preserve">availability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debugging</w:t>
      </w:r>
      <w:r>
        <w:t xml:space="preserve">. They ingest logs via UDP or non-blocking TCP.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Gap:</w:t>
      </w:r>
      <w:r>
        <w:t xml:space="preserve"> </w:t>
      </w:r>
      <w:r>
        <w:t xml:space="preserve">They are</w:t>
      </w:r>
      <w:r>
        <w:t xml:space="preserve"> </w:t>
      </w:r>
      <w:r>
        <w:rPr>
          <w:i/>
          <w:iCs/>
        </w:rPr>
        <w:t xml:space="preserve">lossy</w:t>
      </w:r>
      <w:r>
        <w:t xml:space="preserve"> </w:t>
      </w:r>
      <w:r>
        <w:t xml:space="preserve">by design (sampling logs under load) and</w:t>
      </w:r>
      <w:r>
        <w:t xml:space="preserve"> </w:t>
      </w:r>
      <w:r>
        <w:rPr>
          <w:i/>
          <w:iCs/>
        </w:rPr>
        <w:t xml:space="preserve">mutable</w:t>
      </w:r>
      <w:r>
        <w:t xml:space="preserve"> </w:t>
      </w:r>
      <w:r>
        <w:t xml:space="preserve">(logs are deleted after retention periods).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RuntimeGuard Difference:</w:t>
      </w:r>
      <w:r>
        <w:t xml:space="preserve"> </w:t>
      </w:r>
      <w:r>
        <w:t xml:space="preserve">RuntimeGuard provides</w:t>
      </w:r>
      <w:r>
        <w:t xml:space="preserve"> </w:t>
      </w:r>
      <w:r>
        <w:rPr>
          <w:b/>
          <w:bCs/>
        </w:rPr>
        <w:t xml:space="preserve">Cryptographic Finality</w:t>
      </w:r>
      <w:r>
        <w:t xml:space="preserve">. A dropped log is not just a missing metric; it is a proof verification failure.</w:t>
      </w:r>
    </w:p>
    <w:bookmarkEnd w:id="58"/>
    <w:bookmarkStart w:id="59" w:name="Xcd5a01b85877df4eb8987f91f60e06329112250"/>
    <w:p>
      <w:pPr>
        <w:pStyle w:val="Heading4"/>
      </w:pPr>
      <w:r>
        <w:t xml:space="preserve">6.7.2 vs. LangChain / Guardrails AI (Orchestration)</w:t>
      </w:r>
    </w:p>
    <w:p>
      <w:pPr>
        <w:pStyle w:val="FirstParagraph"/>
      </w:pPr>
      <w:r>
        <w:t xml:space="preserve">Libraries like Guardrails AI provide excellent input validation (</w:t>
      </w:r>
      <w:r>
        <w:t xml:space="preserve">“validators”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Gap:</w:t>
      </w:r>
      <w:r>
        <w:t xml:space="preserve"> </w:t>
      </w:r>
      <w:r>
        <w:t xml:space="preserve">These run purely in the application memory. A developer can verify the guardrail locally, but cannot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to a third-party regulator that the guardrail ran 6 months ago on a specific request.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RuntimeGuard Difference:</w:t>
      </w:r>
      <w:r>
        <w:t xml:space="preserve"> </w:t>
      </w:r>
      <w:r>
        <w:t xml:space="preserve">RuntimeGuard wraps these validators in a</w:t>
      </w:r>
      <w:r>
        <w:t xml:space="preserve"> </w:t>
      </w:r>
      <w:r>
        <w:rPr>
          <w:b/>
          <w:bCs/>
        </w:rPr>
        <w:t xml:space="preserve">Commitment Scheme</w:t>
      </w:r>
      <w:r>
        <w:t xml:space="preserve">. I take the boolean result of the Guardrails check and anchor it in a Merkle Tree.</w:t>
      </w:r>
    </w:p>
    <w:bookmarkEnd w:id="59"/>
    <w:bookmarkStart w:id="60" w:name="vs.-full-tees-confidential-computing"/>
    <w:p>
      <w:pPr>
        <w:pStyle w:val="Heading4"/>
      </w:pPr>
      <w:r>
        <w:t xml:space="preserve">6.7.3 vs. Full TEEs (Confidential Computing)</w:t>
      </w:r>
    </w:p>
    <w:p>
      <w:pPr>
        <w:pStyle w:val="FirstParagraph"/>
      </w:pPr>
      <w:r>
        <w:t xml:space="preserve">Running the entire model in an SGX enclave (e.g., Anjuna, Fortanix) offers the highest security.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Gap:</w:t>
      </w:r>
      <w:r>
        <w:t xml:space="preserve"> </w:t>
      </w:r>
      <w:r>
        <w:t xml:space="preserve">The performance penalty of TEEs (memory encryption overhead, limited EPC) makes them prohibitively expensive for large LLMs (70B+ parameters).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RuntimeGuard Difference:</w:t>
      </w:r>
      <w:r>
        <w:t xml:space="preserve"> </w:t>
      </w:r>
      <w:r>
        <w:t xml:space="preserve">I apply the</w:t>
      </w:r>
      <w:r>
        <w:t xml:space="preserve"> </w:t>
      </w:r>
      <w:r>
        <w:t xml:space="preserve">“Hybrid”</w:t>
      </w:r>
      <w:r>
        <w:t xml:space="preserve"> </w:t>
      </w:r>
      <w:r>
        <w:t xml:space="preserve">approach: Keep the heavy model on standard GPUs, but put the lightweight</w:t>
      </w:r>
      <w:r>
        <w:t xml:space="preserve"> </w:t>
      </w:r>
      <w:r>
        <w:rPr>
          <w:i/>
          <w:iCs/>
        </w:rPr>
        <w:t xml:space="preserve">Policy Engine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Attestor</w:t>
      </w:r>
      <w:r>
        <w:t xml:space="preserve"> </w:t>
      </w:r>
      <w:r>
        <w:t xml:space="preserve">into TEEs (future work). This gives us TEE-grade integrity for the</w:t>
      </w:r>
      <w:r>
        <w:t xml:space="preserve"> </w:t>
      </w:r>
      <w:r>
        <w:rPr>
          <w:i/>
          <w:iCs/>
        </w:rPr>
        <w:t xml:space="preserve">audit trail</w:t>
      </w:r>
      <w:r>
        <w:t xml:space="preserve"> </w:t>
      </w:r>
      <w:r>
        <w:t xml:space="preserve">without the TEE performance tax on the</w:t>
      </w:r>
      <w:r>
        <w:t xml:space="preserve"> </w:t>
      </w:r>
      <w:r>
        <w:rPr>
          <w:i/>
          <w:iCs/>
        </w:rPr>
        <w:t xml:space="preserve">inference</w:t>
      </w:r>
      <w:r>
        <w:t xml:space="preserve">.</w:t>
      </w:r>
    </w:p>
    <w:bookmarkEnd w:id="60"/>
    <w:bookmarkEnd w:id="61"/>
    <w:bookmarkStart w:id="62" w:name="cost-analysis-the-compliance-tax"/>
    <w:p>
      <w:pPr>
        <w:pStyle w:val="Heading3"/>
      </w:pPr>
      <w:r>
        <w:t xml:space="preserve">6.8 Cost Analysis: The</w:t>
      </w:r>
      <w:r>
        <w:t xml:space="preserve"> </w:t>
      </w:r>
      <w:r>
        <w:t xml:space="preserve">“Compliance Tax”</w:t>
      </w:r>
    </w:p>
    <w:p>
      <w:pPr>
        <w:pStyle w:val="FirstParagraph"/>
      </w:pPr>
      <w:r>
        <w:t xml:space="preserve">Regulatory compliance inevitably adds cost. I estimate the</w:t>
      </w:r>
      <w:r>
        <w:t xml:space="preserve"> </w:t>
      </w:r>
      <w:r>
        <w:t xml:space="preserve">“Compliance Tax”</w:t>
      </w:r>
      <w:r>
        <w:t xml:space="preserve"> </w:t>
      </w:r>
      <w:r>
        <w:t xml:space="preserve">per 1,000 tokens.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Cost:</w:t>
      </w:r>
      <w:r>
        <w:t xml:space="preserve"> </w:t>
      </w:r>
      <w:r>
        <w:t xml:space="preserve">On AWS Lambda (for the Policy Engine), 1ms of execution costs negligible amounts.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Proving Cost:</w:t>
      </w:r>
      <w:r>
        <w:t xml:space="preserve"> </w:t>
      </w:r>
      <w:r>
        <w:t xml:space="preserve">Calculating a Groth16 proof requires ~1.4 CPU-seconds.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Batching Savings:</w:t>
      </w:r>
      <w:r>
        <w:t xml:space="preserve"> </w:t>
      </w:r>
      <w:r>
        <w:t xml:space="preserve">By batching 100 requests into a single Merkle Tree and proving the Root, I amortize the proof cost.</w:t>
      </w:r>
      <w:r>
        <w:t xml:space="preserve"> </w:t>
      </w:r>
      <w:r>
        <w:t xml:space="preserve">- Cost per proof: $0.00005 (EC2 spot).</w:t>
      </w:r>
      <w:r>
        <w:t xml:space="preserve"> </w:t>
      </w:r>
      <w:r>
        <w:t xml:space="preserve">- Batch size: 100.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 per Request:</w:t>
      </w:r>
      <w:r>
        <w:t xml:space="preserve"> </w:t>
      </w:r>
      <w:r>
        <w:t xml:space="preserve">$0.0000005.</w:t>
      </w:r>
      <w:r>
        <w:t xml:space="preserve"> </w:t>
      </w:r>
      <w:r>
        <w:t xml:space="preserve">This represents a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  <m:r>
          <m:rPr>
            <m:sty m:val="p"/>
          </m:rPr>
          <m:t>%</m:t>
        </m:r>
      </m:oMath>
      <w:r>
        <w:t xml:space="preserve"> </w:t>
      </w:r>
      <w:r>
        <w:t xml:space="preserve">cost increase for typical GPT-4 API calls, making it economically viable even for startups.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1" w:name="case-study-high-risk-recruitment-ai"/>
    <w:p>
      <w:pPr>
        <w:pStyle w:val="Heading2"/>
      </w:pPr>
      <w:r>
        <w:t xml:space="preserve">7. Case Study: High-Risk Recruitment AI</w:t>
      </w:r>
    </w:p>
    <w:p>
      <w:pPr>
        <w:pStyle w:val="FirstParagraph"/>
      </w:pPr>
      <w:r>
        <w:t xml:space="preserve">To demonstrate the practical application of RuntimeGuard-AI, I present a hypothetical deployment scenario for a</w:t>
      </w:r>
      <w:r>
        <w:t xml:space="preserve"> </w:t>
      </w:r>
      <w:r>
        <w:rPr>
          <w:b/>
          <w:bCs/>
        </w:rPr>
        <w:t xml:space="preserve">Recruitment AI</w:t>
      </w:r>
      <w:r>
        <w:t xml:space="preserve">, classified as</w:t>
      </w:r>
      <w:r>
        <w:t xml:space="preserve"> </w:t>
      </w:r>
      <w:r>
        <w:t xml:space="preserve">“High Risk”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Annex III</w:t>
      </w:r>
      <w:r>
        <w:t xml:space="preserve"> </w:t>
      </w:r>
      <w:r>
        <w:t xml:space="preserve">of the EU AI Act.</w:t>
      </w:r>
    </w:p>
    <w:bookmarkStart w:id="64" w:name="scenario-definition"/>
    <w:p>
      <w:pPr>
        <w:pStyle w:val="Heading3"/>
      </w:pPr>
      <w:r>
        <w:t xml:space="preserve">7.1 Scenario Definition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System:</w:t>
      </w:r>
      <w:r>
        <w:t xml:space="preserve"> </w:t>
      </w:r>
      <w:r>
        <w:rPr>
          <w:rStyle w:val="VerbatimChar"/>
        </w:rPr>
        <w:t xml:space="preserve">ResumeScreener-v1</w:t>
      </w:r>
      <w:r>
        <w:t xml:space="preserve">, an LLM processing job applications.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Regulatory Requirement:</w:t>
      </w:r>
      <w:r>
        <w:t xml:space="preserve"> </w:t>
      </w:r>
      <w:r>
        <w:t xml:space="preserve">Under Article 14, the provider must log every decision to allow for human review of potential bias.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10,000 resumes per hour.</w:t>
      </w:r>
    </w:p>
    <w:bookmarkEnd w:id="64"/>
    <w:bookmarkStart w:id="65" w:name="integration-steps"/>
    <w:p>
      <w:pPr>
        <w:pStyle w:val="Heading3"/>
      </w:pPr>
      <w:r>
        <w:t xml:space="preserve">7.2 Integration Steps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Policy Definition:</w:t>
      </w:r>
      <w:r>
        <w:t xml:space="preserve"> </w:t>
      </w:r>
      <w:r>
        <w:t xml:space="preserve">The operator defines a policy:</w:t>
      </w:r>
      <w:r>
        <w:t xml:space="preserve"> </w:t>
      </w:r>
      <w:r>
        <w:t xml:space="preserve">“Reject if PII score &gt; 0.9”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Instrumentation:</w:t>
      </w:r>
      <w:r>
        <w:t xml:space="preserve"> </w:t>
      </w:r>
      <w:r>
        <w:t xml:space="preserve">The dev team wraps their</w:t>
      </w:r>
      <w:r>
        <w:t xml:space="preserve"> </w:t>
      </w:r>
      <w:r>
        <w:rPr>
          <w:rStyle w:val="VerbatimChar"/>
        </w:rPr>
        <w:t xml:space="preserve">process_resume()</w:t>
      </w:r>
      <w:r>
        <w:t xml:space="preserve"> </w:t>
      </w:r>
      <w:r>
        <w:t xml:space="preserve">function with</w:t>
      </w:r>
      <w:r>
        <w:t xml:space="preserve"> </w:t>
      </w:r>
      <w:r>
        <w:rPr>
          <w:rStyle w:val="VerbatimChar"/>
        </w:rPr>
        <w:t xml:space="preserve">runtime_guard.enforce()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The system is deployed to Kubernetes. The</w:t>
      </w:r>
      <w:r>
        <w:t xml:space="preserve"> </w:t>
      </w:r>
      <w:r>
        <w:rPr>
          <w:rStyle w:val="VerbatimChar"/>
        </w:rPr>
        <w:t xml:space="preserve">Attestor</w:t>
      </w:r>
      <w:r>
        <w:t xml:space="preserve"> </w:t>
      </w:r>
      <w:r>
        <w:t xml:space="preserve">sidecar is enabled.</w:t>
      </w:r>
    </w:p>
    <w:bookmarkEnd w:id="65"/>
    <w:bookmarkStart w:id="69" w:name="the-lifecycle-of-candidate-a"/>
    <w:p>
      <w:pPr>
        <w:pStyle w:val="Heading3"/>
      </w:pPr>
      <w:r>
        <w:t xml:space="preserve">7.3 The Lifecycle of</w:t>
      </w:r>
      <w:r>
        <w:t xml:space="preserve"> </w:t>
      </w:r>
      <w:r>
        <w:t xml:space="preserve">“Candidate A”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T+0ms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ResumeScreener</w:t>
      </w:r>
      <w:r>
        <w:t xml:space="preserve"> </w:t>
      </w:r>
      <w:r>
        <w:t xml:space="preserve">acts on Candidate A’s PDF.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T+5ms</w:t>
      </w:r>
      <w:r>
        <w:t xml:space="preserve">:</w:t>
      </w:r>
      <w:r>
        <w:t xml:space="preserve"> </w:t>
      </w:r>
      <w:r>
        <w:rPr>
          <w:rStyle w:val="VerbatimChar"/>
        </w:rPr>
        <w:t xml:space="preserve">InlineEngine</w:t>
      </w:r>
      <w:r>
        <w:t xml:space="preserve"> </w:t>
      </w:r>
      <w:r>
        <w:t xml:space="preserve">calculates the policy. Result: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T+6ms</w:t>
      </w:r>
      <w:r>
        <w:t xml:space="preserve">: Decision is logged to disk. Applicant gets a</w:t>
      </w:r>
      <w:r>
        <w:t xml:space="preserve"> </w:t>
      </w:r>
      <w:r>
        <w:t xml:space="preserve">“Received”</w:t>
      </w:r>
      <w:r>
        <w:t xml:space="preserve"> </w:t>
      </w:r>
      <w:r>
        <w:t xml:space="preserve">email.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T+60s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Attestor</w:t>
      </w:r>
      <w:r>
        <w:t xml:space="preserve"> </w:t>
      </w:r>
      <w:r>
        <w:t xml:space="preserve">wakes up. It reads the log batch containing Candidate 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T+62s</w:t>
      </w:r>
      <w:r>
        <w:t xml:space="preserve">: A Groth16 proof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generated, sealing the batch.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T+63s</w:t>
      </w:r>
      <w:r>
        <w:t xml:space="preserve">: The proof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Merkle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published to a public transparency log.</w:t>
      </w:r>
    </w:p>
    <w:p>
      <w:pPr>
        <w:pStyle w:val="FirstParagraph"/>
      </w:pPr>
      <w:r>
        <w:t xml:space="preserve">Figure 7 visualizes this end-to-end compliance flow, highlighting the asynchronous separation between user-facing latency and cryptographic attestation.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Figure 7: Article 14 Compliance Flow" title="" id="67" name="Picture"/>
            <a:graphic>
              <a:graphicData uri="http://schemas.openxmlformats.org/drawingml/2006/picture">
                <pic:pic>
                  <pic:nvPicPr>
                    <pic:cNvPr descr="figures/compliance_flow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Article 14 Compliance Flow</w:t>
      </w:r>
    </w:p>
    <w:bookmarkEnd w:id="69"/>
    <w:bookmarkStart w:id="70" w:name="the-audit"/>
    <w:p>
      <w:pPr>
        <w:pStyle w:val="Heading3"/>
      </w:pPr>
      <w:r>
        <w:t xml:space="preserve">7.4 The Audit</w:t>
      </w:r>
    </w:p>
    <w:p>
      <w:pPr>
        <w:pStyle w:val="FirstParagraph"/>
      </w:pPr>
      <w:r>
        <w:t xml:space="preserve">Six months later, an auditor investigates a bias complaint.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t xml:space="preserve">“Show me the decision for Candidate A.”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Verification:</w:t>
      </w:r>
      <w:r>
        <w:t xml:space="preserve"> </w:t>
      </w:r>
      <w:r>
        <w:t xml:space="preserve">The company provides the specific log entry and the Merkle Inclusion Proof.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Validation:</w:t>
      </w:r>
      <w:r>
        <w:t xml:space="preserve"> </w:t>
      </w:r>
      <w:r>
        <w:t xml:space="preserve">The auditor re-runs the ZK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function against the published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Result:</w:t>
      </w:r>
      <w:r>
        <w:t xml:space="preserve"> </w:t>
      </w:r>
      <w:r>
        <w:t xml:space="preserve">The math proves that</w:t>
      </w:r>
      <w:r>
        <w:t xml:space="preserve"> </w:t>
      </w:r>
      <w:r>
        <w:rPr>
          <w:i/>
          <w:iCs/>
        </w:rPr>
        <w:t xml:space="preserve">this specific document</w:t>
      </w:r>
      <w:r>
        <w:t xml:space="preserve"> </w:t>
      </w:r>
      <w:r>
        <w:t xml:space="preserve">was processed at</w:t>
      </w:r>
      <w:r>
        <w:t xml:space="preserve"> </w:t>
      </w:r>
      <w:r>
        <w:rPr>
          <w:i/>
          <w:iCs/>
        </w:rPr>
        <w:t xml:space="preserve">that specific time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that specific policy version</w:t>
      </w:r>
      <w:r>
        <w:t xml:space="preserve">, and the log has not been altered since.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operational-best-practices"/>
    <w:p>
      <w:pPr>
        <w:pStyle w:val="Heading2"/>
      </w:pPr>
      <w:r>
        <w:t xml:space="preserve">8. Operational Best Practices</w:t>
      </w:r>
    </w:p>
    <w:p>
      <w:pPr>
        <w:pStyle w:val="FirstParagraph"/>
      </w:pPr>
      <w:r>
        <w:t xml:space="preserve">Based on my development experience, I offer the following guidelines for operationalizing RuntimeGuard-AI.</w:t>
      </w:r>
    </w:p>
    <w:bookmarkStart w:id="72" w:name="tip-1-tune-your-batch-size"/>
    <w:p>
      <w:pPr>
        <w:pStyle w:val="Heading3"/>
      </w:pPr>
      <w:r>
        <w:t xml:space="preserve">8.1</w:t>
      </w:r>
      <w:r>
        <w:t xml:space="preserve"> </w:t>
      </w:r>
      <w:r>
        <w:t xml:space="preserve">“Tip 1: Tune Your Batch Size”</w:t>
      </w:r>
    </w:p>
    <w:p>
      <w:pPr>
        <w:pStyle w:val="FirstParagraph"/>
      </w:pPr>
      <w:r>
        <w:t xml:space="preserve">The batch size (</w:t>
      </w:r>
      <m:oMath>
        <m:r>
          <m:rPr>
            <m:sty m:val="p"/>
          </m:rPr>
          <m:t>Δ</m:t>
        </m:r>
      </m:oMath>
      <w:r>
        <w:t xml:space="preserve">) determines the tradeoff between</w:t>
      </w:r>
      <w:r>
        <w:t xml:space="preserve"> </w:t>
      </w:r>
      <w:r>
        <w:t xml:space="preserve">“Time to Finality”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“Cost”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Low Latency (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  <m:r>
          <m:t>s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Proofs are ready instantly, but CPU cost is high (1 proof per second).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Efficiency (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  <m:r>
          <m:t>h</m:t>
        </m:r>
        <m:r>
          <m:t>r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Extremely cheap, but incidents are sealed slowly.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Start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60</m:t>
        </m:r>
        <m:r>
          <m:t>s</m:t>
        </m:r>
      </m:oMath>
      <w:r>
        <w:t xml:space="preserve">.</w:t>
      </w:r>
    </w:p>
    <w:bookmarkEnd w:id="72"/>
    <w:bookmarkStart w:id="73" w:name="tip-2-monitor-the-fallback-buffer"/>
    <w:p>
      <w:pPr>
        <w:pStyle w:val="Heading3"/>
      </w:pPr>
      <w:r>
        <w:t xml:space="preserve">8.2</w:t>
      </w:r>
      <w:r>
        <w:t xml:space="preserve"> </w:t>
      </w:r>
      <w:r>
        <w:t xml:space="preserve">“Tip 2: Monitor the Fallback Buffer”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disk_fallback</w:t>
      </w:r>
      <w:r>
        <w:t xml:space="preserve"> </w:t>
      </w:r>
      <w:r>
        <w:t xml:space="preserve">path is a safety valve. If your monitoring shows frequent writes to disk, your memory queue is too small for your traffic spikes. Increase</w:t>
      </w:r>
      <w:r>
        <w:t xml:space="preserve"> </w:t>
      </w:r>
      <w:r>
        <w:rPr>
          <w:rStyle w:val="VerbatimChar"/>
        </w:rPr>
        <w:t xml:space="preserve">queue_size</w:t>
      </w:r>
      <w:r>
        <w:t xml:space="preserve"> </w:t>
      </w:r>
      <w:r>
        <w:t xml:space="preserve">to prevent IO thrashing.</w:t>
      </w:r>
    </w:p>
    <w:bookmarkEnd w:id="73"/>
    <w:bookmarkStart w:id="74" w:name="tip-3-key-management-is-critical"/>
    <w:p>
      <w:pPr>
        <w:pStyle w:val="Heading3"/>
      </w:pPr>
      <w:r>
        <w:t xml:space="preserve">8.3</w:t>
      </w:r>
      <w:r>
        <w:t xml:space="preserve"> </w:t>
      </w:r>
      <w:r>
        <w:t xml:space="preserve">“Tip 3: Key Management is Critical”</w:t>
      </w:r>
    </w:p>
    <w:p>
      <w:pPr>
        <w:pStyle w:val="FirstParagraph"/>
      </w:pPr>
      <w:r>
        <w:t xml:space="preserve">The ZK Proving Key is a</w:t>
      </w:r>
      <w:r>
        <w:t xml:space="preserve"> </w:t>
      </w:r>
      <w:r>
        <w:t xml:space="preserve">“toxic waste”</w:t>
      </w:r>
      <w:r>
        <w:t xml:space="preserve"> </w:t>
      </w:r>
      <w:r>
        <w:t xml:space="preserve">artifact (for Groth16). If leaked, an attacker can forge proofs.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Use a Trusted Execution Environment (TEE) or HashiCorp Vault to store the signing keys, and perform the</w:t>
      </w:r>
      <w:r>
        <w:t xml:space="preserve"> </w:t>
      </w:r>
      <w:r>
        <w:t xml:space="preserve">“Trusted Setup”</w:t>
      </w:r>
      <w:r>
        <w:t xml:space="preserve"> </w:t>
      </w:r>
      <w:r>
        <w:t xml:space="preserve">ceremony with extreme care.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discussion-and-broader-implications"/>
    <w:p>
      <w:pPr>
        <w:pStyle w:val="Heading2"/>
      </w:pPr>
      <w:r>
        <w:t xml:space="preserve">9. Discussion and Broader Implications</w:t>
      </w:r>
    </w:p>
    <w:bookmarkStart w:id="76" w:name="from-trust-me-to-verify-me"/>
    <w:p>
      <w:pPr>
        <w:pStyle w:val="Heading3"/>
      </w:pPr>
      <w:r>
        <w:t xml:space="preserve">9.1 From</w:t>
      </w:r>
      <w:r>
        <w:t xml:space="preserve"> </w:t>
      </w:r>
      <w:r>
        <w:t xml:space="preserve">“Trust Me”</w:t>
      </w:r>
      <w:r>
        <w:t xml:space="preserve"> </w:t>
      </w:r>
      <w:r>
        <w:t xml:space="preserve">to</w:t>
      </w:r>
      <w:r>
        <w:t xml:space="preserve"> </w:t>
      </w:r>
      <w:r>
        <w:t xml:space="preserve">“Verify Me”</w:t>
      </w:r>
    </w:p>
    <w:p>
      <w:pPr>
        <w:pStyle w:val="FirstParagraph"/>
      </w:pPr>
      <w:r>
        <w:t xml:space="preserve">Society is moving from a paradigm of</w:t>
      </w:r>
      <w:r>
        <w:t xml:space="preserve"> </w:t>
      </w:r>
      <w:r>
        <w:rPr>
          <w:i/>
          <w:iCs/>
        </w:rPr>
        <w:t xml:space="preserve">Institutional Trust</w:t>
      </w:r>
      <w:r>
        <w:t xml:space="preserve"> </w:t>
      </w:r>
      <w:r>
        <w:t xml:space="preserve">(trusting OpenAI because they are a big company) to</w:t>
      </w:r>
      <w:r>
        <w:t xml:space="preserve"> </w:t>
      </w:r>
      <w:r>
        <w:rPr>
          <w:i/>
          <w:iCs/>
        </w:rPr>
        <w:t xml:space="preserve">Cryptographic Trust</w:t>
      </w:r>
      <w:r>
        <w:t xml:space="preserve"> </w:t>
      </w:r>
      <w:r>
        <w:t xml:space="preserve">(trusting the math). RuntimeGuard-AI accelerates this transition. By making compliance mathematically provable, the burden on regulators is reduced and public confidence is increased.</w:t>
      </w:r>
      <w:r>
        <w:t xml:space="preserve"> </w:t>
      </w:r>
      <w:r>
        <w:t xml:space="preserve">This shift has profound economic implications. Currently, the</w:t>
      </w:r>
      <w:r>
        <w:t xml:space="preserve"> </w:t>
      </w:r>
      <w:r>
        <w:t xml:space="preserve">“Cost of Verification”</w:t>
      </w:r>
      <w:r>
        <w:t xml:space="preserve"> </w:t>
      </w:r>
      <w:r>
        <w:t xml:space="preserve">is high—regulators must hire expensive human auditors to interview engineering teams and review code that might not even be running in production. RuntimeGuard-AI drives the marginal cost of verification toward zero. When verification is cheap, it becomes ubiquitous. I foresee a future where</w:t>
      </w:r>
      <w:r>
        <w:t xml:space="preserve"> </w:t>
      </w:r>
      <w:r>
        <w:t xml:space="preserve">“Verified Inference”</w:t>
      </w:r>
      <w:r>
        <w:t xml:space="preserve"> </w:t>
      </w:r>
      <w:r>
        <w:t xml:space="preserve">is the standard, much like</w:t>
      </w:r>
      <w:r>
        <w:t xml:space="preserve"> </w:t>
      </w:r>
      <w:r>
        <w:t xml:space="preserve">“HTTPS”</w:t>
      </w:r>
      <w:r>
        <w:t xml:space="preserve"> </w:t>
      </w:r>
      <w:r>
        <w:t xml:space="preserve">is the standard for web traffic.</w:t>
      </w:r>
    </w:p>
    <w:bookmarkEnd w:id="76"/>
    <w:bookmarkStart w:id="77" w:name="X1bcce973b1586decdaa1f67a6849424594707cc"/>
    <w:p>
      <w:pPr>
        <w:pStyle w:val="Heading3"/>
      </w:pPr>
      <w:r>
        <w:t xml:space="preserve">9.2 The Paradox of Automation and Human Oversight</w:t>
      </w:r>
    </w:p>
    <w:p>
      <w:pPr>
        <w:pStyle w:val="FirstParagraph"/>
      </w:pPr>
      <w:r>
        <w:t xml:space="preserve">Psychological research (e.g., Bainbridge, 1983) suggests the</w:t>
      </w:r>
      <w:r>
        <w:t xml:space="preserve"> </w:t>
      </w:r>
      <w:r>
        <w:t xml:space="preserve">“Paradox of Automation”</w:t>
      </w:r>
      <w:r>
        <w:t xml:space="preserve">: the more reliable the system, the less effective the human overseer becomes due to complacency.</w:t>
      </w:r>
      <w:r>
        <w:t xml:space="preserve"> </w:t>
      </w:r>
      <w:r>
        <w:t xml:space="preserve">Article 14’s requirement for</w:t>
      </w:r>
      <w:r>
        <w:t xml:space="preserve"> </w:t>
      </w:r>
      <w:r>
        <w:t xml:space="preserve">“effective oversight”</w:t>
      </w:r>
      <w:r>
        <w:t xml:space="preserve"> </w:t>
      </w:r>
      <w:r>
        <w:t xml:space="preserve">struggles against this human reality. RuntimeGuard-AI contributes to the solution by creating</w:t>
      </w:r>
      <w:r>
        <w:t xml:space="preserve"> </w:t>
      </w:r>
      <w:r>
        <w:rPr>
          <w:b/>
          <w:bCs/>
        </w:rPr>
        <w:t xml:space="preserve">Accountability Interfaces</w:t>
      </w:r>
      <w:r>
        <w:t xml:space="preserve">.</w:t>
      </w:r>
      <w:r>
        <w:t xml:space="preserve"> </w:t>
      </w:r>
      <w:r>
        <w:t xml:space="preserve">If a human overseer</w:t>
      </w:r>
      <w:r>
        <w:t xml:space="preserve"> </w:t>
      </w:r>
      <w:r>
        <w:rPr>
          <w:i/>
          <w:iCs/>
        </w:rPr>
        <w:t xml:space="preserve">knows</w:t>
      </w:r>
      <w:r>
        <w:t xml:space="preserve"> </w:t>
      </w:r>
      <w:r>
        <w:t xml:space="preserve">that their decision to</w:t>
      </w:r>
      <w:r>
        <w:t xml:space="preserve"> </w:t>
      </w:r>
      <w:r>
        <w:t xml:space="preserve">“Override”</w:t>
      </w:r>
      <w:r>
        <w:t xml:space="preserve"> </w:t>
      </w:r>
      <w:r>
        <w:t xml:space="preserve">or</w:t>
      </w:r>
      <w:r>
        <w:t xml:space="preserve"> </w:t>
      </w:r>
      <w:r>
        <w:t xml:space="preserve">“Approve”</w:t>
      </w:r>
      <w:r>
        <w:t xml:space="preserve"> </w:t>
      </w:r>
      <w:r>
        <w:t xml:space="preserve">is being cryptographically signed and logged in a permanent, tamper-evident Merkle Tree, the psychological weight of the decision increases. The system prevents the</w:t>
      </w:r>
      <w:r>
        <w:t xml:space="preserve"> </w:t>
      </w:r>
      <w:r>
        <w:t xml:space="preserve">“Banality of Evil”</w:t>
      </w:r>
      <w:r>
        <w:t xml:space="preserve">—or simply the</w:t>
      </w:r>
      <w:r>
        <w:t xml:space="preserve"> </w:t>
      </w:r>
      <w:r>
        <w:t xml:space="preserve">“Banality of Boredom”</w:t>
      </w:r>
      <w:r>
        <w:t xml:space="preserve">—by making every oversight action a distinct, non-repudiable event.</w:t>
      </w:r>
    </w:p>
    <w:bookmarkEnd w:id="77"/>
    <w:bookmarkStart w:id="78" w:name="the-oracle-problem-limitation"/>
    <w:p>
      <w:pPr>
        <w:pStyle w:val="Heading3"/>
      </w:pPr>
      <w:r>
        <w:t xml:space="preserve">9.3 The</w:t>
      </w:r>
      <w:r>
        <w:t xml:space="preserve"> </w:t>
      </w:r>
      <w:r>
        <w:t xml:space="preserve">“Oracle Problem”</w:t>
      </w:r>
      <w:r>
        <w:t xml:space="preserve"> </w:t>
      </w:r>
      <w:r>
        <w:t xml:space="preserve">Limitation</w:t>
      </w:r>
    </w:p>
    <w:p>
      <w:pPr>
        <w:pStyle w:val="FirstParagraph"/>
      </w:pPr>
      <w:r>
        <w:t xml:space="preserve">RuntimeGuard-AI proves that a policy was</w:t>
      </w:r>
      <w:r>
        <w:t xml:space="preserve"> </w:t>
      </w:r>
      <w:r>
        <w:rPr>
          <w:i/>
          <w:iCs/>
        </w:rPr>
        <w:t xml:space="preserve">executed</w:t>
      </w:r>
      <w:r>
        <w:t xml:space="preserve">. It does not prove that the policy was</w:t>
      </w:r>
      <w:r>
        <w:t xml:space="preserve"> </w:t>
      </w:r>
      <w:r>
        <w:rPr>
          <w:i/>
          <w:iCs/>
        </w:rPr>
        <w:t xml:space="preserve">good</w:t>
      </w:r>
      <w:r>
        <w:t xml:space="preserve">. If natural language policy contains a loophole (e.g.,</w:t>
      </w:r>
      <w:r>
        <w:t xml:space="preserve"> </w:t>
      </w:r>
      <w:r>
        <w:t xml:space="preserve">“Allow all if user says</w:t>
      </w:r>
      <w:r>
        <w:t xml:space="preserve"> </w:t>
      </w:r>
      <w:r>
        <w:t xml:space="preserve">‘Simon Says’</w:t>
      </w:r>
      <w:r>
        <w:t xml:space="preserve">”</w:t>
      </w:r>
      <w:r>
        <w:t xml:space="preserve">), the ZK proof will validly attest to the execution of that bad policy. This highlights that RuntimeGuard is a tool for</w:t>
      </w:r>
      <w:r>
        <w:t xml:space="preserve"> </w:t>
      </w:r>
      <w:r>
        <w:rPr>
          <w:i/>
          <w:iCs/>
        </w:rPr>
        <w:t xml:space="preserve">enforcement</w:t>
      </w:r>
      <w:r>
        <w:t xml:space="preserve">, not</w:t>
      </w:r>
      <w:r>
        <w:t xml:space="preserve"> </w:t>
      </w:r>
      <w:r>
        <w:rPr>
          <w:i/>
          <w:iCs/>
        </w:rPr>
        <w:t xml:space="preserve">governance</w:t>
      </w:r>
      <w:r>
        <w:t xml:space="preserve">.</w:t>
      </w:r>
      <w:r>
        <w:t xml:space="preserve"> </w:t>
      </w:r>
      <w:r>
        <w:t xml:space="preserve">The next frontier of research is</w:t>
      </w:r>
      <w:r>
        <w:t xml:space="preserve"> </w:t>
      </w:r>
      <w:r>
        <w:rPr>
          <w:b/>
          <w:bCs/>
        </w:rPr>
        <w:t xml:space="preserve">Formal Verification of Natural Language Policies</w:t>
      </w:r>
      <w:r>
        <w:t xml:space="preserve">. Can we prove that a prompt-based policy covers all</w:t>
      </w:r>
      <w:r>
        <w:t xml:space="preserve"> </w:t>
      </w:r>
      <w:r>
        <w:t xml:space="preserve">“Safety Cases”</w:t>
      </w:r>
      <w:r>
        <w:t xml:space="preserve">? This remains an open problem.</w:t>
      </w:r>
    </w:p>
    <w:bookmarkEnd w:id="78"/>
    <w:bookmarkStart w:id="79" w:name="environmental-considerations"/>
    <w:p>
      <w:pPr>
        <w:pStyle w:val="Heading3"/>
      </w:pPr>
      <w:r>
        <w:t xml:space="preserve">9.4 Environmental Considerations</w:t>
      </w:r>
    </w:p>
    <w:p>
      <w:pPr>
        <w:pStyle w:val="FirstParagraph"/>
      </w:pPr>
      <w:r>
        <w:t xml:space="preserve">Training AI models is energy-intensive; adding ZK Proof generation adds another layer of computation. Is this sustainable?</w:t>
      </w:r>
      <w:r>
        <w:t xml:space="preserve"> </w:t>
      </w:r>
      <w:r>
        <w:t xml:space="preserve">My cost analysis suggests the overhead is negligible (&lt;1%). Furthermore, by enabling trust in</w:t>
      </w:r>
      <w:r>
        <w:t xml:space="preserve"> </w:t>
      </w:r>
      <w:r>
        <w:rPr>
          <w:i/>
          <w:iCs/>
        </w:rPr>
        <w:t xml:space="preserve">smaller</w:t>
      </w:r>
      <w:r>
        <w:t xml:space="preserve">, specialized models (which are checked by RuntimeGuard policies), we may reduce the reliance on massive, energy-hungry General Purpose models. Thus, rigorous compliance functionality could paradoxically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the total carbon footprint of the AI ecosystem by enabling the safe deployment of lighter-weight models.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related-work"/>
    <w:p>
      <w:pPr>
        <w:pStyle w:val="Heading2"/>
      </w:pPr>
      <w:r>
        <w:t xml:space="preserve">10. Related Work</w:t>
      </w:r>
    </w:p>
    <w:p>
      <w:pPr>
        <w:pStyle w:val="FirstParagraph"/>
      </w:pPr>
      <w:r>
        <w:t xml:space="preserve">RuntimeGuard-AI builds upon and differentiates itself from several active research streams.</w:t>
      </w:r>
    </w:p>
    <w:bookmarkStart w:id="81" w:name="agentic-governance-frameworks"/>
    <w:p>
      <w:pPr>
        <w:pStyle w:val="Heading3"/>
      </w:pPr>
      <w:r>
        <w:t xml:space="preserve">10.1 Agentic Governance Frameworks</w:t>
      </w:r>
    </w:p>
    <w:p>
      <w:pPr>
        <w:pStyle w:val="FirstParagraph"/>
      </w:pPr>
      <w:r>
        <w:rPr>
          <w:b/>
          <w:bCs/>
        </w:rPr>
        <w:t xml:space="preserve">MI9 (Wang et al., 2025) [7]:</w:t>
      </w:r>
      <w:r>
        <w:t xml:space="preserve"> </w:t>
      </w:r>
      <w:r>
        <w:t xml:space="preserve">MI9 proposes a rich</w:t>
      </w:r>
      <w:r>
        <w:t xml:space="preserve"> </w:t>
      </w:r>
      <w:r>
        <w:t xml:space="preserve">“Agency-Risk Index”</w:t>
      </w:r>
      <w:r>
        <w:t xml:space="preserve"> </w:t>
      </w:r>
      <w:r>
        <w:t xml:space="preserve">and FSM-based conformance. However, MI9 is purely architectural—it lacks the cryptographic binding of RuntimeGuard. RuntimeGuard could be seen as the</w:t>
      </w:r>
      <w:r>
        <w:t xml:space="preserve"> </w:t>
      </w:r>
      <w:r>
        <w:t xml:space="preserve">“Enforcement Layer”</w:t>
      </w:r>
      <w:r>
        <w:t xml:space="preserve"> </w:t>
      </w:r>
      <w:r>
        <w:t xml:space="preserve">for MI9’s</w:t>
      </w:r>
      <w:r>
        <w:t xml:space="preserve"> </w:t>
      </w:r>
      <w:r>
        <w:t xml:space="preserve">“Policy Layer”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GaaS (Gaurav et al., 2025) [8]:</w:t>
      </w:r>
      <w:r>
        <w:t xml:space="preserve"> </w:t>
      </w:r>
      <w:r>
        <w:t xml:space="preserve">Governance-as-a-Service offers meaningful modularity but relies on centralized trust. RuntimeGuard improves on GaaS by making the audit trail decentralized and tamper-evident.</w:t>
      </w:r>
    </w:p>
    <w:bookmarkEnd w:id="81"/>
    <w:bookmarkStart w:id="82" w:name="Xeec6d1ea691f31190291fedba532c8423deba9f"/>
    <w:p>
      <w:pPr>
        <w:pStyle w:val="Heading3"/>
      </w:pPr>
      <w:r>
        <w:t xml:space="preserve">10.2 Constitutional AI and Alignment Approaches</w:t>
      </w:r>
    </w:p>
    <w:p>
      <w:pPr>
        <w:pStyle w:val="FirstParagraph"/>
      </w:pPr>
      <w:r>
        <w:rPr>
          <w:b/>
          <w:bCs/>
        </w:rPr>
        <w:t xml:space="preserve">Constitutional AI (Bai et al., 2022):</w:t>
      </w:r>
      <w:r>
        <w:t xml:space="preserve"> </w:t>
      </w:r>
      <w:r>
        <w:t xml:space="preserve">Anthropic’s approach embeds safety rules into model training via RLHF. This is a</w:t>
      </w:r>
      <w:r>
        <w:t xml:space="preserve"> </w:t>
      </w:r>
      <w:r>
        <w:rPr>
          <w:i/>
          <w:iCs/>
        </w:rPr>
        <w:t xml:space="preserve">prevention</w:t>
      </w:r>
      <w:r>
        <w:t xml:space="preserve"> </w:t>
      </w:r>
      <w:r>
        <w:t xml:space="preserve">strategy—making the model itself safer. RuntimeGuard is complementary: it is a</w:t>
      </w:r>
      <w:r>
        <w:t xml:space="preserve"> </w:t>
      </w:r>
      <w:r>
        <w:rPr>
          <w:i/>
          <w:iCs/>
        </w:rPr>
        <w:t xml:space="preserve">detection and attestation</w:t>
      </w:r>
      <w:r>
        <w:t xml:space="preserve"> </w:t>
      </w:r>
      <w:r>
        <w:t xml:space="preserve">strategy that works even when the model misbehaves. Constitutional AI cannot prove post-hoc that any specific interaction was safe; RuntimeGuard can.</w:t>
      </w:r>
    </w:p>
    <w:p>
      <w:pPr>
        <w:pStyle w:val="BodyText"/>
      </w:pPr>
      <w:r>
        <w:rPr>
          <w:b/>
          <w:bCs/>
        </w:rPr>
        <w:t xml:space="preserve">TrustLLM (Sun et al., 2024) [16]:</w:t>
      </w:r>
      <w:r>
        <w:t xml:space="preserve"> </w:t>
      </w:r>
      <w:r>
        <w:t xml:space="preserve">TrustLLM provides comprehensive benchmarks for LLM trustworthiness across 8 dimensions. It measures; RuntimeGuard enforces. An organization could use TrustLLM to evaluate their model’s baseline safety and RuntimeGuard to prove that safety policies are continuously applied in production.</w:t>
      </w:r>
    </w:p>
    <w:bookmarkEnd w:id="82"/>
    <w:bookmarkStart w:id="83" w:name="regulatory-frameworks-and-standards"/>
    <w:p>
      <w:pPr>
        <w:pStyle w:val="Heading3"/>
      </w:pPr>
      <w:r>
        <w:t xml:space="preserve">10.3 Regulatory Frameworks and Standards</w:t>
      </w:r>
    </w:p>
    <w:p>
      <w:pPr>
        <w:pStyle w:val="FirstParagraph"/>
      </w:pPr>
      <w:r>
        <w:rPr>
          <w:b/>
          <w:bCs/>
        </w:rPr>
        <w:t xml:space="preserve">NIST AI RMF (2023) [15]:</w:t>
      </w:r>
      <w:r>
        <w:t xml:space="preserve"> </w:t>
      </w:r>
      <w:r>
        <w:t xml:space="preserve">The NIST AI Risk Management Framework provides a comprehensive taxonomy of AI risks and governance practices. RuntimeGuard implements the</w:t>
      </w:r>
      <w:r>
        <w:t xml:space="preserve"> </w:t>
      </w:r>
      <w:r>
        <w:t xml:space="preserve">“GOVERN”</w:t>
      </w:r>
      <w:r>
        <w:t xml:space="preserve"> </w:t>
      </w:r>
      <w:r>
        <w:t xml:space="preserve">and</w:t>
      </w:r>
      <w:r>
        <w:t xml:space="preserve"> </w:t>
      </w:r>
      <w:r>
        <w:t xml:space="preserve">“MANAGE”</w:t>
      </w:r>
      <w:r>
        <w:t xml:space="preserve"> </w:t>
      </w:r>
      <w:r>
        <w:t xml:space="preserve">functions of the RMF by providing continuous monitoring and evidence generation capabilities.</w:t>
      </w:r>
    </w:p>
    <w:p>
      <w:pPr>
        <w:pStyle w:val="BodyText"/>
      </w:pPr>
      <w:r>
        <w:rPr>
          <w:b/>
          <w:bCs/>
        </w:rPr>
        <w:t xml:space="preserve">ISO/IEC 42001:</w:t>
      </w:r>
      <w:r>
        <w:t xml:space="preserve"> </w:t>
      </w:r>
      <w:r>
        <w:t xml:space="preserve">The emerging AI Management System standard requires documented evidence of AI governance. RuntimeGuard’s tamper-evident logs directly satisfy the</w:t>
      </w:r>
      <w:r>
        <w:t xml:space="preserve"> </w:t>
      </w:r>
      <w:r>
        <w:t xml:space="preserve">“records”</w:t>
      </w:r>
      <w:r>
        <w:t xml:space="preserve"> </w:t>
      </w:r>
      <w:r>
        <w:t xml:space="preserve">requirement of such management systems.</w:t>
      </w:r>
    </w:p>
    <w:bookmarkEnd w:id="83"/>
    <w:bookmarkStart w:id="84" w:name="cryptographic-logging"/>
    <w:p>
      <w:pPr>
        <w:pStyle w:val="Heading3"/>
      </w:pPr>
      <w:r>
        <w:t xml:space="preserve">10.4 Cryptographic Logging</w:t>
      </w:r>
    </w:p>
    <w:p>
      <w:pPr>
        <w:pStyle w:val="FirstParagraph"/>
      </w:pPr>
      <w:r>
        <w:rPr>
          <w:b/>
          <w:bCs/>
        </w:rPr>
        <w:t xml:space="preserve">Certificate Transparency (RFC 6962) [10]:</w:t>
      </w:r>
      <w:r>
        <w:t xml:space="preserve"> </w:t>
      </w:r>
      <w:r>
        <w:t xml:space="preserve">My use of Merkle Trees is directly inspired by CT. However, CT is for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certificates. RuntimeGuard extends CT to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runtime events with the additional complexity of proving policy execution, not just existence.</w:t>
      </w:r>
    </w:p>
    <w:p>
      <w:pPr>
        <w:pStyle w:val="BodyText"/>
      </w:pPr>
      <w:r>
        <w:rPr>
          <w:b/>
          <w:bCs/>
        </w:rPr>
        <w:t xml:space="preserve">Binary Transparency (Google):</w:t>
      </w:r>
      <w:r>
        <w:t xml:space="preserve"> </w:t>
      </w:r>
      <w:r>
        <w:t xml:space="preserve">Similar to CT but for software binaries. RuntimeGuard applies the same principles to AI inference decisions.</w:t>
      </w:r>
    </w:p>
    <w:bookmarkEnd w:id="84"/>
    <w:bookmarkStart w:id="85" w:name="zkml-zero-knowledge-machine-learning"/>
    <w:p>
      <w:pPr>
        <w:pStyle w:val="Heading3"/>
      </w:pPr>
      <w:r>
        <w:t xml:space="preserve">10.5 ZKML (Zero-Knowledge Machine Learning)</w:t>
      </w:r>
    </w:p>
    <w:p>
      <w:pPr>
        <w:pStyle w:val="FirstParagraph"/>
      </w:pPr>
      <w:r>
        <w:rPr>
          <w:b/>
          <w:bCs/>
        </w:rPr>
        <w:t xml:space="preserve">ZKML [13]:</w:t>
      </w:r>
      <w:r>
        <w:t xml:space="preserve"> </w:t>
      </w:r>
      <w:r>
        <w:t xml:space="preserve">Projects like EZKL and Modulus Labs focus on proving the</w:t>
      </w:r>
      <w:r>
        <w:t xml:space="preserve"> </w:t>
      </w:r>
      <w:r>
        <w:rPr>
          <w:i/>
          <w:iCs/>
        </w:rPr>
        <w:t xml:space="preserve">computational integrity</w:t>
      </w:r>
      <w:r>
        <w:t xml:space="preserve"> </w:t>
      </w:r>
      <w:r>
        <w:t xml:space="preserve">of model inference—that the model weights were applied correctly to the input. Recent work like</w:t>
      </w:r>
      <w:r>
        <w:t xml:space="preserve"> </w:t>
      </w:r>
      <w:r>
        <w:rPr>
          <w:b/>
          <w:bCs/>
        </w:rPr>
        <w:t xml:space="preserve">zkLLM</w:t>
      </w:r>
      <w:r>
        <w:t xml:space="preserve"> </w:t>
      </w:r>
      <w:r>
        <w:t xml:space="preserve">[18] demonstrates that a 13-billion parameter LLM inference can be proven in under 15 minutes. RuntimeGuard focuses on proving that the</w:t>
      </w:r>
      <w:r>
        <w:t xml:space="preserve"> </w:t>
      </w:r>
      <w:r>
        <w:rPr>
          <w:i/>
          <w:iCs/>
        </w:rPr>
        <w:t xml:space="preserve">policy logic</w:t>
      </w:r>
      <w:r>
        <w:t xml:space="preserve"> </w:t>
      </w:r>
      <w:r>
        <w:t xml:space="preserve">was correctly executed. These are complementary: a future system could use ZKML to prove the model inference and RuntimeGuard to prove the safety check. The combined system would provide complete end-to-end verifiable AI.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377"/>
        <w:gridCol w:w="1721"/>
        <w:gridCol w:w="1721"/>
        <w:gridCol w:w="1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Cryptographic?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 Source?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Constitutional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Transparency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Logs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ZKML (EZKL)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RuntimeGuard-AI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Policy Enforcement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8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The EU AI Act presents a dilemma: how to mandate human oversight without breaking the speed of modern AI. I have presented</w:t>
      </w:r>
      <w:r>
        <w:t xml:space="preserve"> </w:t>
      </w:r>
      <w:r>
        <w:rPr>
          <w:b/>
          <w:bCs/>
        </w:rPr>
        <w:t xml:space="preserve">RuntimeGuard-AI</w:t>
      </w:r>
      <w:r>
        <w:t xml:space="preserve">, an architecture that solves this not through policy, but through topology. By creating a distinct, asynchronous cryptographic plane for compliance, I have shown that we can have our cake (low latency) and eat it too (rigorous accountability).</w:t>
      </w:r>
    </w:p>
    <w:p>
      <w:pPr>
        <w:pStyle w:val="BodyText"/>
      </w:pPr>
      <w:r>
        <w:t xml:space="preserve">My architecture is grounded in formal proofs of Latency Separation and Tamper-Evidence. My reference implementation proves the viability of the approach on commodity hardware. While challenges remain—specifically around the</w:t>
      </w:r>
      <w:r>
        <w:t xml:space="preserve"> </w:t>
      </w:r>
      <w:r>
        <w:t xml:space="preserve">“Oracle Problem”</w:t>
      </w:r>
      <w:r>
        <w:t xml:space="preserve"> </w:t>
      </w:r>
      <w:r>
        <w:t xml:space="preserve">and key management—RuntimeGuard-AI represents a concrete step toward a future where AI safety is not just a promise, but a mathematical proof.</w:t>
      </w:r>
    </w:p>
    <w:bookmarkStart w:id="87" w:name="limitations-and-future-work"/>
    <w:p>
      <w:pPr>
        <w:pStyle w:val="Heading3"/>
      </w:pPr>
      <w:r>
        <w:t xml:space="preserve">11.1 Limitations and Future Work</w:t>
      </w:r>
    </w:p>
    <w:p>
      <w:pPr>
        <w:pStyle w:val="FirstParagraph"/>
      </w:pPr>
      <w:r>
        <w:rPr>
          <w:b/>
          <w:bCs/>
        </w:rPr>
        <w:t xml:space="preserve">The Oracle Problem:</w:t>
      </w:r>
      <w:r>
        <w:t xml:space="preserve"> </w:t>
      </w:r>
      <w:r>
        <w:t xml:space="preserve">RuntimeGuard-AI proves that policies were</w:t>
      </w:r>
      <w:r>
        <w:t xml:space="preserve"> </w:t>
      </w:r>
      <w:r>
        <w:rPr>
          <w:i/>
          <w:iCs/>
        </w:rPr>
        <w:t xml:space="preserve">executed</w:t>
      </w:r>
      <w:r>
        <w:t xml:space="preserve">, not that they were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complete</w:t>
      </w:r>
      <w:r>
        <w:t xml:space="preserve">. A poorly designed policy (e.g., one that misses a jailbreak vector) will be faithfully enforced but will not catch the violation. Future work should explore formal verification of natural language policies.</w:t>
      </w:r>
    </w:p>
    <w:p>
      <w:pPr>
        <w:pStyle w:val="BodyText"/>
      </w:pPr>
      <w:r>
        <w:rPr>
          <w:b/>
          <w:bCs/>
        </w:rPr>
        <w:t xml:space="preserve">Trusted Setup Ceremony:</w:t>
      </w:r>
      <w:r>
        <w:t xml:space="preserve"> </w:t>
      </w:r>
      <w:r>
        <w:t xml:space="preserve">Groth16 requires a one-time trusted setup. If the</w:t>
      </w:r>
      <w:r>
        <w:t xml:space="preserve"> </w:t>
      </w:r>
      <w:r>
        <w:t xml:space="preserve">“toxic waste”</w:t>
      </w:r>
      <w:r>
        <w:t xml:space="preserve"> </w:t>
      </w:r>
      <w:r>
        <w:t xml:space="preserve">from this ceremony is not properly destroyed, an attacker can forge proofs. I recommend using established multi-party computation (MPC) ceremonies like Zcash’s</w:t>
      </w:r>
      <w:r>
        <w:t xml:space="preserve"> </w:t>
      </w:r>
      <w:r>
        <w:t xml:space="preserve">“Powers of Tau”</w:t>
      </w:r>
      <w:r>
        <w:t xml:space="preserve"> </w:t>
      </w:r>
      <w:r>
        <w:t xml:space="preserve">or running a private ceremony with external auditors.</w:t>
      </w:r>
    </w:p>
    <w:p>
      <w:pPr>
        <w:pStyle w:val="BodyText"/>
      </w:pPr>
      <w:r>
        <w:rPr>
          <w:b/>
          <w:bCs/>
        </w:rPr>
        <w:t xml:space="preserve">Groth16 vs Modern Alternatives:</w:t>
      </w:r>
      <w:r>
        <w:t xml:space="preserve"> </w:t>
      </w:r>
      <w:r>
        <w:t xml:space="preserve">My implementation uses Groth16 for its small proof size. However, newer systems like</w:t>
      </w:r>
      <w:r>
        <w:t xml:space="preserve"> </w:t>
      </w:r>
      <w:r>
        <w:rPr>
          <w:b/>
          <w:bCs/>
        </w:rPr>
        <w:t xml:space="preserve">Plonky2</w:t>
      </w:r>
      <w:r>
        <w:t xml:space="preserve"> </w:t>
      </w:r>
      <w:r>
        <w:t xml:space="preserve">(Polygon),</w:t>
      </w:r>
      <w:r>
        <w:t xml:space="preserve"> </w:t>
      </w:r>
      <w:r>
        <w:rPr>
          <w:b/>
          <w:bCs/>
        </w:rPr>
        <w:t xml:space="preserve">Halo2</w:t>
      </w:r>
      <w:r>
        <w:t xml:space="preserve"> </w:t>
      </w:r>
      <w:r>
        <w:t xml:space="preserve">(Zcash), and</w:t>
      </w:r>
      <w:r>
        <w:t xml:space="preserve"> </w:t>
      </w:r>
      <w:r>
        <w:rPr>
          <w:b/>
          <w:bCs/>
        </w:rPr>
        <w:t xml:space="preserve">STARKs</w:t>
      </w:r>
      <w:r>
        <w:t xml:space="preserve"> </w:t>
      </w:r>
      <w:r>
        <w:t xml:space="preserve">(StarkWare) offer transparent setups (no toxic waste) at the cost of larger proofs. Future versions of RuntimeGuard could support these alternatives for organizations with stricter key management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Proving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Trusted Setup?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Proof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Verification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Groth16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 bytes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Plonky2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~45 KB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 KB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~200 KB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~50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Privacy Leakage:</w:t>
      </w:r>
      <w:r>
        <w:t xml:space="preserve"> </w:t>
      </w:r>
      <w:r>
        <w:t xml:space="preserve">While ZK proofs hide 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of logs,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(timing, volume, batch sizes) may leak information. A sophisticated adversary could infer usage patterns. Future work should analyze differential privacy guarantees.</w:t>
      </w:r>
    </w:p>
    <w:p>
      <w:pPr>
        <w:pStyle w:val="BodyText"/>
      </w:pPr>
      <w:r>
        <w:rPr>
          <w:b/>
          <w:bCs/>
        </w:rPr>
        <w:t xml:space="preserve">Scalability Ceiling:</w:t>
      </w:r>
      <w:r>
        <w:t xml:space="preserve"> </w:t>
      </w:r>
      <w:r>
        <w:t xml:space="preserve">The current CPU-based implementation tops out at ~1400 proofs/second (assuming 1s proving time). For hyperscale deployments (10M+ requests/hour), GPU or FPGA acceleration is mandatory. I have designed the architecture to be hardware-agnostic, but this acceleration is not yet implemented.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references"/>
    <w:p>
      <w:pPr>
        <w:pStyle w:val="Heading2"/>
      </w:pPr>
      <w:r>
        <w:t xml:space="preserve">12. References</w:t>
      </w:r>
    </w:p>
    <w:p>
      <w:pPr>
        <w:pStyle w:val="FirstParagraph"/>
      </w:pPr>
      <w:r>
        <w:t xml:space="preserve">[1] European Union,</w:t>
      </w:r>
      <w:r>
        <w:t xml:space="preserve"> </w:t>
      </w:r>
      <w:r>
        <w:t xml:space="preserve">“Regulation (EU) 2024/1689 of the European Parliament and of the Council,”</w:t>
      </w:r>
      <w:r>
        <w:t xml:space="preserve"> </w:t>
      </w:r>
      <w:r>
        <w:t xml:space="preserve">Official Journal of the European Union, L 2024/1689, Jul. 12, 2024. https://eur-lex.europa.eu/</w:t>
      </w:r>
    </w:p>
    <w:p>
      <w:pPr>
        <w:pStyle w:val="BodyText"/>
      </w:pPr>
      <w:r>
        <w:t xml:space="preserve">[2] AI Act Service Desk,</w:t>
      </w:r>
      <w:r>
        <w:t xml:space="preserve"> </w:t>
      </w:r>
      <w:r>
        <w:t xml:space="preserve">“EU AI Act Timeline and Key Dates,”</w:t>
      </w:r>
      <w:r>
        <w:t xml:space="preserve"> </w:t>
      </w:r>
      <w:r>
        <w:t xml:space="preserve">https://artificialintelligenceact.eu/ai-act-timeline/, accessed Dec. 2025.</w:t>
      </w:r>
    </w:p>
    <w:p>
      <w:pPr>
        <w:pStyle w:val="BodyText"/>
      </w:pPr>
      <w:r>
        <w:t xml:space="preserve">[3] European Union,</w:t>
      </w:r>
      <w:r>
        <w:t xml:space="preserve"> </w:t>
      </w:r>
      <w:r>
        <w:t xml:space="preserve">“EU AI Act Article 14: Human Oversight,”</w:t>
      </w:r>
      <w:r>
        <w:t xml:space="preserve"> </w:t>
      </w:r>
      <w:r>
        <w:t xml:space="preserve">https://artificialintelligenceact.eu/article/14/, accessed Dec. 2025.</w:t>
      </w:r>
    </w:p>
    <w:p>
      <w:pPr>
        <w:pStyle w:val="BodyText"/>
      </w:pPr>
      <w:r>
        <w:t xml:space="preserve">[4] CEN/CENELEC,</w:t>
      </w:r>
      <w:r>
        <w:t xml:space="preserve"> </w:t>
      </w:r>
      <w:r>
        <w:t xml:space="preserve">“Standardisation Request for AI Systems,”</w:t>
      </w:r>
      <w:r>
        <w:t xml:space="preserve"> </w:t>
      </w:r>
      <w:r>
        <w:t xml:space="preserve">prEN 18229-1 (under development), 2025.</w:t>
      </w:r>
    </w:p>
    <w:p>
      <w:pPr>
        <w:pStyle w:val="BodyText"/>
      </w:pPr>
      <w:r>
        <w:t xml:space="preserve">[5] M. Mitchell et al.,</w:t>
      </w:r>
      <w:r>
        <w:t xml:space="preserve"> </w:t>
      </w:r>
      <w:r>
        <w:t xml:space="preserve">“Model Cards for Model Reporting,”</w:t>
      </w:r>
      <w:r>
        <w:t xml:space="preserve"> </w:t>
      </w:r>
      <w:r>
        <w:t xml:space="preserve">FAT* 2019, pp. 220–229.</w:t>
      </w:r>
    </w:p>
    <w:p>
      <w:pPr>
        <w:pStyle w:val="BodyText"/>
      </w:pPr>
      <w:r>
        <w:t xml:space="preserve">[6] Weights and Biases,</w:t>
      </w:r>
      <w:r>
        <w:t xml:space="preserve"> </w:t>
      </w:r>
      <w:r>
        <w:t xml:space="preserve">“MLOps: Continuous delivery and automation pipelines in machine learning,”</w:t>
      </w:r>
      <w:r>
        <w:t xml:space="preserve"> </w:t>
      </w:r>
      <w:r>
        <w:t xml:space="preserve">Technical Report, 2023.</w:t>
      </w:r>
    </w:p>
    <w:p>
      <w:pPr>
        <w:pStyle w:val="BodyText"/>
      </w:pPr>
      <w:r>
        <w:t xml:space="preserve">[7] C. L. Wang, T. Singhal, A. Kelkar, and J. Tuo,</w:t>
      </w:r>
      <w:r>
        <w:t xml:space="preserve"> </w:t>
      </w:r>
      <w:r>
        <w:t xml:space="preserve">“MI9—Agent Intelligence Protocol: Runtime Governance for Agentic AI Systems,”</w:t>
      </w:r>
      <w:r>
        <w:t xml:space="preserve"> </w:t>
      </w:r>
      <w:r>
        <w:t xml:space="preserve">arXiv:2508.03858, 2025.</w:t>
      </w:r>
    </w:p>
    <w:p>
      <w:pPr>
        <w:pStyle w:val="BodyText"/>
      </w:pPr>
      <w:r>
        <w:t xml:space="preserve">[8] S. Gaurav, J. Chaudhary, et al.,</w:t>
      </w:r>
      <w:r>
        <w:t xml:space="preserve"> </w:t>
      </w:r>
      <w:r>
        <w:t xml:space="preserve">“Governance-as-a-Service: A Multi-Agent Framework for AI System Compliance and Policy Enforcement,”</w:t>
      </w:r>
      <w:r>
        <w:t xml:space="preserve"> </w:t>
      </w:r>
      <w:r>
        <w:t xml:space="preserve">arXiv:2508.18765, 2025.</w:t>
      </w:r>
    </w:p>
    <w:p>
      <w:pPr>
        <w:pStyle w:val="BodyText"/>
      </w:pPr>
      <w:r>
        <w:t xml:space="preserve">[9] Y. Zhang et al.,</w:t>
      </w:r>
      <w:r>
        <w:t xml:space="preserve"> </w:t>
      </w:r>
      <w:r>
        <w:t xml:space="preserve">“NoCap: Near-Optimal ZK Acceleration via Custom Hardware,”</w:t>
      </w:r>
      <w:r>
        <w:t xml:space="preserve"> </w:t>
      </w:r>
      <w:r>
        <w:t xml:space="preserve">IEEE MICRO, 2024.</w:t>
      </w:r>
    </w:p>
    <w:p>
      <w:pPr>
        <w:pStyle w:val="BodyText"/>
      </w:pPr>
      <w:r>
        <w:t xml:space="preserve">[10] B. Laurie, A. Langley, and E. Kasper,</w:t>
      </w:r>
      <w:r>
        <w:t xml:space="preserve"> </w:t>
      </w:r>
      <w:r>
        <w:t xml:space="preserve">“Certificate Transparency,”</w:t>
      </w:r>
      <w:r>
        <w:t xml:space="preserve"> </w:t>
      </w:r>
      <w:r>
        <w:t xml:space="preserve">RFC 6962, IETF, 2013. https://www.rfc-editor.org/rfc/rfc6962</w:t>
      </w:r>
    </w:p>
    <w:p>
      <w:pPr>
        <w:pStyle w:val="BodyText"/>
      </w:pPr>
      <w:r>
        <w:t xml:space="preserve">[11] J. Groth,</w:t>
      </w:r>
      <w:r>
        <w:t xml:space="preserve"> </w:t>
      </w:r>
      <w:r>
        <w:t xml:space="preserve">“On the Size of Pairing-based Non-interactive Arguments,”</w:t>
      </w:r>
      <w:r>
        <w:t xml:space="preserve"> </w:t>
      </w:r>
      <w:r>
        <w:t xml:space="preserve">EUROCRYPT 2016, pp. 305–326.</w:t>
      </w:r>
    </w:p>
    <w:p>
      <w:pPr>
        <w:pStyle w:val="BodyText"/>
      </w:pPr>
      <w:r>
        <w:t xml:space="preserve">[12] Ingonyama,</w:t>
      </w:r>
      <w:r>
        <w:t xml:space="preserve"> </w:t>
      </w:r>
      <w:r>
        <w:t xml:space="preserve">“ICICLE-Snark: GPU-Accelerated ZK Proving,”</w:t>
      </w:r>
      <w:r>
        <w:t xml:space="preserve"> </w:t>
      </w:r>
      <w:r>
        <w:t xml:space="preserve">Medium, 2024. https://medium.com/</w:t>
      </w:r>
      <w:r>
        <w:t xml:space="preserve">@ingonyama</w:t>
      </w:r>
    </w:p>
    <w:p>
      <w:pPr>
        <w:pStyle w:val="BodyText"/>
      </w:pPr>
      <w:r>
        <w:t xml:space="preserve">[13] D. Kang et al.,</w:t>
      </w:r>
      <w:r>
        <w:t xml:space="preserve"> </w:t>
      </w:r>
      <w:r>
        <w:t xml:space="preserve">“ZKML: An Optimizing System for ML Inference in Zero-Knowledge Proofs,”</w:t>
      </w:r>
      <w:r>
        <w:t xml:space="preserve"> </w:t>
      </w:r>
      <w:r>
        <w:t xml:space="preserve">EuroSys’24, 2024.</w:t>
      </w:r>
    </w:p>
    <w:p>
      <w:pPr>
        <w:pStyle w:val="BodyText"/>
      </w:pPr>
      <w:r>
        <w:t xml:space="preserve">[14] L. Grassi et al.,</w:t>
      </w:r>
      <w:r>
        <w:t xml:space="preserve"> </w:t>
      </w:r>
      <w:r>
        <w:t xml:space="preserve">“Poseidon: A New Hash Function for Zero-Knowledge Proof Systems,”</w:t>
      </w:r>
      <w:r>
        <w:t xml:space="preserve"> </w:t>
      </w:r>
      <w:r>
        <w:t xml:space="preserve">USENIX Security 2021.</w:t>
      </w:r>
    </w:p>
    <w:p>
      <w:pPr>
        <w:pStyle w:val="BodyText"/>
      </w:pPr>
      <w:r>
        <w:t xml:space="preserve">[15] NIST,</w:t>
      </w:r>
      <w:r>
        <w:t xml:space="preserve"> </w:t>
      </w:r>
      <w:r>
        <w:t xml:space="preserve">“AI Risk Management Framework (AI RMF 1.0),”</w:t>
      </w:r>
      <w:r>
        <w:t xml:space="preserve"> </w:t>
      </w:r>
      <w:r>
        <w:t xml:space="preserve">NIST AI 100-1, 2023.</w:t>
      </w:r>
    </w:p>
    <w:p>
      <w:pPr>
        <w:pStyle w:val="BodyText"/>
      </w:pPr>
      <w:r>
        <w:t xml:space="preserve">[16] L. Sun, Y. Huang, et al.,</w:t>
      </w:r>
      <w:r>
        <w:t xml:space="preserve"> </w:t>
      </w:r>
      <w:r>
        <w:t xml:space="preserve">“TrustLLM: Trustworthiness in Large Language Models,”</w:t>
      </w:r>
      <w:r>
        <w:t xml:space="preserve"> </w:t>
      </w:r>
      <w:r>
        <w:t xml:space="preserve">Proc. 41st International Conference on Machine Learning (ICML), 2024. https://arxiv.org/abs/2401.05561</w:t>
      </w:r>
    </w:p>
    <w:p>
      <w:pPr>
        <w:pStyle w:val="BodyText"/>
      </w:pPr>
      <w:r>
        <w:t xml:space="preserve">[17] Y. Bai, S. Kadavath, et al.,</w:t>
      </w:r>
      <w:r>
        <w:t xml:space="preserve"> </w:t>
      </w:r>
      <w:r>
        <w:t xml:space="preserve">“Constitutional AI: Harmlessness from AI Feedback,”</w:t>
      </w:r>
      <w:r>
        <w:t xml:space="preserve"> </w:t>
      </w:r>
      <w:r>
        <w:t xml:space="preserve">arXiv:2212.08073, Dec. 2022. https://arxiv.org/abs/2212.08073</w:t>
      </w:r>
    </w:p>
    <w:p>
      <w:pPr>
        <w:pStyle w:val="BodyText"/>
      </w:pPr>
      <w:r>
        <w:t xml:space="preserve">[18] H. Sun, J. Zhu, et al.,</w:t>
      </w:r>
      <w:r>
        <w:t xml:space="preserve"> </w:t>
      </w:r>
      <w:r>
        <w:t xml:space="preserve">“zkLLM: Zero Knowledge Proofs for Large Language Models,”</w:t>
      </w:r>
      <w:r>
        <w:t xml:space="preserve"> </w:t>
      </w:r>
      <w:r>
        <w:t xml:space="preserve">arXiv:2404.16109, Apr. 2024. https://arxiv.org/abs/2404.16109</w:t>
      </w:r>
    </w:p>
    <w:p>
      <w:r>
        <w:pict>
          <v:rect style="width:0;height:1.5pt" o:hralign="center" o:hrstd="t" o:hr="t"/>
        </w:pict>
      </w:r>
    </w:p>
    <w:bookmarkEnd w:id="89"/>
    <w:bookmarkStart w:id="92" w:name="X3d60c17ef4d8c8922d15c03eb3ebdc8a7f794db"/>
    <w:p>
      <w:pPr>
        <w:pStyle w:val="Heading2"/>
      </w:pPr>
      <w:r>
        <w:t xml:space="preserve">Appendix A: System Configuration &amp; Reproducibility</w:t>
      </w:r>
    </w:p>
    <w:p>
      <w:pPr>
        <w:pStyle w:val="FirstParagraph"/>
      </w:pPr>
      <w:r>
        <w:t xml:space="preserve">To ensure reproducibility of my results, I provide the exact configuration used for the evaluation.</w:t>
      </w:r>
    </w:p>
    <w:bookmarkStart w:id="90" w:name="a.1-component-versions"/>
    <w:p>
      <w:pPr>
        <w:pStyle w:val="Heading3"/>
      </w:pPr>
      <w:r>
        <w:t xml:space="preserve">A.1 Component Versions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Rust:</w:t>
      </w:r>
      <w:r>
        <w:t xml:space="preserve"> </w:t>
      </w:r>
      <w:r>
        <w:rPr>
          <w:rStyle w:val="VerbatimChar"/>
        </w:rPr>
        <w:t xml:space="preserve">v1.75.0</w:t>
      </w:r>
      <w:r>
        <w:t xml:space="preserve"> </w:t>
      </w:r>
      <w:r>
        <w:t xml:space="preserve">(nightly)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Tokio:</w:t>
      </w:r>
      <w:r>
        <w:t xml:space="preserve"> </w:t>
      </w:r>
      <w:r>
        <w:rPr>
          <w:rStyle w:val="VerbatimChar"/>
        </w:rPr>
        <w:t xml:space="preserve">v1.28</w:t>
      </w:r>
      <w:r>
        <w:t xml:space="preserve"> </w:t>
      </w:r>
      <w:r>
        <w:t xml:space="preserve">(features: full)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Arkworks-Groth16:</w:t>
      </w:r>
      <w:r>
        <w:t xml:space="preserve"> </w:t>
      </w:r>
      <w:r>
        <w:rPr>
          <w:rStyle w:val="VerbatimChar"/>
        </w:rPr>
        <w:t xml:space="preserve">v0.4.0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OS:</w:t>
      </w:r>
      <w:r>
        <w:t xml:space="preserve"> </w:t>
      </w:r>
      <w:r>
        <w:t xml:space="preserve">Ubuntu 22.04 LTS (Kernel 5.15-generic)</w:t>
      </w:r>
    </w:p>
    <w:bookmarkEnd w:id="90"/>
    <w:bookmarkStart w:id="91" w:name="a.2-benchmarking-parameters"/>
    <w:p>
      <w:pPr>
        <w:pStyle w:val="Heading3"/>
      </w:pPr>
      <w:r>
        <w:t xml:space="preserve">A.2 Benchmarking 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num_shards</w:t>
      </w:r>
      <w:r>
        <w:t xml:space="preserve">: 4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batch_duration</w:t>
      </w:r>
      <w:r>
        <w:t xml:space="preserve">: 60 seconds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constraints</w:t>
      </w:r>
      <w:r>
        <w:t xml:space="preserve">: range(10k, 50k, 100k)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warmup_cycles</w:t>
      </w:r>
      <w:r>
        <w:t xml:space="preserve">: 5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appendix-b-reference-implementation"/>
    <w:p>
      <w:pPr>
        <w:pStyle w:val="Heading2"/>
      </w:pPr>
      <w:r>
        <w:t xml:space="preserve">Appendix B: Reference Implementation</w:t>
      </w:r>
    </w:p>
    <w:p>
      <w:pPr>
        <w:pStyle w:val="FirstParagraph"/>
      </w:pPr>
      <w:r>
        <w:t xml:space="preserve">Below are the expanded code snippets implementing the core theorems.</w:t>
      </w:r>
    </w:p>
    <w:bookmarkStart w:id="93" w:name="Xa8b17d784b312a4d8e495c12b7c0e1f636b0bda"/>
    <w:p>
      <w:pPr>
        <w:pStyle w:val="Heading3"/>
      </w:pPr>
      <w:r>
        <w:t xml:space="preserve">B.1 Theorem 1 Implementation (Non-Blocking Send)</w:t>
      </w:r>
    </w:p>
    <w:p>
      <w:pPr>
        <w:pStyle w:val="FirstParagraph"/>
      </w:pPr>
      <w:r>
        <w:rPr>
          <w:b/>
          <w:bCs/>
        </w:rPr>
        <w:t xml:space="preserve">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src/inline/src/engine.rs</w:t>
      </w:r>
    </w:p>
    <w:p>
      <w:pPr>
        <w:pStyle w:val="SourceCode"/>
      </w:pPr>
      <w:r>
        <w:rPr>
          <w:rStyle w:val="CommentTok"/>
        </w:rPr>
        <w:t xml:space="preserve">/// The core logic ensuring Latency Separation.</w:t>
      </w:r>
      <w:r>
        <w:br/>
      </w:r>
      <w:r>
        <w:rPr>
          <w:rStyle w:val="CommentTok"/>
        </w:rPr>
        <w:t xml:space="preserve">/// </w:t>
      </w:r>
      <w:r>
        <w:br/>
      </w:r>
      <w:r>
        <w:rPr>
          <w:rStyle w:val="CommentTok"/>
        </w:rPr>
        <w:t xml:space="preserve">/// We attempt to enqueue to the memory buffer. If full, we DO NOT block.</w:t>
      </w:r>
      <w:r>
        <w:br/>
      </w:r>
      <w:r>
        <w:rPr>
          <w:rStyle w:val="CommentTok"/>
        </w:rPr>
        <w:t xml:space="preserve">/// Instead, we spawn a detached background task to handle disk IO.</w:t>
      </w:r>
      <w:r>
        <w:br/>
      </w:r>
      <w:r>
        <w:rPr>
          <w:rStyle w:val="CommentTok"/>
        </w:rPr>
        <w:t xml:space="preserve">/// This guarantees that 'handle_request' returns in O(1) time relative to IO.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handle_request_safe(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ComplianceRecord)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shard_id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get_shard(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shard_queues[shard_id]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try_send(record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Happy path: ~500ns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metrics::increment_counter!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"inline_queue_success"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TrySendError::</w:t>
      </w:r>
      <w:r>
        <w:rPr>
          <w:rStyle w:val="NormalTok"/>
        </w:rPr>
        <w:t xml:space="preserve">Full(_))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Backpressure path: Offload to disk (&lt;5µs to spawn)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This satisfies Theorem 1 by decoupling the main thread from disk latency.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fallback_buffer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tokio::</w:t>
      </w:r>
      <w:r>
        <w:rPr>
          <w:rStyle w:val="NormalTok"/>
        </w:rPr>
        <w:t xml:space="preserve">spawn(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guard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write_durable(record)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PreprocessorTok"/>
        </w:rPr>
        <w:t xml:space="preserve">error!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"CRITICAL: Disk failure during fallback: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metrics::increment_counter!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"inline_queue_fallback"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TrySendError::</w:t>
      </w:r>
      <w:r>
        <w:rPr>
          <w:rStyle w:val="NormalTok"/>
        </w:rPr>
        <w:t xml:space="preserve">Closed(_))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Panic or graceful shutdown logic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error!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 closed unexpectedly"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3"/>
    <w:bookmarkStart w:id="94" w:name="X88f824f18c6a27f16a9ac195e893b32348bb058"/>
    <w:p>
      <w:pPr>
        <w:pStyle w:val="Heading3"/>
      </w:pPr>
      <w:r>
        <w:t xml:space="preserve">B.2 Theorem 2 Implementation (Inclusion Proofs)</w:t>
      </w:r>
    </w:p>
    <w:p>
      <w:pPr>
        <w:pStyle w:val="FirstParagraph"/>
      </w:pPr>
      <w:r>
        <w:rPr>
          <w:b/>
          <w:bCs/>
        </w:rPr>
        <w:t xml:space="preserve">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src/attestor/src/merkle.rs</w:t>
      </w:r>
    </w:p>
    <w:p>
      <w:pPr>
        <w:pStyle w:val="SourceCode"/>
      </w:pPr>
      <w:r>
        <w:rPr>
          <w:rStyle w:val="CommentTok"/>
        </w:rPr>
        <w:t xml:space="preserve">/// Generates a Merkle Inclusion Proof for a specific record.</w:t>
      </w:r>
      <w:r>
        <w:br/>
      </w:r>
      <w:r>
        <w:rPr>
          <w:rStyle w:val="CommentTok"/>
        </w:rPr>
        <w:t xml:space="preserve">/// </w:t>
      </w:r>
      <w:r>
        <w:br/>
      </w:r>
      <w:r>
        <w:rPr>
          <w:rStyle w:val="CommentTok"/>
        </w:rPr>
        <w:t xml:space="preserve">/// The proof consists of the sibling hashes along the path from leaf to root.</w:t>
      </w:r>
      <w:r>
        <w:br/>
      </w:r>
      <w:r>
        <w:rPr>
          <w:rStyle w:val="CommentTok"/>
        </w:rPr>
        <w:t xml:space="preserve">/// Verification time is O(log n).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generate_proof(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proof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current_idx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leaf_index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sibling_idx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current_idx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current_idx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current_idx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sibling_idx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proof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push(level[sibling_idx])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current_idx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proof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appendix-c-api-specification-protobuf"/>
    <w:p>
      <w:pPr>
        <w:pStyle w:val="Heading2"/>
      </w:pPr>
      <w:r>
        <w:t xml:space="preserve">Appendix C: API Specification (Protobuf)</w:t>
      </w:r>
    </w:p>
    <w:p>
      <w:pPr>
        <w:pStyle w:val="FirstParagraph"/>
      </w:pPr>
      <w:r>
        <w:t xml:space="preserve">To facilitate interoperability with other governance tools, RuntimeGuard-AI exposes a strictly typed gRPC API.</w:t>
      </w:r>
    </w:p>
    <w:bookmarkStart w:id="96" w:name="c.1-service-definition"/>
    <w:p>
      <w:pPr>
        <w:pStyle w:val="Heading3"/>
      </w:pPr>
      <w:r>
        <w:t xml:space="preserve">C.1 Service Definition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runtimeguard.v1;</w:t>
      </w:r>
      <w:r>
        <w:br/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ComplianceService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Real-time policy evaluation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Enforce (EnforcementRequest)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(EnforcementResponse);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Post-hoc audit retrieval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GetProof (ProofRequest)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(ProofResponse);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EnforcementRequest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payload_hash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map&lt;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&gt; 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EnforcementResponse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Decision {</w:t>
      </w:r>
      <w:r>
        <w:br/>
      </w:r>
      <w:r>
        <w:rPr>
          <w:rStyle w:val="NormalTok"/>
        </w:rPr>
        <w:t xml:space="preserve">    ALLOW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ESCALATE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Decision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Ed25519 signature from the Enclave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ProofRequest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ProofResponse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merkle_root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siblings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zk_proof_points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Groth16 points encoded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c.2-data-schema-the-atom-of-compliance"/>
    <w:p>
      <w:pPr>
        <w:pStyle w:val="Heading3"/>
      </w:pPr>
      <w:r>
        <w:t xml:space="preserve">C.2 Data Schema: The Atom of Compliance</w:t>
      </w:r>
    </w:p>
    <w:p>
      <w:pPr>
        <w:pStyle w:val="FirstParagraph"/>
      </w:pPr>
      <w:r>
        <w:t xml:space="preserve">Every log entry adheres to the following flattened schema to ensure canonical serialization for hashing: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timestamp_ns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 timestamp in nanoseconds.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increasing version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input_digest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[u8; 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hash of the LLM prompt.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[u8; 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hash of the LLM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0=Allow, 1=Block, 2=Escalate.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risk score (0.0 - 1.0).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102" w:name="appendix-d-circuit-constraints-breakdown"/>
    <w:p>
      <w:pPr>
        <w:pStyle w:val="Heading2"/>
      </w:pPr>
      <w:r>
        <w:t xml:space="preserve">Appendix D: Circuit Constraints Breakdown</w:t>
      </w:r>
    </w:p>
    <w:p>
      <w:pPr>
        <w:pStyle w:val="FirstParagraph"/>
      </w:pPr>
      <w:r>
        <w:t xml:space="preserve">For the mathematically inclined auditor, I detail the exact constraints enforced by the ZK Circuit.</w:t>
      </w:r>
    </w:p>
    <w:bookmarkStart w:id="99" w:name="d.1-constraint-1-the-merkle-integrity"/>
    <w:p>
      <w:pPr>
        <w:pStyle w:val="Heading3"/>
      </w:pPr>
      <w:r>
        <w:t xml:space="preserve">D.1 Constraint 1: The Merkle Integrity</w:t>
      </w:r>
    </w:p>
    <w:p>
      <w:pPr>
        <w:pStyle w:val="FirstParagraph"/>
      </w:pPr>
      <w:r>
        <w:t xml:space="preserve">For each level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 0 to</w:t>
      </w:r>
      <w:r>
        <w:t xml:space="preserve"> </w:t>
      </w:r>
      <m:oMath>
        <m:r>
          <m:t>D</m:t>
        </m:r>
        <m:r>
          <m:t>e</m:t>
        </m:r>
        <m:r>
          <m:t>p</m:t>
        </m:r>
        <m:r>
          <m:t>t</m:t>
        </m:r>
        <m:r>
          <m:t>h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s</m:t>
              </m:r>
              <m:r>
                <m:t>i</m:t>
              </m:r>
              <m:r>
                <m:t>b</m:t>
              </m:r>
              <m:r>
                <m:t>l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s</m:t>
              </m:r>
              <m:r>
                <m:t>i</m:t>
              </m:r>
              <m:r>
                <m:t>b</m:t>
              </m:r>
              <m:r>
                <m:t>l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s</m:t>
              </m:r>
              <m:r>
                <m:t>i</m:t>
              </m:r>
              <m:r>
                <m:t>b</m:t>
              </m:r>
              <m:r>
                <m:t>l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t>a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Poseidon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direction bit (0=left, 1=right).</w:t>
      </w:r>
    </w:p>
    <w:bookmarkEnd w:id="99"/>
    <w:bookmarkStart w:id="100" w:name="d.2-constraint-2-the-policy-threshold"/>
    <w:p>
      <w:pPr>
        <w:pStyle w:val="Heading3"/>
      </w:pPr>
      <w:r>
        <w:t xml:space="preserve">D.2 Constraint 2: The Policy Threshold</w:t>
      </w:r>
    </w:p>
    <w:p>
      <w:pPr>
        <w:pStyle w:val="FirstParagraph"/>
      </w:pPr>
      <w:r>
        <w:t xml:space="preserve">To prove that a risk score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 a threshold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without revealing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1. Compute difference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  <w:r>
        <w:t xml:space="preserve"> </w:t>
      </w:r>
      <w:r>
        <w:t xml:space="preserve">2. Decompose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into bits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31</m:t>
            </m:r>
          </m:sub>
        </m:sSub>
      </m:oMath>
      <w:r>
        <w:t xml:space="preserve">.</w:t>
      </w:r>
      <w:r>
        <w:t xml:space="preserve"> </w:t>
      </w:r>
      <w:r>
        <w:t xml:space="preserve">3. Enforce booleanity: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4. Re-pack: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t>2</m:t>
            </m:r>
          </m:e>
          <m:sup>
            <m:r>
              <m:t>i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</m:oMath>
      <w:r>
        <w:t xml:space="preserve">.</w:t>
      </w:r>
      <w:r>
        <w:t xml:space="preserve"> </w:t>
      </w:r>
      <w:r>
        <w:t xml:space="preserve">This ensures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 and thus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T</m:t>
        </m:r>
      </m:oMath>
      <w:r>
        <w:t xml:space="preserve">.</w:t>
      </w:r>
    </w:p>
    <w:bookmarkEnd w:id="100"/>
    <w:bookmarkStart w:id="101" w:name="d.3-constraint-3-the-audit-trail-binding"/>
    <w:p>
      <w:pPr>
        <w:pStyle w:val="Heading3"/>
      </w:pPr>
      <w:r>
        <w:t xml:space="preserve">D.3 Constraint 3: The Audit Trail Binding</w:t>
      </w:r>
    </w:p>
    <w:p>
      <w:pPr>
        <w:pStyle w:val="FirstParagraph"/>
      </w:pPr>
      <w:r>
        <w:t xml:space="preserve">To prevent</w:t>
      </w:r>
      <w:r>
        <w:t xml:space="preserve"> </w:t>
      </w:r>
      <w:r>
        <w:t xml:space="preserve">“detached”</w:t>
      </w:r>
      <w:r>
        <w:t xml:space="preserve"> </w:t>
      </w:r>
      <w:r>
        <w:t xml:space="preserve">proofs, the circuit enforces that the public input equals the hash of the Merkle Root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Policy Version: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PublicInput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Poseidon</m:t>
          </m:r>
          <m:r>
            <m:rPr>
              <m:sty m:val="p"/>
            </m:rPr>
            <m:t>(</m:t>
          </m:r>
          <m:r>
            <m:t>R</m:t>
          </m:r>
          <m:r>
            <m:t>o</m:t>
          </m:r>
          <m:r>
            <m:t>o</m:t>
          </m:r>
          <m:r>
            <m:t>t</m:t>
          </m:r>
          <m:r>
            <m:rPr>
              <m:sty m:val="p"/>
            </m:rPr>
            <m:t>,</m:t>
          </m:r>
          <m:r>
            <m:t>V</m:t>
          </m:r>
          <m:r>
            <m:t>e</m:t>
          </m:r>
          <m:r>
            <m:t>r</m:t>
          </m:r>
          <m:r>
            <m:t>s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binds the proof specifically to the version of the policy that was active, preventing</w:t>
      </w:r>
      <w:r>
        <w:t xml:space="preserve"> </w:t>
      </w:r>
      <w:r>
        <w:t xml:space="preserve">“Downgrade Attacks”</w:t>
      </w:r>
      <w:r>
        <w:t xml:space="preserve"> </w:t>
      </w:r>
      <w:r>
        <w:t xml:space="preserve">where an attacker validates a request against an older, looser policy.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Manuscript prepared: December 2025</w:t>
      </w:r>
      <w:r>
        <w:t xml:space="preserve"> </w:t>
      </w:r>
      <w:r>
        <w:rPr>
          <w:i/>
          <w:iCs/>
        </w:rPr>
        <w:t xml:space="preserve">Submission target: USENIX Security 2026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66" Target="media/rId66.png" /><Relationship Type="http://schemas.openxmlformats.org/officeDocument/2006/relationships/image" Id="rId14" Target="media/rId14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41" Target="media/rId41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2025-12-08T21:58:33Z</dcterms:created>
  <dcterms:modified xsi:type="dcterms:W3CDTF">2025-12-08T21:58:33Z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