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1BFE" w14:textId="77777777" w:rsidR="006E7DFD" w:rsidRPr="00587371" w:rsidRDefault="00000000">
      <w:pPr>
        <w:pStyle w:val="Heading1"/>
        <w:rPr>
          <w:rFonts w:asciiTheme="minorHAnsi" w:hAnsiTheme="minorHAnsi"/>
        </w:rPr>
      </w:pPr>
      <w:bookmarkStart w:id="0" w:name="X9b09bffd4251cb2820482c6913cb4dc24fb4d4a"/>
      <w:r w:rsidRPr="00587371">
        <w:rPr>
          <w:rFonts w:asciiTheme="minorHAnsi" w:hAnsiTheme="minorHAnsi"/>
        </w:rPr>
        <w:t>RuntimeGuard-AI: Scalable Tamper-Evident Accountability for High-Risk AI Systems Under the EU AI Act</w:t>
      </w:r>
    </w:p>
    <w:p w14:paraId="1877B31F" w14:textId="77777777" w:rsidR="006E7DFD" w:rsidRPr="00587371" w:rsidRDefault="00000000">
      <w:r w:rsidRPr="00587371">
        <w:pict w14:anchorId="46CFBEDE">
          <v:rect id="_x0000_i1025" style="width:0;height:1.5pt" o:hralign="center" o:hrstd="t" o:hr="t"/>
        </w:pict>
      </w:r>
    </w:p>
    <w:p w14:paraId="3C407A33" w14:textId="77777777" w:rsidR="00587371" w:rsidRPr="00967D87" w:rsidRDefault="00587371" w:rsidP="00587371">
      <w:pPr>
        <w:jc w:val="center"/>
        <w:rPr>
          <w:rFonts w:ascii="Aptos" w:hAnsi="Aptos"/>
        </w:rPr>
      </w:pPr>
      <w:r w:rsidRPr="00967D87">
        <w:rPr>
          <w:rFonts w:ascii="Aptos" w:hAnsi="Aptos"/>
          <w:b/>
        </w:rPr>
        <w:t>Neeraj Kumar Singh Beshane</w:t>
      </w:r>
    </w:p>
    <w:p w14:paraId="7EE4B855" w14:textId="55DDE0A3" w:rsidR="006E7DFD" w:rsidRPr="00587371" w:rsidRDefault="00587371" w:rsidP="00587371">
      <w:pPr>
        <w:jc w:val="center"/>
        <w:rPr>
          <w:rFonts w:ascii="Aptos" w:hAnsi="Aptos"/>
        </w:rPr>
      </w:pPr>
      <w:r w:rsidRPr="00967D87">
        <w:rPr>
          <w:rFonts w:ascii="Aptos" w:hAnsi="Aptos"/>
          <w:i/>
        </w:rPr>
        <w:t>Meta / Facebook, USA</w:t>
      </w:r>
    </w:p>
    <w:p w14:paraId="27809FB9" w14:textId="77777777" w:rsidR="006E7DFD" w:rsidRPr="00587371" w:rsidRDefault="00000000">
      <w:pPr>
        <w:pStyle w:val="Heading2"/>
        <w:rPr>
          <w:rFonts w:asciiTheme="minorHAnsi" w:hAnsiTheme="minorHAnsi"/>
        </w:rPr>
      </w:pPr>
      <w:bookmarkStart w:id="1" w:name="abstract"/>
      <w:r w:rsidRPr="00587371">
        <w:rPr>
          <w:rFonts w:asciiTheme="minorHAnsi" w:hAnsiTheme="minorHAnsi"/>
        </w:rPr>
        <w:t>Abstract</w:t>
      </w:r>
    </w:p>
    <w:p w14:paraId="0C7C4604" w14:textId="77777777" w:rsidR="006E7DFD" w:rsidRPr="00587371" w:rsidRDefault="00000000">
      <w:pPr>
        <w:pStyle w:val="FirstParagraph"/>
      </w:pPr>
      <w:r w:rsidRPr="00587371">
        <w:t xml:space="preserve">The EU AI Act (Regulation 2024/1689) imposes strict transparency and human oversight obligations on high-risk AI systems, specifically under Article 14. However, a critical technical gap exists: current governance mechanisms either rely on static pre-deployment audits that fail to capture dynamic runtime behavior, or they introduce unacceptable latency penalties that render them unusable in production environments. I present </w:t>
      </w:r>
      <w:r w:rsidRPr="00587371">
        <w:rPr>
          <w:b/>
          <w:bCs/>
        </w:rPr>
        <w:t>RuntimeGuard-AI</w:t>
      </w:r>
      <w:r w:rsidRPr="00587371">
        <w:t>, an asynchronous governance architecture that separates lightweight inline policy enforcement from batch cryptographic attestation.</w:t>
      </w:r>
    </w:p>
    <w:p w14:paraId="1696B7B6" w14:textId="77777777" w:rsidR="006E7DFD" w:rsidRPr="00587371" w:rsidRDefault="00000000">
      <w:pPr>
        <w:pStyle w:val="BodyText"/>
      </w:pPr>
      <w:r w:rsidRPr="00587371">
        <w:t xml:space="preserve">My design fundamentally resolves the tension between compliance and performance. By decoupling the critical inference path from the heavy cryptographic machinery required for proofs, I achieve a median latency overhead of just </w:t>
      </w:r>
      <w:r w:rsidRPr="00587371">
        <w:rPr>
          <w:b/>
          <w:bCs/>
        </w:rPr>
        <w:t>2.3–4.1%</w:t>
      </w:r>
      <w:r w:rsidRPr="00587371">
        <w:t xml:space="preserve">, while enabling cryptographically rigorous, tamper-evident audit trails. Theoretically, I formalize the property of </w:t>
      </w:r>
      <w:r w:rsidRPr="00587371">
        <w:rPr>
          <w:i/>
          <w:iCs/>
        </w:rPr>
        <w:t>Latency Separation</w:t>
      </w:r>
      <w:r w:rsidRPr="00587371">
        <w:t xml:space="preserve"> and prove that my architecture satisfies it. Empirically, I implement a complete Zero-Knowledge (ZK) attestation pipeline using the Groth16 proving system on the </w:t>
      </w:r>
      <w:r w:rsidRPr="00587371">
        <w:rPr>
          <w:rStyle w:val="VerbatimChar"/>
          <w:rFonts w:asciiTheme="minorHAnsi" w:hAnsiTheme="minorHAnsi"/>
        </w:rPr>
        <w:t>bls12-381</w:t>
      </w:r>
      <w:r w:rsidRPr="00587371">
        <w:t xml:space="preserve"> curve. I measure a witness generation time of </w:t>
      </w:r>
      <w:r w:rsidRPr="00587371">
        <w:rPr>
          <w:b/>
          <w:bCs/>
        </w:rPr>
        <w:t>62 ms</w:t>
      </w:r>
      <w:r w:rsidRPr="00587371">
        <w:t xml:space="preserve"> and a total proving time of </w:t>
      </w:r>
      <w:r w:rsidRPr="00587371">
        <w:rPr>
          <w:b/>
          <w:bCs/>
        </w:rPr>
        <w:t>1,389 ms</w:t>
      </w:r>
      <w:r w:rsidRPr="00587371">
        <w:t xml:space="preserve"> for 50,000 constraints on a standard CPU. These results confirm that while the cryptographic cost of compliance is high, it can be successfully removed from the user-facing critical path.</w:t>
      </w:r>
    </w:p>
    <w:p w14:paraId="2F1273B2" w14:textId="77777777" w:rsidR="006E7DFD" w:rsidRPr="00587371" w:rsidRDefault="00000000">
      <w:pPr>
        <w:pStyle w:val="BodyText"/>
      </w:pPr>
      <w:r w:rsidRPr="00587371">
        <w:t xml:space="preserve">This paper provides the first open-source reference implementation of a compliance architecture designed specifically for Article 14. I contribute: (1) a formalized threat model for AI auditing, (2) the </w:t>
      </w:r>
      <w:r w:rsidRPr="00587371">
        <w:rPr>
          <w:i/>
          <w:iCs/>
        </w:rPr>
        <w:t>RuntimeGuard</w:t>
      </w:r>
      <w:r w:rsidRPr="00587371">
        <w:t xml:space="preserve"> protocol for sharded Merkle compliance logging, and (3) a systematic evaluation demonstrating that rigorous regulatory compliance is achievable at scale without compromising the user experience.</w:t>
      </w:r>
    </w:p>
    <w:p w14:paraId="71ED3E71" w14:textId="77777777" w:rsidR="006E7DFD" w:rsidRPr="00587371" w:rsidRDefault="00000000">
      <w:pPr>
        <w:pStyle w:val="BodyText"/>
      </w:pPr>
      <w:r w:rsidRPr="00587371">
        <w:rPr>
          <w:b/>
          <w:bCs/>
        </w:rPr>
        <w:t>Keywords:</w:t>
      </w:r>
      <w:r w:rsidRPr="00587371">
        <w:t xml:space="preserve"> EU AI Act, Article 14, Human Oversight, Zero-Knowledge Proofs, Groth16, Merkle Trees, Compliance Engineering</w:t>
      </w:r>
    </w:p>
    <w:p w14:paraId="35815988" w14:textId="77777777" w:rsidR="006E7DFD" w:rsidRPr="00587371" w:rsidRDefault="00000000">
      <w:r w:rsidRPr="00587371">
        <w:pict w14:anchorId="0CDC2AEA">
          <v:rect id="_x0000_i1027" style="width:0;height:1.5pt" o:hralign="center" o:hrstd="t" o:hr="t"/>
        </w:pict>
      </w:r>
    </w:p>
    <w:p w14:paraId="3E548036" w14:textId="77777777" w:rsidR="006E7DFD" w:rsidRPr="00587371" w:rsidRDefault="00000000">
      <w:pPr>
        <w:pStyle w:val="Heading2"/>
        <w:rPr>
          <w:rFonts w:asciiTheme="minorHAnsi" w:hAnsiTheme="minorHAnsi"/>
        </w:rPr>
      </w:pPr>
      <w:bookmarkStart w:id="2" w:name="introduction"/>
      <w:bookmarkEnd w:id="1"/>
      <w:r w:rsidRPr="00587371">
        <w:rPr>
          <w:rFonts w:asciiTheme="minorHAnsi" w:hAnsiTheme="minorHAnsi"/>
        </w:rPr>
        <w:lastRenderedPageBreak/>
        <w:t>1. Introduction</w:t>
      </w:r>
    </w:p>
    <w:p w14:paraId="4AC76E3C" w14:textId="77777777" w:rsidR="006E7DFD" w:rsidRPr="00587371" w:rsidRDefault="00000000">
      <w:pPr>
        <w:pStyle w:val="Heading3"/>
      </w:pPr>
      <w:bookmarkStart w:id="3" w:name="Xd7030647e40be4231fa93dab3d535c1d93f6b73"/>
      <w:r w:rsidRPr="00587371">
        <w:t>1.1 The Crisis of Trust in Algorithmic Systems</w:t>
      </w:r>
    </w:p>
    <w:p w14:paraId="5FDCCCBC" w14:textId="77777777" w:rsidR="006E7DFD" w:rsidRPr="00587371" w:rsidRDefault="00000000">
      <w:pPr>
        <w:pStyle w:val="FirstParagraph"/>
      </w:pPr>
      <w:r w:rsidRPr="00587371">
        <w:t xml:space="preserve">The rapid deployment of Large Language Models (LLMs) and agentic AI systems in high-stakes domains—such as healthcare, employment, and critical infrastructure—has precipitated a crisis of trust. Users and regulators alike demand assurance that these systems operate within defined safety boundaries. The European Union has responded with the </w:t>
      </w:r>
      <w:r w:rsidRPr="00587371">
        <w:rPr>
          <w:b/>
          <w:bCs/>
        </w:rPr>
        <w:t>AI Act (Regulation 2024/1689)</w:t>
      </w:r>
      <w:r w:rsidRPr="00587371">
        <w:t xml:space="preserve"> [1], the world’s first comprehensive legal framework for AI.</w:t>
      </w:r>
    </w:p>
    <w:p w14:paraId="34A73971" w14:textId="77777777" w:rsidR="006E7DFD" w:rsidRPr="00587371" w:rsidRDefault="00000000">
      <w:pPr>
        <w:pStyle w:val="BodyText"/>
      </w:pPr>
      <w:r w:rsidRPr="00587371">
        <w:t>However, legal mandates do not verify themselves. The industry currently lacks the technical primitives to prove compliance continuously. The industry is in a state of “auditing theater,” where organizations produce voluminous static documentation (model cards, impact assessments) that may have little correlation with the system’s actual behavior in production.</w:t>
      </w:r>
    </w:p>
    <w:p w14:paraId="0E53622B" w14:textId="77777777" w:rsidR="006E7DFD" w:rsidRPr="00587371" w:rsidRDefault="00000000">
      <w:pPr>
        <w:pStyle w:val="Heading3"/>
      </w:pPr>
      <w:bookmarkStart w:id="4" w:name="the-latency-audit-paradox"/>
      <w:bookmarkEnd w:id="3"/>
      <w:r w:rsidRPr="00587371">
        <w:t>1.2 The Latency-Audit Paradox</w:t>
      </w:r>
    </w:p>
    <w:p w14:paraId="2FE9D55A" w14:textId="77777777" w:rsidR="006E7DFD" w:rsidRPr="00587371" w:rsidRDefault="00000000">
      <w:pPr>
        <w:pStyle w:val="FirstParagraph"/>
      </w:pPr>
      <w:r w:rsidRPr="00587371">
        <w:t xml:space="preserve">A fundamental technical challenge blocks the adoption of meaningful runtime oversight: the </w:t>
      </w:r>
      <w:r w:rsidRPr="00587371">
        <w:rPr>
          <w:b/>
          <w:bCs/>
        </w:rPr>
        <w:t>Latency-Audit Paradox</w:t>
      </w:r>
      <w:r w:rsidRPr="00587371">
        <w:t xml:space="preserve">. - </w:t>
      </w:r>
      <w:r w:rsidRPr="00587371">
        <w:rPr>
          <w:b/>
          <w:bCs/>
        </w:rPr>
        <w:t>Requirement A:</w:t>
      </w:r>
      <w:r w:rsidRPr="00587371">
        <w:t xml:space="preserve"> To be meaningful, oversight must be cryptographically non-repudiable. The system must prove </w:t>
      </w:r>
      <w:r w:rsidRPr="00587371">
        <w:rPr>
          <w:i/>
          <w:iCs/>
        </w:rPr>
        <w:t>exactly</w:t>
      </w:r>
      <w:r w:rsidRPr="00587371">
        <w:t xml:space="preserve"> what input caused what output, and which policy was enforced. - </w:t>
      </w:r>
      <w:r w:rsidRPr="00587371">
        <w:rPr>
          <w:b/>
          <w:bCs/>
        </w:rPr>
        <w:t>Requirement B:</w:t>
      </w:r>
      <w:r w:rsidRPr="00587371">
        <w:t xml:space="preserve"> To be usable, AI systems must respond in milliseconds. - </w:t>
      </w:r>
      <w:r w:rsidRPr="00587371">
        <w:rPr>
          <w:b/>
          <w:bCs/>
        </w:rPr>
        <w:t>Conflict:</w:t>
      </w:r>
      <w:r w:rsidRPr="00587371">
        <w:t xml:space="preserve"> Generating a cryptographic proof (e.g., a digital signature or a ZK-SNARK) is computationally expensive. As my benchmarks show, a robust ZK proof takes over 1 second to generate. Blocking the user’s request for 1 second to generate a “compliance certificate” is commercially non-viable.</w:t>
      </w:r>
    </w:p>
    <w:p w14:paraId="38AAAD58" w14:textId="77777777" w:rsidR="006E7DFD" w:rsidRPr="00587371" w:rsidRDefault="00000000">
      <w:pPr>
        <w:pStyle w:val="Heading3"/>
      </w:pPr>
      <w:bookmarkStart w:id="5" w:name="my-solution-runtimeguard-ai"/>
      <w:bookmarkEnd w:id="4"/>
      <w:r w:rsidRPr="00587371">
        <w:t>1.3 My Solution: RuntimeGuard-AI</w:t>
      </w:r>
    </w:p>
    <w:p w14:paraId="06C8E609" w14:textId="77777777" w:rsidR="006E7DFD" w:rsidRPr="00587371" w:rsidRDefault="00000000">
      <w:pPr>
        <w:pStyle w:val="FirstParagraph"/>
      </w:pPr>
      <w:r w:rsidRPr="00587371">
        <w:t xml:space="preserve">I propose </w:t>
      </w:r>
      <w:r w:rsidRPr="00587371">
        <w:rPr>
          <w:b/>
          <w:bCs/>
        </w:rPr>
        <w:t>RuntimeGuard-AI</w:t>
      </w:r>
      <w:r w:rsidRPr="00587371">
        <w:t xml:space="preserve">, an architecture that resolves this paradox through </w:t>
      </w:r>
      <w:r w:rsidRPr="00587371">
        <w:rPr>
          <w:b/>
          <w:bCs/>
        </w:rPr>
        <w:t>asynchrony</w:t>
      </w:r>
      <w:r w:rsidRPr="00587371">
        <w:t xml:space="preserve">. I treat compliance not as a synchronous gate, but as an eventually consistent, tamper-evident state. My system splits the lifecycle of a request into two independent paths: 1. </w:t>
      </w:r>
      <w:r w:rsidRPr="00587371">
        <w:rPr>
          <w:b/>
          <w:bCs/>
        </w:rPr>
        <w:t>The Critical Path (&lt;10ms):</w:t>
      </w:r>
      <w:r w:rsidRPr="00587371">
        <w:t xml:space="preserve"> A lightweight Rust-based policy engine enforces “hard” rules (e.g., “Block PII”) and commits the transaction to a local, append-only log. 2. </w:t>
      </w:r>
      <w:r w:rsidRPr="00587371">
        <w:rPr>
          <w:b/>
          <w:bCs/>
        </w:rPr>
        <w:t>The Attestation Path (Background):</w:t>
      </w:r>
      <w:r w:rsidRPr="00587371">
        <w:t xml:space="preserve"> An asynchronous “Attestor” service consumes these logs, aggregates them into Merkle Trees, and generates Zero-Knowledge proofs that attest to the integrity of the log and the correct application of policies.</w:t>
      </w:r>
    </w:p>
    <w:p w14:paraId="642D8B4F" w14:textId="77777777" w:rsidR="006E7DFD" w:rsidRPr="00587371" w:rsidRDefault="00000000">
      <w:pPr>
        <w:pStyle w:val="BodyText"/>
      </w:pPr>
      <w:r w:rsidRPr="00587371">
        <w:t xml:space="preserve">In this paper, I demonstrate that this approach is the </w:t>
      </w:r>
      <w:r w:rsidRPr="00587371">
        <w:rPr>
          <w:i/>
          <w:iCs/>
        </w:rPr>
        <w:t>only</w:t>
      </w:r>
      <w:r w:rsidRPr="00587371">
        <w:t xml:space="preserve"> viable path to scaling Article 14 compliance. I provide a complete formalization, a reference implementation, and a comprehensive evaluation.</w:t>
      </w:r>
    </w:p>
    <w:p w14:paraId="42463DB3" w14:textId="77777777" w:rsidR="006E7DFD" w:rsidRPr="00587371" w:rsidRDefault="00000000">
      <w:r w:rsidRPr="00587371">
        <w:pict w14:anchorId="75670C53">
          <v:rect id="_x0000_i1028" style="width:0;height:1.5pt" o:hralign="center" o:hrstd="t" o:hr="t"/>
        </w:pict>
      </w:r>
    </w:p>
    <w:p w14:paraId="1BB9DA5D" w14:textId="77777777" w:rsidR="006E7DFD" w:rsidRPr="00587371" w:rsidRDefault="00000000">
      <w:pPr>
        <w:pStyle w:val="Heading2"/>
        <w:rPr>
          <w:rFonts w:asciiTheme="minorHAnsi" w:hAnsiTheme="minorHAnsi"/>
        </w:rPr>
      </w:pPr>
      <w:bookmarkStart w:id="6" w:name="background"/>
      <w:bookmarkEnd w:id="2"/>
      <w:bookmarkEnd w:id="5"/>
      <w:r w:rsidRPr="00587371">
        <w:rPr>
          <w:rFonts w:asciiTheme="minorHAnsi" w:hAnsiTheme="minorHAnsi"/>
        </w:rPr>
        <w:lastRenderedPageBreak/>
        <w:t>2. Background</w:t>
      </w:r>
    </w:p>
    <w:p w14:paraId="43FAEF90" w14:textId="77777777" w:rsidR="006E7DFD" w:rsidRPr="00587371" w:rsidRDefault="00000000">
      <w:pPr>
        <w:pStyle w:val="FirstParagraph"/>
      </w:pPr>
      <w:r w:rsidRPr="00587371">
        <w:t>To understand why RuntimeGuard-AI is designed as it is, one must understand both the specific legal requirements of the EU AI Act and the cryptographic primitives available to satisfy them.</w:t>
      </w:r>
    </w:p>
    <w:p w14:paraId="0CC52F9F" w14:textId="77777777" w:rsidR="006E7DFD" w:rsidRPr="00587371" w:rsidRDefault="00000000">
      <w:pPr>
        <w:pStyle w:val="Heading3"/>
      </w:pPr>
      <w:bookmarkStart w:id="7" w:name="the-legal-mandate-article-14"/>
      <w:r w:rsidRPr="00587371">
        <w:t>2.1 The Legal Mandate: Article 14</w:t>
      </w:r>
    </w:p>
    <w:p w14:paraId="03C0A51B" w14:textId="77777777" w:rsidR="006E7DFD" w:rsidRPr="00587371" w:rsidRDefault="00000000">
      <w:pPr>
        <w:pStyle w:val="FirstParagraph"/>
      </w:pPr>
      <w:r w:rsidRPr="00587371">
        <w:t xml:space="preserve">Article 14 of the EU AI Act (“Human Oversight”) is the cornerstone of my design. Paragraph 4 states: &gt; </w:t>
      </w:r>
      <w:r w:rsidRPr="00587371">
        <w:rPr>
          <w:i/>
          <w:iCs/>
        </w:rPr>
        <w:t>“High-risk AI systems shall be designed … to enable natural persons to whom human oversight is assigned to … correctly interpret the high-risk AI system’s output”</w:t>
      </w:r>
      <w:r w:rsidRPr="00587371">
        <w:t xml:space="preserve"> and </w:t>
      </w:r>
      <w:r w:rsidRPr="00587371">
        <w:rPr>
          <w:i/>
          <w:iCs/>
        </w:rPr>
        <w:t>“decide not to use the high-risk AI system or otherwise disregard, override or reverse the output.”</w:t>
      </w:r>
      <w:r w:rsidRPr="00587371">
        <w:t xml:space="preserve"> [3]</w:t>
      </w:r>
    </w:p>
    <w:p w14:paraId="108AB515" w14:textId="77777777" w:rsidR="006E7DFD" w:rsidRPr="00587371" w:rsidRDefault="00000000">
      <w:pPr>
        <w:pStyle w:val="BodyText"/>
      </w:pPr>
      <w:r w:rsidRPr="00587371">
        <w:rPr>
          <w:b/>
          <w:bCs/>
        </w:rPr>
        <w:t>Recital 73</w:t>
      </w:r>
      <w:r w:rsidRPr="00587371">
        <w:t xml:space="preserve"> further clarifies that oversight measures should be commensurate with the risks. This implies that for high-throughput systems, human oversight cannot mean “a human checks every request” (which is impossible at scale). Instead, it must mean “a human has a cryptographically verifiable guarantee that the system is operating within parameters, and can audit any specific anomaly.”</w:t>
      </w:r>
    </w:p>
    <w:p w14:paraId="3451A9EA" w14:textId="77777777" w:rsidR="006E7DFD" w:rsidRPr="00587371" w:rsidRDefault="00000000">
      <w:pPr>
        <w:pStyle w:val="BodyText"/>
      </w:pPr>
      <w:r w:rsidRPr="00587371">
        <w:t xml:space="preserve">RuntimeGuard-AI maps these legal concepts to technical requirements: - </w:t>
      </w:r>
      <w:r w:rsidRPr="00587371">
        <w:rPr>
          <w:b/>
          <w:bCs/>
        </w:rPr>
        <w:t>“Correctly interpret”:</w:t>
      </w:r>
      <w:r w:rsidRPr="00587371">
        <w:t xml:space="preserve"> Requires a tamper-evident record of the exact input and output (The Log). - </w:t>
      </w:r>
      <w:r w:rsidRPr="00587371">
        <w:rPr>
          <w:b/>
          <w:bCs/>
        </w:rPr>
        <w:t>“Disregard/Override”:</w:t>
      </w:r>
      <w:r w:rsidRPr="00587371">
        <w:t xml:space="preserve"> Requires a mechanism to flag and escalate violations (The Policy Engine).</w:t>
      </w:r>
    </w:p>
    <w:p w14:paraId="3BF05431" w14:textId="77777777" w:rsidR="006E7DFD" w:rsidRPr="00587371" w:rsidRDefault="00000000">
      <w:pPr>
        <w:pStyle w:val="BodyText"/>
      </w:pPr>
      <w:r w:rsidRPr="00587371">
        <w:t>Figure 2 illustrates the regulatory timeline that creates urgency for technical solutions like RuntimeGuard-AI.</w:t>
      </w:r>
    </w:p>
    <w:p w14:paraId="0DDAC202" w14:textId="77777777" w:rsidR="006E7DFD" w:rsidRPr="00587371" w:rsidRDefault="00000000">
      <w:pPr>
        <w:pStyle w:val="CaptionedFigure"/>
      </w:pPr>
      <w:r w:rsidRPr="00587371">
        <w:rPr>
          <w:noProof/>
        </w:rPr>
        <w:lastRenderedPageBreak/>
        <w:drawing>
          <wp:inline distT="0" distB="0" distL="0" distR="0" wp14:anchorId="0D50CAA2" wp14:editId="6F7A73B4">
            <wp:extent cx="3121152" cy="3121152"/>
            <wp:effectExtent l="0" t="0" r="0" b="0"/>
            <wp:docPr id="15" name="Picture" descr="Figure 2: EU AI Act Implementation Timeline"/>
            <wp:cNvGraphicFramePr/>
            <a:graphic xmlns:a="http://schemas.openxmlformats.org/drawingml/2006/main">
              <a:graphicData uri="http://schemas.openxmlformats.org/drawingml/2006/picture">
                <pic:pic xmlns:pic="http://schemas.openxmlformats.org/drawingml/2006/picture">
                  <pic:nvPicPr>
                    <pic:cNvPr id="16" name="Picture" descr="figures/eu_ai_act_timeline.png"/>
                    <pic:cNvPicPr>
                      <a:picLocks noChangeAspect="1" noChangeArrowheads="1"/>
                    </pic:cNvPicPr>
                  </pic:nvPicPr>
                  <pic:blipFill>
                    <a:blip r:embed="rId5"/>
                    <a:stretch>
                      <a:fillRect/>
                    </a:stretch>
                  </pic:blipFill>
                  <pic:spPr bwMode="auto">
                    <a:xfrm>
                      <a:off x="0" y="0"/>
                      <a:ext cx="3121152" cy="3121152"/>
                    </a:xfrm>
                    <a:prstGeom prst="rect">
                      <a:avLst/>
                    </a:prstGeom>
                    <a:noFill/>
                    <a:ln w="9525">
                      <a:noFill/>
                      <a:headEnd/>
                      <a:tailEnd/>
                    </a:ln>
                  </pic:spPr>
                </pic:pic>
              </a:graphicData>
            </a:graphic>
          </wp:inline>
        </w:drawing>
      </w:r>
    </w:p>
    <w:p w14:paraId="1C5170EA" w14:textId="77777777" w:rsidR="006E7DFD" w:rsidRPr="00587371" w:rsidRDefault="00000000">
      <w:pPr>
        <w:pStyle w:val="ImageCaption"/>
      </w:pPr>
      <w:r w:rsidRPr="00587371">
        <w:t>Figure 2: EU AI Act Implementation Timeline</w:t>
      </w:r>
    </w:p>
    <w:p w14:paraId="7B657E98" w14:textId="77777777" w:rsidR="006E7DFD" w:rsidRPr="00587371" w:rsidRDefault="00000000">
      <w:pPr>
        <w:pStyle w:val="Heading3"/>
      </w:pPr>
      <w:bookmarkStart w:id="8" w:name="Xf9ed58e93dfe01d158d74f11d669d01178ae2e2"/>
      <w:bookmarkEnd w:id="7"/>
      <w:r w:rsidRPr="00587371">
        <w:t>2.2 Mathematical Primer: Zero-Knowledge Proofs (Groth16)</w:t>
      </w:r>
    </w:p>
    <w:p w14:paraId="7FB69942" w14:textId="77777777" w:rsidR="006E7DFD" w:rsidRPr="00587371" w:rsidRDefault="00000000">
      <w:pPr>
        <w:pStyle w:val="FirstParagraph"/>
      </w:pPr>
      <w:r w:rsidRPr="00587371">
        <w:t xml:space="preserve">I utilize </w:t>
      </w:r>
      <w:r w:rsidRPr="00587371">
        <w:rPr>
          <w:b/>
          <w:bCs/>
        </w:rPr>
        <w:t>zk-SNARKs</w:t>
      </w:r>
      <w:r w:rsidRPr="00587371">
        <w:t xml:space="preserve"> (Zero-Knowledge Succinct Non-Interactive Arguments of Knowledge) to prove that the logs have not been tampered with. Specifically, I use the </w:t>
      </w:r>
      <w:r w:rsidRPr="00587371">
        <w:rPr>
          <w:b/>
          <w:bCs/>
        </w:rPr>
        <w:t>Groth16</w:t>
      </w:r>
      <w:r w:rsidRPr="00587371">
        <w:t xml:space="preserve"> protocol [11], which offers the smallest proof size (128 bytes) and fastest verification time (~3ms), making it ideal for on-chain or low-resource verification.</w:t>
      </w:r>
    </w:p>
    <w:p w14:paraId="1B22658D" w14:textId="77777777" w:rsidR="006E7DFD" w:rsidRPr="00587371" w:rsidRDefault="00000000">
      <w:pPr>
        <w:pStyle w:val="BodyText"/>
      </w:pPr>
      <w:r w:rsidRPr="00587371">
        <w:t xml:space="preserve">The core of Groth16 relies on </w:t>
      </w:r>
      <w:r w:rsidRPr="00587371">
        <w:rPr>
          <w:b/>
          <w:bCs/>
        </w:rPr>
        <w:t>Elliptic Curve Pairings</w:t>
      </w:r>
      <w:r w:rsidRPr="00587371">
        <w:t xml:space="preserve">. Let </w:t>
      </w:r>
      <m:oMath>
        <m:sSub>
          <m:sSubPr>
            <m:ctrlPr>
              <w:rPr>
                <w:rFonts w:ascii="Cambria Math" w:hAnsi="Cambria Math"/>
              </w:rPr>
            </m:ctrlPr>
          </m:sSubPr>
          <m:e>
            <m:r>
              <m:rPr>
                <m:scr m:val="double-struck"/>
                <m:sty m:val="p"/>
              </m:rPr>
              <w:rPr>
                <w:rFonts w:ascii="Cambria Math" w:hAnsi="Cambria Math"/>
              </w:rPr>
              <m:t>G</m:t>
            </m:r>
          </m:e>
          <m:sub>
            <m:r>
              <w:rPr>
                <w:rFonts w:ascii="Cambria Math" w:hAnsi="Cambria Math"/>
              </w:rPr>
              <m:t>1</m:t>
            </m:r>
          </m:sub>
        </m:sSub>
      </m:oMath>
      <w:r w:rsidRPr="00587371">
        <w:t xml:space="preserve"> and </w:t>
      </w:r>
      <m:oMath>
        <m:sSub>
          <m:sSubPr>
            <m:ctrlPr>
              <w:rPr>
                <w:rFonts w:ascii="Cambria Math" w:hAnsi="Cambria Math"/>
              </w:rPr>
            </m:ctrlPr>
          </m:sSubPr>
          <m:e>
            <m:r>
              <m:rPr>
                <m:scr m:val="double-struck"/>
                <m:sty m:val="p"/>
              </m:rPr>
              <w:rPr>
                <w:rFonts w:ascii="Cambria Math" w:hAnsi="Cambria Math"/>
              </w:rPr>
              <m:t>G</m:t>
            </m:r>
          </m:e>
          <m:sub>
            <m:r>
              <w:rPr>
                <w:rFonts w:ascii="Cambria Math" w:hAnsi="Cambria Math"/>
              </w:rPr>
              <m:t>2</m:t>
            </m:r>
          </m:sub>
        </m:sSub>
      </m:oMath>
      <w:r w:rsidRPr="00587371">
        <w:t xml:space="preserve"> be cyclic groups of prime order </w:t>
      </w:r>
      <m:oMath>
        <m:r>
          <w:rPr>
            <w:rFonts w:ascii="Cambria Math" w:hAnsi="Cambria Math"/>
          </w:rPr>
          <m:t>r</m:t>
        </m:r>
      </m:oMath>
      <w:r w:rsidRPr="00587371">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G</m:t>
            </m:r>
          </m:e>
          <m:sub>
            <m:r>
              <w:rPr>
                <w:rFonts w:ascii="Cambria Math" w:hAnsi="Cambria Math"/>
              </w:rPr>
              <m:t>T</m:t>
            </m:r>
          </m:sub>
        </m:sSub>
      </m:oMath>
      <w:r w:rsidRPr="00587371">
        <w:t xml:space="preserve"> be a bilinear map. The computation we wish to verify is expressed as a Rank-1 Constraint System (R1CS), where for a vector of secret witnesses </w:t>
      </w:r>
      <m:oMath>
        <m:acc>
          <m:accPr>
            <m:chr m:val="⃗"/>
            <m:ctrlPr>
              <w:rPr>
                <w:rFonts w:ascii="Cambria Math" w:hAnsi="Cambria Math"/>
              </w:rPr>
            </m:ctrlPr>
          </m:accPr>
          <m:e>
            <m:r>
              <w:rPr>
                <w:rFonts w:ascii="Cambria Math" w:hAnsi="Cambria Math"/>
              </w:rPr>
              <m:t>w</m:t>
            </m:r>
          </m:e>
        </m:acc>
      </m:oMath>
      <w:r w:rsidRPr="00587371">
        <w:t xml:space="preserve"> and public inputs </w:t>
      </w:r>
      <m:oMath>
        <m:acc>
          <m:accPr>
            <m:chr m:val="⃗"/>
            <m:ctrlPr>
              <w:rPr>
                <w:rFonts w:ascii="Cambria Math" w:hAnsi="Cambria Math"/>
              </w:rPr>
            </m:ctrlPr>
          </m:accPr>
          <m:e>
            <m:r>
              <w:rPr>
                <w:rFonts w:ascii="Cambria Math" w:hAnsi="Cambria Math"/>
              </w:rPr>
              <m:t>x</m:t>
            </m:r>
          </m:e>
        </m:acc>
      </m:oMath>
      <w:r w:rsidRPr="00587371">
        <w:t>, we must satisfy:</w:t>
      </w:r>
    </w:p>
    <w:p w14:paraId="119E8D58" w14:textId="77777777" w:rsidR="006E7DFD" w:rsidRPr="00587371" w:rsidRDefault="00000000">
      <w:pPr>
        <w:pStyle w:val="BodyText"/>
      </w:pPr>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oMath>
      </m:oMathPara>
    </w:p>
    <w:p w14:paraId="0AA12883" w14:textId="77777777" w:rsidR="006E7DFD" w:rsidRPr="00587371" w:rsidRDefault="00000000">
      <w:pPr>
        <w:pStyle w:val="FirstParagraph"/>
      </w:pPr>
      <w:r w:rsidRPr="00587371">
        <w:t xml:space="preserve">where </w:t>
      </w:r>
      <m:oMath>
        <m:acc>
          <m:accPr>
            <m:chr m:val="⃗"/>
            <m:ctrlPr>
              <w:rPr>
                <w:rFonts w:ascii="Cambria Math" w:hAnsi="Cambria Math"/>
              </w:rPr>
            </m:ctrlPr>
          </m:accPr>
          <m:e>
            <m:r>
              <w:rPr>
                <w:rFonts w:ascii="Cambria Math" w:hAnsi="Cambria Math"/>
              </w:rPr>
              <m:t>z</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w:r w:rsidRPr="00587371">
        <w:t xml:space="preserve"> and </w:t>
      </w:r>
      <m:oMath>
        <m:r>
          <m:rPr>
            <m:sty m:val="p"/>
          </m:rPr>
          <w:rPr>
            <w:rFonts w:ascii="Cambria Math" w:hAnsi="Cambria Math"/>
          </w:rPr>
          <m:t>∘</m:t>
        </m:r>
      </m:oMath>
      <w:r w:rsidRPr="00587371">
        <w:t xml:space="preserve"> is the Hadamard product. The prover generates </w:t>
      </w:r>
      <m:oMath>
        <m:r>
          <w:rPr>
            <w:rFonts w:ascii="Cambria Math" w:hAnsi="Cambria Math"/>
          </w:rPr>
          <m:t>π</m:t>
        </m:r>
      </m:oMath>
      <w:r w:rsidRPr="00587371">
        <w:t>, and the verifier checks an equation of the form:</w:t>
      </w:r>
    </w:p>
    <w:p w14:paraId="639BDE43" w14:textId="77777777" w:rsidR="006E7DFD" w:rsidRPr="00587371"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6DAAA4C7" w14:textId="77777777" w:rsidR="006E7DFD" w:rsidRPr="00587371" w:rsidRDefault="00000000">
      <w:pPr>
        <w:pStyle w:val="FirstParagraph"/>
      </w:pPr>
      <w:r w:rsidRPr="00587371">
        <w:t xml:space="preserve">If this equality holds, the verifier is convinced that the prover knows a valid witness </w:t>
      </w:r>
      <m:oMath>
        <m:acc>
          <m:accPr>
            <m:chr m:val="⃗"/>
            <m:ctrlPr>
              <w:rPr>
                <w:rFonts w:ascii="Cambria Math" w:hAnsi="Cambria Math"/>
              </w:rPr>
            </m:ctrlPr>
          </m:accPr>
          <m:e>
            <m:r>
              <w:rPr>
                <w:rFonts w:ascii="Cambria Math" w:hAnsi="Cambria Math"/>
              </w:rPr>
              <m:t>w</m:t>
            </m:r>
          </m:e>
        </m:acc>
      </m:oMath>
      <w:r w:rsidRPr="00587371">
        <w:t xml:space="preserve"> (i.e., the correct log entries) that satisfies the compliance policies, without revealing the sensitive user data in the log itself.</w:t>
      </w:r>
    </w:p>
    <w:p w14:paraId="46804A79" w14:textId="77777777" w:rsidR="006E7DFD" w:rsidRPr="00587371" w:rsidRDefault="00000000">
      <w:pPr>
        <w:pStyle w:val="Heading3"/>
      </w:pPr>
      <w:bookmarkStart w:id="9" w:name="merkle-trees-for-inclusion-proofs"/>
      <w:bookmarkEnd w:id="8"/>
      <w:r w:rsidRPr="00587371">
        <w:t>2.3 Merkle Trees for Inclusion Proofs</w:t>
      </w:r>
    </w:p>
    <w:p w14:paraId="42B5D840" w14:textId="77777777" w:rsidR="006E7DFD" w:rsidRPr="00587371" w:rsidRDefault="00000000">
      <w:pPr>
        <w:pStyle w:val="FirstParagraph"/>
      </w:pPr>
      <w:r w:rsidRPr="00587371">
        <w:t xml:space="preserve">To aggregate millions of requests efficiently, I use </w:t>
      </w:r>
      <w:r w:rsidRPr="00587371">
        <w:rPr>
          <w:b/>
          <w:bCs/>
        </w:rPr>
        <w:t>Merkle Trees</w:t>
      </w:r>
      <w:r w:rsidRPr="00587371">
        <w:t>. A Merkle Tree is a binary tree where every leaf node is the hash of a data block (a compliance record), and every non-leaf node is the hash of its children:</w:t>
      </w:r>
    </w:p>
    <w:p w14:paraId="5535F65A" w14:textId="77777777" w:rsidR="006E7DFD" w:rsidRPr="00587371"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m:rPr>
              <m:nor/>
            </m:rPr>
            <m:t>SHA256</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r>
            <m:rPr>
              <m:sty m:val="p"/>
            </m:rPr>
            <w:rPr>
              <w:rFonts w:ascii="Cambria Math" w:hAnsi="Cambria Math"/>
            </w:rPr>
            <m:t>)</m:t>
          </m:r>
        </m:oMath>
      </m:oMathPara>
    </w:p>
    <w:p w14:paraId="1238B224" w14:textId="77777777" w:rsidR="006E7DFD" w:rsidRPr="00587371" w:rsidRDefault="00000000">
      <w:pPr>
        <w:pStyle w:val="FirstParagraph"/>
      </w:pPr>
      <w:r w:rsidRPr="00587371">
        <w:t xml:space="preserve">The </w:t>
      </w:r>
      <w:r w:rsidRPr="00587371">
        <w:rPr>
          <w:b/>
          <w:bCs/>
        </w:rPr>
        <w:t>Merkle Root</w:t>
      </w:r>
      <w:r w:rsidRPr="00587371">
        <w:t xml:space="preserve"> serves as a unique cryptographic fingerprint for the entire dataset. To prove that a specific request </w:t>
      </w:r>
      <m:oMath>
        <m:r>
          <w:rPr>
            <w:rFonts w:ascii="Cambria Math" w:hAnsi="Cambria Math"/>
          </w:rPr>
          <m:t>r</m:t>
        </m:r>
      </m:oMath>
      <w:r w:rsidRPr="00587371">
        <w:t xml:space="preserve"> is in the log, I provide an </w:t>
      </w:r>
      <w:r w:rsidRPr="00587371">
        <w:rPr>
          <w:b/>
          <w:bCs/>
        </w:rPr>
        <w:t>Inclusion Proof</w:t>
      </w:r>
      <w:r w:rsidRPr="00587371">
        <w:t xml:space="preserve">: the path of hashes from the leaf </w:t>
      </w:r>
      <m:oMath>
        <m:r>
          <w:rPr>
            <w:rFonts w:ascii="Cambria Math" w:hAnsi="Cambria Math"/>
          </w:rPr>
          <m:t>r</m:t>
        </m:r>
      </m:oMath>
      <w:r w:rsidRPr="00587371">
        <w:t xml:space="preserve"> to the root. This allows an auditor to verify the existence of a single record in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sidRPr="00587371">
        <w:t xml:space="preserve"> time, without downloading the full terabyte-scale log.</w:t>
      </w:r>
    </w:p>
    <w:p w14:paraId="2416C195" w14:textId="77777777" w:rsidR="006E7DFD" w:rsidRPr="00587371" w:rsidRDefault="00000000">
      <w:r w:rsidRPr="00587371">
        <w:pict w14:anchorId="47B5ABD6">
          <v:rect id="_x0000_i1029" style="width:0;height:1.5pt" o:hralign="center" o:hrstd="t" o:hr="t"/>
        </w:pict>
      </w:r>
    </w:p>
    <w:p w14:paraId="180D34F1" w14:textId="77777777" w:rsidR="006E7DFD" w:rsidRPr="00587371" w:rsidRDefault="00000000">
      <w:pPr>
        <w:pStyle w:val="Heading2"/>
        <w:rPr>
          <w:rFonts w:asciiTheme="minorHAnsi" w:hAnsiTheme="minorHAnsi"/>
        </w:rPr>
      </w:pPr>
      <w:bookmarkStart w:id="10" w:name="formal-foundations"/>
      <w:bookmarkEnd w:id="6"/>
      <w:bookmarkEnd w:id="9"/>
      <w:r w:rsidRPr="00587371">
        <w:rPr>
          <w:rFonts w:asciiTheme="minorHAnsi" w:hAnsiTheme="minorHAnsi"/>
        </w:rPr>
        <w:t>3. Formal Foundations</w:t>
      </w:r>
    </w:p>
    <w:p w14:paraId="4DB4C3C9" w14:textId="77777777" w:rsidR="006E7DFD" w:rsidRPr="00587371" w:rsidRDefault="00000000">
      <w:pPr>
        <w:pStyle w:val="FirstParagraph"/>
      </w:pPr>
      <w:r w:rsidRPr="00587371">
        <w:t>In this section, I formalize the security properties of RuntimeGuard-AI. I define the system model and provide proofs for the three key theorems sketched in the initial draft.</w:t>
      </w:r>
    </w:p>
    <w:p w14:paraId="2AC7E5BD" w14:textId="77777777" w:rsidR="006E7DFD" w:rsidRPr="00587371" w:rsidRDefault="00000000">
      <w:pPr>
        <w:pStyle w:val="Heading3"/>
      </w:pPr>
      <w:bookmarkStart w:id="11" w:name="system-model-definitions"/>
      <w:r w:rsidRPr="00587371">
        <w:t>3.1 System Model Definitions</w:t>
      </w:r>
    </w:p>
    <w:p w14:paraId="51C556D4" w14:textId="77777777" w:rsidR="006E7DFD" w:rsidRPr="00587371" w:rsidRDefault="00000000">
      <w:pPr>
        <w:pStyle w:val="FirstParagraph"/>
      </w:pPr>
      <w:r w:rsidRPr="00587371">
        <w:t xml:space="preserve">Let </w:t>
      </w:r>
      <m:oMath>
        <m:r>
          <m:rPr>
            <m:scr m:val="script"/>
            <m:sty m:val="p"/>
          </m:rPr>
          <w:rPr>
            <w:rFonts w:ascii="Cambria Math" w:hAnsi="Cambria Math"/>
          </w:rPr>
          <m:t>T</m:t>
        </m:r>
      </m:oMath>
      <w:r w:rsidRPr="00587371">
        <w:t xml:space="preserve"> be the set of timestamps. Let </w:t>
      </w:r>
      <m:oMath>
        <m:r>
          <m:rPr>
            <m:scr m:val="script"/>
            <m:sty m:val="p"/>
          </m:rPr>
          <w:rPr>
            <w:rFonts w:ascii="Cambria Math" w:hAnsi="Cambria Math"/>
          </w:rPr>
          <m:t>R</m:t>
        </m:r>
      </m:oMath>
      <w:r w:rsidRPr="00587371">
        <w:t xml:space="preserve"> be the infinite set of possible inference requests. Let </w:t>
      </w: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w:r w:rsidRPr="00587371">
        <w:t xml:space="preserve"> be the append-only log sequence at time </w:t>
      </w:r>
      <m:oMath>
        <m:r>
          <w:rPr>
            <w:rFonts w:ascii="Cambria Math" w:hAnsi="Cambria Math"/>
          </w:rPr>
          <m:t>t</m:t>
        </m:r>
      </m:oMath>
      <w:r w:rsidRPr="00587371">
        <w:t xml:space="preserve">. Let </w:t>
      </w:r>
      <m:oMath>
        <m:r>
          <w:rPr>
            <w:rFonts w:ascii="Cambria Math" w:hAnsi="Cambria Math"/>
          </w:rPr>
          <m:t>Policy</m:t>
        </m:r>
        <m:r>
          <m:rPr>
            <m:scr m:val="script"/>
            <m:sty m:val="p"/>
          </m:rPr>
          <w:rPr>
            <w:rFonts w:ascii="Cambria Math" w:hAnsi="Cambria Math"/>
          </w:rPr>
          <m:t>:R→{</m:t>
        </m:r>
        <m:r>
          <m:rPr>
            <m:nor/>
          </m:rPr>
          <m:t>Allow</m:t>
        </m:r>
        <m:r>
          <m:rPr>
            <m:sty m:val="p"/>
          </m:rPr>
          <w:rPr>
            <w:rFonts w:ascii="Cambria Math" w:hAnsi="Cambria Math"/>
          </w:rPr>
          <m:t>,</m:t>
        </m:r>
        <m:r>
          <m:rPr>
            <m:nor/>
          </m:rPr>
          <m:t>Block</m:t>
        </m:r>
        <m:r>
          <m:rPr>
            <m:sty m:val="p"/>
          </m:rPr>
          <w:rPr>
            <w:rFonts w:ascii="Cambria Math" w:hAnsi="Cambria Math"/>
          </w:rPr>
          <m:t>,</m:t>
        </m:r>
        <m:r>
          <m:rPr>
            <m:nor/>
          </m:rPr>
          <m:t>Escalate</m:t>
        </m:r>
        <m:r>
          <m:rPr>
            <m:sty m:val="p"/>
          </m:rPr>
          <w:rPr>
            <w:rFonts w:ascii="Cambria Math" w:hAnsi="Cambria Math"/>
          </w:rPr>
          <m:t>}</m:t>
        </m:r>
      </m:oMath>
      <w:r w:rsidRPr="00587371">
        <w:t xml:space="preserve"> be the deterministic policy function. Let </w:t>
      </w:r>
      <m:oMath>
        <m:r>
          <w:rPr>
            <w:rFonts w:ascii="Cambria Math" w:hAnsi="Cambria Math"/>
          </w:rPr>
          <m:t>Verify</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root</m:t>
        </m:r>
        <m:r>
          <m:rPr>
            <m:sty m:val="p"/>
          </m:rPr>
          <w:rPr>
            <w:rFonts w:ascii="Cambria Math" w:hAnsi="Cambria Math"/>
          </w:rPr>
          <m:t>)</m:t>
        </m:r>
      </m:oMath>
      <w:r w:rsidRPr="00587371">
        <w:t xml:space="preserve"> be the ZK verification function that returns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87371">
        <w:t>.</w:t>
      </w:r>
    </w:p>
    <w:p w14:paraId="1AA0F4AF" w14:textId="77777777" w:rsidR="006E7DFD" w:rsidRPr="00587371" w:rsidRDefault="00000000">
      <w:pPr>
        <w:pStyle w:val="Heading3"/>
      </w:pPr>
      <w:bookmarkStart w:id="12" w:name="X04b965e76aa50663de2e77b2df819562b675837"/>
      <w:bookmarkEnd w:id="11"/>
      <w:r w:rsidRPr="00587371">
        <w:t>3.2 Theorem 1: The Principle of Latency Separation</w:t>
      </w:r>
    </w:p>
    <w:p w14:paraId="2BD7A61B" w14:textId="77777777" w:rsidR="006E7DFD" w:rsidRPr="00587371" w:rsidRDefault="00000000">
      <w:pPr>
        <w:pStyle w:val="FirstParagraph"/>
      </w:pPr>
      <w:r w:rsidRPr="00587371">
        <w:rPr>
          <w:b/>
          <w:bCs/>
        </w:rPr>
        <w:t>Definition:</w:t>
      </w:r>
      <w:r w:rsidRPr="00587371">
        <w:t xml:space="preserve"> A system satisfies </w:t>
      </w:r>
      <w:r w:rsidRPr="00587371">
        <w:rPr>
          <w:i/>
          <w:iCs/>
        </w:rPr>
        <w:t>Latency Separation</w:t>
      </w:r>
      <w:r w:rsidRPr="00587371">
        <w:t xml:space="preserve"> if the response time for any request </w:t>
      </w:r>
      <m:oMath>
        <m:r>
          <w:rPr>
            <w:rFonts w:ascii="Cambria Math" w:hAnsi="Cambria Math"/>
          </w:rPr>
          <m:t>r</m:t>
        </m:r>
      </m:oMath>
      <w:r w:rsidRPr="00587371">
        <w:t xml:space="preserve">, denoted </w:t>
      </w:r>
      <m:oMath>
        <m:sSub>
          <m:sSubPr>
            <m:ctrlPr>
              <w:rPr>
                <w:rFonts w:ascii="Cambria Math" w:hAnsi="Cambria Math"/>
              </w:rPr>
            </m:ctrlPr>
          </m:sSubPr>
          <m:e>
            <m:r>
              <w:rPr>
                <w:rFonts w:ascii="Cambria Math" w:hAnsi="Cambria Math"/>
              </w:rPr>
              <m:t>t</m:t>
            </m:r>
          </m:e>
          <m:sub>
            <m:r>
              <w:rPr>
                <w:rFonts w:ascii="Cambria Math" w:hAnsi="Cambria Math"/>
              </w:rPr>
              <m:t>resp</m:t>
            </m:r>
          </m:sub>
        </m:sSub>
        <m:r>
          <m:rPr>
            <m:sty m:val="p"/>
          </m:rPr>
          <w:rPr>
            <w:rFonts w:ascii="Cambria Math" w:hAnsi="Cambria Math"/>
          </w:rPr>
          <m:t>(</m:t>
        </m:r>
        <m:r>
          <w:rPr>
            <w:rFonts w:ascii="Cambria Math" w:hAnsi="Cambria Math"/>
          </w:rPr>
          <m:t>r</m:t>
        </m:r>
        <m:r>
          <m:rPr>
            <m:sty m:val="p"/>
          </m:rPr>
          <w:rPr>
            <w:rFonts w:ascii="Cambria Math" w:hAnsi="Cambria Math"/>
          </w:rPr>
          <m:t>)</m:t>
        </m:r>
      </m:oMath>
      <w:r w:rsidRPr="00587371">
        <w:t xml:space="preserve">, is statistically independent of the attestation time </w:t>
      </w:r>
      <m:oMath>
        <m:sSub>
          <m:sSubPr>
            <m:ctrlPr>
              <w:rPr>
                <w:rFonts w:ascii="Cambria Math" w:hAnsi="Cambria Math"/>
              </w:rPr>
            </m:ctrlPr>
          </m:sSubPr>
          <m:e>
            <m:r>
              <w:rPr>
                <w:rFonts w:ascii="Cambria Math" w:hAnsi="Cambria Math"/>
              </w:rPr>
              <m:t>t</m:t>
            </m:r>
          </m:e>
          <m:sub>
            <m:r>
              <w:rPr>
                <w:rFonts w:ascii="Cambria Math" w:hAnsi="Cambria Math"/>
              </w:rPr>
              <m:t>attest</m:t>
            </m:r>
          </m:sub>
        </m:sSub>
      </m:oMath>
      <w:r w:rsidRPr="00587371">
        <w:t>.</w:t>
      </w:r>
    </w:p>
    <w:p w14:paraId="0B0C2D0F" w14:textId="77777777" w:rsidR="006E7DFD" w:rsidRPr="00587371" w:rsidRDefault="00000000">
      <w:pPr>
        <w:pStyle w:val="BodyText"/>
      </w:pPr>
      <w:r w:rsidRPr="00587371">
        <w:rPr>
          <w:b/>
          <w:bCs/>
        </w:rPr>
        <w:t>Theorem 1.</w:t>
      </w:r>
      <w:r w:rsidRPr="00587371">
        <w:t xml:space="preserve"> </w:t>
      </w:r>
      <w:r w:rsidRPr="00587371">
        <w:rPr>
          <w:i/>
          <w:iCs/>
        </w:rPr>
        <w:t>RuntimeGuard-AI satisfies Latency Separation.</w:t>
      </w:r>
    </w:p>
    <w:p w14:paraId="6D29445B" w14:textId="77777777" w:rsidR="006E7DFD" w:rsidRPr="00587371" w:rsidRDefault="00000000">
      <w:pPr>
        <w:pStyle w:val="BodyText"/>
      </w:pPr>
      <w:r w:rsidRPr="00587371">
        <w:rPr>
          <w:b/>
          <w:bCs/>
        </w:rPr>
        <w:t>Proof.</w:t>
      </w:r>
      <w:r w:rsidRPr="00587371">
        <w:t xml:space="preserve"> Let the total processing time be a random variable </w:t>
      </w:r>
      <m:oMath>
        <m:sSub>
          <m:sSubPr>
            <m:ctrlPr>
              <w:rPr>
                <w:rFonts w:ascii="Cambria Math" w:hAnsi="Cambria Math"/>
              </w:rPr>
            </m:ctrlPr>
          </m:sSubPr>
          <m:e>
            <m:r>
              <w:rPr>
                <w:rFonts w:ascii="Cambria Math" w:hAnsi="Cambria Math"/>
              </w:rPr>
              <m:t>T</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inline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oMath>
      <w:r w:rsidRPr="00587371">
        <w:t xml:space="preserve">. In a synchronous architecture, </w:t>
      </w:r>
      <m:oMath>
        <m:sSub>
          <m:sSubPr>
            <m:ctrlPr>
              <w:rPr>
                <w:rFonts w:ascii="Cambria Math" w:hAnsi="Cambria Math"/>
              </w:rPr>
            </m:ctrlPr>
          </m:sSubPr>
          <m:e>
            <m:r>
              <w:rPr>
                <w:rFonts w:ascii="Cambria Math" w:hAnsi="Cambria Math"/>
              </w:rPr>
              <m:t>T</m:t>
            </m:r>
          </m:e>
          <m:sub>
            <m:r>
              <w:rPr>
                <w:rFonts w:ascii="Cambria Math" w:hAnsi="Cambria Math"/>
              </w:rPr>
              <m:t>inline</m:t>
            </m:r>
          </m:sub>
        </m:sSub>
      </m:oMath>
      <w:r w:rsidRPr="00587371">
        <w:t xml:space="preserve"> and </w:t>
      </w:r>
      <m:oMath>
        <m:sSub>
          <m:sSubPr>
            <m:ctrlPr>
              <w:rPr>
                <w:rFonts w:ascii="Cambria Math" w:hAnsi="Cambria Math"/>
              </w:rPr>
            </m:ctrlPr>
          </m:sSubPr>
          <m:e>
            <m:r>
              <w:rPr>
                <w:rFonts w:ascii="Cambria Math" w:hAnsi="Cambria Math"/>
              </w:rPr>
              <m:t>T</m:t>
            </m:r>
          </m:e>
          <m:sub>
            <m:r>
              <w:rPr>
                <w:rFonts w:ascii="Cambria Math" w:hAnsi="Cambria Math"/>
              </w:rPr>
              <m:t>attest</m:t>
            </m:r>
          </m:sub>
        </m:sSub>
      </m:oMath>
      <w:r w:rsidRPr="00587371">
        <w:t xml:space="preserve"> are coupled: the response is not sent until attestation completes. Thus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total</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inline</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oMath>
      <w:r w:rsidRPr="00587371">
        <w:t xml:space="preserve">. Given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r>
          <w:rPr>
            <w:rFonts w:ascii="Cambria Math" w:hAnsi="Cambria Math"/>
          </w:rPr>
          <m:t>1400ms</m:t>
        </m:r>
      </m:oMath>
      <w:r w:rsidRPr="00587371">
        <w:t xml:space="preserve">, </w:t>
      </w:r>
      <m:oMath>
        <m:sSub>
          <m:sSubPr>
            <m:ctrlPr>
              <w:rPr>
                <w:rFonts w:ascii="Cambria Math" w:hAnsi="Cambria Math"/>
              </w:rPr>
            </m:ctrlPr>
          </m:sSubPr>
          <m:e>
            <m:r>
              <w:rPr>
                <w:rFonts w:ascii="Cambria Math" w:hAnsi="Cambria Math"/>
              </w:rPr>
              <m:t>T</m:t>
            </m:r>
          </m:e>
          <m:sub>
            <m:r>
              <w:rPr>
                <w:rFonts w:ascii="Cambria Math" w:hAnsi="Cambria Math"/>
              </w:rPr>
              <m:t>total</m:t>
            </m:r>
          </m:sub>
        </m:sSub>
      </m:oMath>
      <w:r w:rsidRPr="00587371">
        <w:t xml:space="preserve"> is dominated by attestation.</w:t>
      </w:r>
    </w:p>
    <w:p w14:paraId="633041D4" w14:textId="77777777" w:rsidR="006E7DFD" w:rsidRPr="00587371" w:rsidRDefault="00000000">
      <w:pPr>
        <w:pStyle w:val="BodyText"/>
      </w:pPr>
      <w:r w:rsidRPr="00587371">
        <w:t xml:space="preserve">In RuntimeGuard-AI, the request processing function </w:t>
      </w:r>
      <m:oMath>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oMath>
      <w:r w:rsidRPr="00587371">
        <w:t xml:space="preserve"> is defined as:</w:t>
      </w:r>
    </w:p>
    <w:p w14:paraId="4D5A5C13" w14:textId="77777777" w:rsidR="006E7DFD" w:rsidRPr="00587371" w:rsidRDefault="00000000">
      <w:pPr>
        <w:pStyle w:val="SourceCode"/>
      </w:pPr>
      <w:r w:rsidRPr="00587371">
        <w:rPr>
          <w:rStyle w:val="KeywordTok"/>
          <w:rFonts w:asciiTheme="minorHAnsi" w:hAnsiTheme="minorHAnsi"/>
        </w:rPr>
        <w:t>fn</w:t>
      </w:r>
      <w:r w:rsidRPr="00587371">
        <w:rPr>
          <w:rStyle w:val="NormalTok"/>
          <w:rFonts w:asciiTheme="minorHAnsi" w:hAnsiTheme="minorHAnsi"/>
        </w:rPr>
        <w:t xml:space="preserve"> handle_request(r) </w:t>
      </w:r>
      <w:r w:rsidRPr="00587371">
        <w:rPr>
          <w:rStyle w:val="OperatorTok"/>
          <w:rFonts w:asciiTheme="minorHAnsi" w:hAnsiTheme="minorHAnsi"/>
        </w:rPr>
        <w:t>{</w:t>
      </w:r>
      <w:r w:rsidRPr="00587371">
        <w:br/>
      </w:r>
      <w:r w:rsidRPr="00587371">
        <w:rPr>
          <w:rStyle w:val="NormalTok"/>
          <w:rFonts w:asciiTheme="minorHAnsi" w:hAnsiTheme="minorHAnsi"/>
        </w:rPr>
        <w:t xml:space="preserve">    decision </w:t>
      </w:r>
      <w:r w:rsidRPr="00587371">
        <w:rPr>
          <w:rStyle w:val="OperatorTok"/>
          <w:rFonts w:asciiTheme="minorHAnsi" w:hAnsiTheme="minorHAnsi"/>
        </w:rPr>
        <w:t>=</w:t>
      </w:r>
      <w:r w:rsidRPr="00587371">
        <w:rPr>
          <w:rStyle w:val="NormalTok"/>
          <w:rFonts w:asciiTheme="minorHAnsi" w:hAnsiTheme="minorHAnsi"/>
        </w:rPr>
        <w:t xml:space="preserve"> policy(r)</w:t>
      </w:r>
      <w:r w:rsidRPr="00587371">
        <w:rPr>
          <w:rStyle w:val="OperatorTok"/>
          <w:rFonts w:asciiTheme="minorHAnsi" w:hAnsiTheme="minorHAnsi"/>
        </w:rPr>
        <w:t>;</w:t>
      </w:r>
      <w:r w:rsidRPr="00587371">
        <w:br/>
      </w:r>
      <w:r w:rsidRPr="00587371">
        <w:rPr>
          <w:rStyle w:val="NormalTok"/>
          <w:rFonts w:asciiTheme="minorHAnsi" w:hAnsiTheme="minorHAnsi"/>
        </w:rPr>
        <w:t xml:space="preserve">    queue</w:t>
      </w:r>
      <w:r w:rsidRPr="00587371">
        <w:rPr>
          <w:rStyle w:val="OperatorTok"/>
          <w:rFonts w:asciiTheme="minorHAnsi" w:hAnsiTheme="minorHAnsi"/>
        </w:rPr>
        <w:t>.</w:t>
      </w:r>
      <w:r w:rsidRPr="00587371">
        <w:rPr>
          <w:rStyle w:val="NormalTok"/>
          <w:rFonts w:asciiTheme="minorHAnsi" w:hAnsiTheme="minorHAnsi"/>
        </w:rPr>
        <w:t>try_send(r)</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CommentTok"/>
          <w:rFonts w:asciiTheme="minorHAnsi" w:hAnsiTheme="minorHAnsi"/>
        </w:rPr>
        <w:t>// Non-blocking</w:t>
      </w:r>
      <w:r w:rsidRPr="00587371">
        <w:br/>
      </w:r>
      <w:r w:rsidRPr="00587371">
        <w:rPr>
          <w:rStyle w:val="NormalTok"/>
          <w:rFonts w:asciiTheme="minorHAnsi" w:hAnsiTheme="minorHAnsi"/>
        </w:rPr>
        <w:t xml:space="preserve">    </w:t>
      </w:r>
      <w:r w:rsidRPr="00587371">
        <w:rPr>
          <w:rStyle w:val="ControlFlowTok"/>
          <w:rFonts w:asciiTheme="minorHAnsi" w:hAnsiTheme="minorHAnsi"/>
        </w:rPr>
        <w:t>return</w:t>
      </w:r>
      <w:r w:rsidRPr="00587371">
        <w:rPr>
          <w:rStyle w:val="NormalTok"/>
          <w:rFonts w:asciiTheme="minorHAnsi" w:hAnsiTheme="minorHAnsi"/>
        </w:rPr>
        <w:t xml:space="preserve"> decision</w:t>
      </w:r>
      <w:r w:rsidRPr="00587371">
        <w:rPr>
          <w:rStyle w:val="OperatorTok"/>
          <w:rFonts w:asciiTheme="minorHAnsi" w:hAnsiTheme="minorHAnsi"/>
        </w:rPr>
        <w:t>;</w:t>
      </w:r>
      <w:r w:rsidRPr="00587371">
        <w:br/>
      </w:r>
      <w:r w:rsidRPr="00587371">
        <w:rPr>
          <w:rStyle w:val="OperatorTok"/>
          <w:rFonts w:asciiTheme="minorHAnsi" w:hAnsiTheme="minorHAnsi"/>
        </w:rPr>
        <w:t>}</w:t>
      </w:r>
    </w:p>
    <w:p w14:paraId="1E8B1A9F" w14:textId="77777777" w:rsidR="006E7DFD" w:rsidRPr="00587371" w:rsidRDefault="00000000">
      <w:pPr>
        <w:pStyle w:val="FirstParagraph"/>
      </w:pPr>
      <w:r w:rsidRPr="00587371">
        <w:t xml:space="preserve">The </w:t>
      </w:r>
      <w:r w:rsidRPr="00587371">
        <w:rPr>
          <w:rStyle w:val="VerbatimChar"/>
          <w:rFonts w:asciiTheme="minorHAnsi" w:hAnsiTheme="minorHAnsi"/>
        </w:rPr>
        <w:t>try_send</w:t>
      </w:r>
      <w:r w:rsidRPr="00587371">
        <w:t xml:space="preserve"> operation is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sidRPr="00587371">
        <w:t xml:space="preserve"> and non-blocking. If the queue is full, the fallback mechanism spawns a detached asynchronous task (</w:t>
      </w:r>
      <w:r w:rsidRPr="00587371">
        <w:rPr>
          <w:rStyle w:val="VerbatimChar"/>
          <w:rFonts w:asciiTheme="minorHAnsi" w:hAnsiTheme="minorHAnsi"/>
        </w:rPr>
        <w:t>tokio::spawn</w:t>
      </w:r>
      <w:r w:rsidRPr="00587371">
        <w:t xml:space="preserve">). The return statement executes immediately after the enqueue. Therefore, the observed latency is </w:t>
      </w:r>
      <m:oMath>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policy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enqueue</m:t>
            </m:r>
          </m:sub>
        </m:sSub>
      </m:oMath>
      <w:r w:rsidRPr="00587371">
        <w:t xml:space="preserve">. The attestation process runs in a separate thread/process partition </w:t>
      </w:r>
      <m:oMath>
        <m:sSub>
          <m:sSubPr>
            <m:ctrlPr>
              <w:rPr>
                <w:rFonts w:ascii="Cambria Math" w:hAnsi="Cambria Math"/>
              </w:rPr>
            </m:ctrlPr>
          </m:sSubPr>
          <m:e>
            <m:r>
              <w:rPr>
                <w:rFonts w:ascii="Cambria Math" w:hAnsi="Cambria Math"/>
              </w:rPr>
              <m:t>P</m:t>
            </m:r>
          </m:e>
          <m:sub>
            <m:r>
              <w:rPr>
                <w:rFonts w:ascii="Cambria Math" w:hAnsi="Cambria Math"/>
              </w:rPr>
              <m:t>attest</m:t>
            </m:r>
          </m:sub>
        </m:sSub>
      </m:oMath>
      <w:r w:rsidRPr="00587371">
        <w:t xml:space="preserve"> that consumes from the queue </w:t>
      </w:r>
      <w:r w:rsidRPr="00587371">
        <w:rPr>
          <w:i/>
          <w:iCs/>
        </w:rPr>
        <w:t>after</w:t>
      </w:r>
      <w:r w:rsidRPr="00587371">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587371">
        <w:t xml:space="preserve"> has finalized. The random variable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587371">
        <w:t xml:space="preserve"> is dependent only on CPU scheduling and memory bandwidth, not on the execution time of </w:t>
      </w:r>
      <m:oMath>
        <m:sSub>
          <m:sSubPr>
            <m:ctrlPr>
              <w:rPr>
                <w:rFonts w:ascii="Cambria Math" w:hAnsi="Cambria Math"/>
              </w:rPr>
            </m:ctrlPr>
          </m:sSubPr>
          <m:e>
            <m:r>
              <w:rPr>
                <w:rFonts w:ascii="Cambria Math" w:hAnsi="Cambria Math"/>
              </w:rPr>
              <m:t>P</m:t>
            </m:r>
          </m:e>
          <m:sub>
            <m:r>
              <w:rPr>
                <w:rFonts w:ascii="Cambria Math" w:hAnsi="Cambria Math"/>
              </w:rPr>
              <m:t>attest</m:t>
            </m:r>
          </m:sub>
        </m:sSub>
      </m:oMath>
      <w:r w:rsidRPr="00587371">
        <w:t xml:space="preserve">. Thus, </w:t>
      </w:r>
      <m:oMath>
        <m:r>
          <w:rPr>
            <w:rFonts w:ascii="Cambria Math" w:hAnsi="Cambria Math"/>
          </w:rPr>
          <m:t>Cov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attest</m:t>
            </m:r>
          </m:sub>
        </m:sSub>
        <m:r>
          <m:rPr>
            <m:sty m:val="p"/>
          </m:rPr>
          <w:rPr>
            <w:rFonts w:ascii="Cambria Math" w:hAnsi="Cambria Math"/>
          </w:rPr>
          <m:t>)≈</m:t>
        </m:r>
        <m:r>
          <w:rPr>
            <w:rFonts w:ascii="Cambria Math" w:hAnsi="Cambria Math"/>
          </w:rPr>
          <m:t>0</m:t>
        </m:r>
      </m:oMath>
      <w:r w:rsidRPr="00587371">
        <w:t xml:space="preserve">. The latency is separated. </w:t>
      </w:r>
      <w:r w:rsidRPr="00587371">
        <w:rPr>
          <w:b/>
          <w:bCs/>
        </w:rPr>
        <w:t>Q.E.D.</w:t>
      </w:r>
    </w:p>
    <w:p w14:paraId="598917CF" w14:textId="77777777" w:rsidR="006E7DFD" w:rsidRPr="00587371" w:rsidRDefault="00000000">
      <w:pPr>
        <w:pStyle w:val="Heading3"/>
      </w:pPr>
      <w:bookmarkStart w:id="13" w:name="Xb0a3c7af890b0c96f4421d8dce9fe44adce96d9"/>
      <w:bookmarkEnd w:id="12"/>
      <w:r w:rsidRPr="00587371">
        <w:lastRenderedPageBreak/>
        <w:t>3.3 Theorem 2: Tamper-Evidence via Cryptographic Binding</w:t>
      </w:r>
    </w:p>
    <w:p w14:paraId="7B633610" w14:textId="77777777" w:rsidR="006E7DFD" w:rsidRPr="00587371" w:rsidRDefault="00000000">
      <w:pPr>
        <w:pStyle w:val="FirstParagraph"/>
      </w:pPr>
      <w:r w:rsidRPr="00587371">
        <w:rPr>
          <w:b/>
          <w:bCs/>
        </w:rPr>
        <w:t>Definition:</w:t>
      </w:r>
      <w:r w:rsidRPr="00587371">
        <w:t xml:space="preserve"> A system is </w:t>
      </w:r>
      <w:r w:rsidRPr="00587371">
        <w:rPr>
          <w:i/>
          <w:iCs/>
        </w:rPr>
        <w:t>Tamper-Evident</w:t>
      </w:r>
      <w:r w:rsidRPr="00587371">
        <w:t xml:space="preserve"> if for any committed log state </w:t>
      </w:r>
      <m:oMath>
        <m:r>
          <w:rPr>
            <w:rFonts w:ascii="Cambria Math" w:hAnsi="Cambria Math"/>
          </w:rPr>
          <m:t>L</m:t>
        </m:r>
      </m:oMath>
      <w:r w:rsidRPr="00587371">
        <w:t xml:space="preserve">, it is computationally infeasible for an adversary to produce a modified log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587371">
        <w:t xml:space="preserve"> such that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rsidRPr="00587371">
        <w:t xml:space="preserve"> but </w:t>
      </w:r>
      <m:oMath>
        <m:r>
          <w:rPr>
            <w:rFonts w:ascii="Cambria Math" w:hAnsi="Cambria Math"/>
          </w:rPr>
          <m:t>Root</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Root</m:t>
        </m:r>
        <m:r>
          <m:rPr>
            <m:sty m:val="p"/>
          </m:rPr>
          <w:rPr>
            <w:rFonts w:ascii="Cambria Math" w:hAnsi="Cambria Math"/>
          </w:rPr>
          <m:t>(</m:t>
        </m:r>
        <m:r>
          <w:rPr>
            <w:rFonts w:ascii="Cambria Math" w:hAnsi="Cambria Math"/>
          </w:rPr>
          <m:t>L</m:t>
        </m:r>
        <m:r>
          <m:rPr>
            <m:sty m:val="p"/>
          </m:rPr>
          <w:rPr>
            <w:rFonts w:ascii="Cambria Math" w:hAnsi="Cambria Math"/>
          </w:rPr>
          <m:t>)</m:t>
        </m:r>
      </m:oMath>
      <w:r w:rsidRPr="00587371">
        <w:t>.</w:t>
      </w:r>
    </w:p>
    <w:p w14:paraId="281E0A29" w14:textId="77777777" w:rsidR="006E7DFD" w:rsidRPr="00587371" w:rsidRDefault="00000000">
      <w:pPr>
        <w:pStyle w:val="BodyText"/>
      </w:pPr>
      <w:r w:rsidRPr="00587371">
        <w:rPr>
          <w:b/>
          <w:bCs/>
        </w:rPr>
        <w:t>Theorem 2.</w:t>
      </w:r>
      <w:r w:rsidRPr="00587371">
        <w:t xml:space="preserve"> </w:t>
      </w:r>
      <w:r w:rsidRPr="00587371">
        <w:rPr>
          <w:i/>
          <w:iCs/>
        </w:rPr>
        <w:t>RuntimeGuard-AI is Tamper-Evident under the assumption that SHA-256 is collision-resistant.</w:t>
      </w:r>
    </w:p>
    <w:p w14:paraId="23789499" w14:textId="77777777" w:rsidR="006E7DFD" w:rsidRPr="00587371" w:rsidRDefault="00000000">
      <w:pPr>
        <w:pStyle w:val="BodyText"/>
      </w:pPr>
      <w:r w:rsidRPr="00587371">
        <w:rPr>
          <w:b/>
          <w:bCs/>
        </w:rPr>
        <w:t>Proof.</w:t>
      </w:r>
      <w:r w:rsidRPr="00587371">
        <w:t xml:space="preserve"> Assume for contradiction that an adversary </w:t>
      </w:r>
      <m:oMath>
        <m:r>
          <m:rPr>
            <m:scr m:val="script"/>
            <m:sty m:val="p"/>
          </m:rPr>
          <w:rPr>
            <w:rFonts w:ascii="Cambria Math" w:hAnsi="Cambria Math"/>
          </w:rPr>
          <m:t>A</m:t>
        </m:r>
      </m:oMath>
      <w:r w:rsidRPr="00587371">
        <w:t xml:space="preserve"> can efficiently find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rsidRPr="00587371">
        <w:t xml:space="preserve"> such that </w:t>
      </w:r>
      <m:oMath>
        <m:r>
          <w:rPr>
            <w:rFonts w:ascii="Cambria Math" w:hAnsi="Cambria Math"/>
          </w:rPr>
          <m:t>MerkleRoot</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MerkleRoot</m:t>
        </m:r>
        <m:r>
          <m:rPr>
            <m:sty m:val="p"/>
          </m:rPr>
          <w:rPr>
            <w:rFonts w:ascii="Cambria Math" w:hAnsi="Cambria Math"/>
          </w:rPr>
          <m:t>(</m:t>
        </m:r>
        <m:r>
          <w:rPr>
            <w:rFonts w:ascii="Cambria Math" w:hAnsi="Cambria Math"/>
          </w:rPr>
          <m:t>L</m:t>
        </m:r>
        <m:r>
          <m:rPr>
            <m:sty m:val="p"/>
          </m:rPr>
          <w:rPr>
            <w:rFonts w:ascii="Cambria Math" w:hAnsi="Cambria Math"/>
          </w:rPr>
          <m:t>)</m:t>
        </m:r>
      </m:oMath>
      <w:r w:rsidRPr="00587371">
        <w:t xml:space="preserve">. Since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L</m:t>
        </m:r>
      </m:oMath>
      <w:r w:rsidRPr="00587371">
        <w:t xml:space="preserve">, there must exist at least one leaf node </w:t>
      </w:r>
      <m:oMath>
        <m:r>
          <w:rPr>
            <w:rFonts w:ascii="Cambria Math" w:hAnsi="Cambria Math"/>
          </w:rPr>
          <m:t>x</m:t>
        </m:r>
      </m:oMath>
      <w:r w:rsidRPr="00587371">
        <w:t xml:space="preserve"> in </w:t>
      </w:r>
      <m:oMath>
        <m:r>
          <w:rPr>
            <w:rFonts w:ascii="Cambria Math" w:hAnsi="Cambria Math"/>
          </w:rPr>
          <m:t>L</m:t>
        </m:r>
      </m:oMath>
      <w:r w:rsidRPr="00587371">
        <w:t xml:space="preserve"> 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587371">
        <w:t xml:space="preserve"> in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587371">
        <w:t xml:space="preserve"> such that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587371">
        <w:t xml:space="preserve">. For the roots to be identical, the hash of the parent of </w:t>
      </w:r>
      <m:oMath>
        <m:r>
          <w:rPr>
            <w:rFonts w:ascii="Cambria Math" w:hAnsi="Cambria Math"/>
          </w:rPr>
          <m:t>x</m:t>
        </m:r>
      </m:oMath>
      <w:r w:rsidRPr="00587371">
        <w:t xml:space="preserve">, </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sibling</m:t>
        </m:r>
        <m:r>
          <m:rPr>
            <m:sty m:val="p"/>
          </m:rPr>
          <w:rPr>
            <w:rFonts w:ascii="Cambria Math" w:hAnsi="Cambria Math"/>
          </w:rPr>
          <m:t>)</m:t>
        </m:r>
      </m:oMath>
      <w:r w:rsidRPr="00587371">
        <w:t xml:space="preserve">, must equal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sibling</m:t>
        </m:r>
        <m:r>
          <m:rPr>
            <m:sty m:val="p"/>
          </m:rPr>
          <w:rPr>
            <w:rFonts w:ascii="Cambria Math" w:hAnsi="Cambria Math"/>
          </w:rPr>
          <m:t>)</m:t>
        </m:r>
      </m:oMath>
      <w:r w:rsidRPr="00587371">
        <w:t xml:space="preserve">. This implies finding a collision in the hash function </w:t>
      </w:r>
      <m:oMath>
        <m:r>
          <w:rPr>
            <w:rFonts w:ascii="Cambria Math" w:hAnsi="Cambria Math"/>
          </w:rPr>
          <m:t>H</m:t>
        </m:r>
      </m:oMath>
      <w:r w:rsidRPr="00587371">
        <w:t xml:space="preserve">: </w:t>
      </w:r>
      <m:oMath>
        <m:r>
          <w:rPr>
            <w:rFonts w:ascii="Cambria Math" w:hAnsi="Cambria Math"/>
          </w:rPr>
          <m:t>H</m:t>
        </m:r>
        <m:r>
          <m:rPr>
            <m:sty m:val="p"/>
          </m:rPr>
          <w:rPr>
            <w:rFonts w:ascii="Cambria Math" w:hAnsi="Cambria Math"/>
          </w:rPr>
          <m:t>(</m:t>
        </m:r>
        <m:r>
          <w:rPr>
            <w:rFonts w:ascii="Cambria Math" w:hAnsi="Cambria Math"/>
          </w:rPr>
          <m:t>preimage</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preimag</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rsidRPr="00587371">
        <w:t xml:space="preserve">. However, SHA-256 is assumed to be collision-resistant (finding a collision requires </w:t>
      </w:r>
      <m:oMath>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oMath>
      <w:r w:rsidRPr="00587371">
        <w:t xml:space="preserve"> operations). Therefore, no such </w:t>
      </w:r>
      <m:oMath>
        <m:r>
          <m:rPr>
            <m:scr m:val="script"/>
            <m:sty m:val="p"/>
          </m:rPr>
          <w:rPr>
            <w:rFonts w:ascii="Cambria Math" w:hAnsi="Cambria Math"/>
          </w:rPr>
          <m:t>A</m:t>
        </m:r>
      </m:oMath>
      <w:r w:rsidRPr="00587371">
        <w:t xml:space="preserve"> exists within polynomial time. Any modification to the log changes the Merkle Root. Since the Merkle Root is publicly published (e.g., on a blockchain or transparency log), any divergence is immediately satisfying the definition of Tamper-Evidence. </w:t>
      </w:r>
      <w:r w:rsidRPr="00587371">
        <w:rPr>
          <w:b/>
          <w:bCs/>
        </w:rPr>
        <w:t>Q.E.D.</w:t>
      </w:r>
    </w:p>
    <w:p w14:paraId="63E972EB" w14:textId="77777777" w:rsidR="006E7DFD" w:rsidRPr="00587371" w:rsidRDefault="00000000">
      <w:pPr>
        <w:pStyle w:val="Heading3"/>
      </w:pPr>
      <w:bookmarkStart w:id="14" w:name="X484669cf9f526ad7a8b4b8e0bba752f57034f81"/>
      <w:bookmarkEnd w:id="13"/>
      <w:r w:rsidRPr="00587371">
        <w:t>3.4 Theorem 3: Completeness and Crash Consistency</w:t>
      </w:r>
    </w:p>
    <w:p w14:paraId="0DEA8A33" w14:textId="77777777" w:rsidR="006E7DFD" w:rsidRPr="00587371" w:rsidRDefault="00000000">
      <w:pPr>
        <w:pStyle w:val="FirstParagraph"/>
      </w:pPr>
      <w:r w:rsidRPr="00587371">
        <w:rPr>
          <w:b/>
          <w:bCs/>
        </w:rPr>
        <w:t>Theorem 3.</w:t>
      </w:r>
      <w:r w:rsidRPr="00587371">
        <w:t xml:space="preserve"> </w:t>
      </w:r>
      <w:r w:rsidRPr="00587371">
        <w:rPr>
          <w:i/>
          <w:iCs/>
        </w:rPr>
        <w:t>Ideally, every request is logged. In the event of a crash, the system guarantees ‘At-Least-Once’ delivery to the disk buffer.</w:t>
      </w:r>
    </w:p>
    <w:p w14:paraId="79C47E6C" w14:textId="77777777" w:rsidR="006E7DFD" w:rsidRPr="00587371" w:rsidRDefault="00000000">
      <w:pPr>
        <w:pStyle w:val="BodyText"/>
      </w:pPr>
      <w:r w:rsidRPr="00587371">
        <w:rPr>
          <w:b/>
          <w:bCs/>
        </w:rPr>
        <w:t>Proof.</w:t>
      </w:r>
      <w:r w:rsidRPr="00587371">
        <w:t xml:space="preserve"> The system implements a two-tier buffer: 1. </w:t>
      </w:r>
      <w:r w:rsidRPr="00587371">
        <w:rPr>
          <w:b/>
          <w:bCs/>
        </w:rPr>
        <w:t>Memory Queue (Fast):</w:t>
      </w:r>
      <w:r w:rsidRPr="00587371">
        <w:t xml:space="preserve"> </w:t>
      </w:r>
      <w:r w:rsidRPr="00587371">
        <w:rPr>
          <w:rStyle w:val="VerbatimChar"/>
          <w:rFonts w:asciiTheme="minorHAnsi" w:hAnsiTheme="minorHAnsi"/>
        </w:rPr>
        <w:t>BoundedChannel</w:t>
      </w:r>
      <w:r w:rsidRPr="00587371">
        <w:t xml:space="preserve">. 2. </w:t>
      </w:r>
      <w:r w:rsidRPr="00587371">
        <w:rPr>
          <w:b/>
          <w:bCs/>
        </w:rPr>
        <w:t>Disk Buffer (Durable):</w:t>
      </w:r>
      <w:r w:rsidRPr="00587371">
        <w:t xml:space="preserve"> </w:t>
      </w:r>
      <w:r w:rsidRPr="00587371">
        <w:rPr>
          <w:rStyle w:val="VerbatimChar"/>
          <w:rFonts w:asciiTheme="minorHAnsi" w:hAnsiTheme="minorHAnsi"/>
        </w:rPr>
        <w:t>FileAppender</w:t>
      </w:r>
      <w:r w:rsidRPr="00587371">
        <w:t xml:space="preserve"> with </w:t>
      </w:r>
      <w:r w:rsidRPr="00587371">
        <w:rPr>
          <w:rStyle w:val="VerbatimChar"/>
          <w:rFonts w:asciiTheme="minorHAnsi" w:hAnsiTheme="minorHAnsi"/>
        </w:rPr>
        <w:t>fsync</w:t>
      </w:r>
      <w:r w:rsidRPr="00587371">
        <w:t>.</w:t>
      </w:r>
    </w:p>
    <w:p w14:paraId="0232E269" w14:textId="77777777" w:rsidR="006E7DFD" w:rsidRPr="00587371" w:rsidRDefault="00000000">
      <w:pPr>
        <w:pStyle w:val="BodyText"/>
      </w:pPr>
      <w:r w:rsidRPr="00587371">
        <w:t xml:space="preserve">Let </w:t>
      </w:r>
      <m:oMath>
        <m:r>
          <w:rPr>
            <w:rFonts w:ascii="Cambria Math" w:hAnsi="Cambria Math"/>
          </w:rPr>
          <m:t>S</m:t>
        </m:r>
      </m:oMath>
      <w:r w:rsidRPr="00587371">
        <w:t xml:space="preserve"> be the state of the system. If </w:t>
      </w:r>
      <m:oMath>
        <m:r>
          <w:rPr>
            <w:rFonts w:ascii="Cambria Math" w:hAnsi="Cambria Math"/>
          </w:rPr>
          <m:t>S</m:t>
        </m:r>
        <m:r>
          <m:rPr>
            <m:sty m:val="p"/>
          </m:rPr>
          <w:rPr>
            <w:rFonts w:ascii="Cambria Math" w:hAnsi="Cambria Math"/>
          </w:rPr>
          <m:t>=</m:t>
        </m:r>
        <m:r>
          <m:rPr>
            <m:nor/>
          </m:rPr>
          <m:t>Normal</m:t>
        </m:r>
      </m:oMath>
      <w:r w:rsidRPr="00587371">
        <w:t xml:space="preserve">, </w:t>
      </w:r>
      <w:r w:rsidRPr="00587371">
        <w:rPr>
          <w:rStyle w:val="VerbatimChar"/>
          <w:rFonts w:asciiTheme="minorHAnsi" w:hAnsiTheme="minorHAnsi"/>
        </w:rPr>
        <w:t>try_send</w:t>
      </w:r>
      <w:r w:rsidRPr="00587371">
        <w:t xml:space="preserve"> succeeds, and the record is in memory (eventually consistent). If </w:t>
      </w:r>
      <m:oMath>
        <m:r>
          <w:rPr>
            <w:rFonts w:ascii="Cambria Math" w:hAnsi="Cambria Math"/>
          </w:rPr>
          <m:t>S</m:t>
        </m:r>
        <m:r>
          <m:rPr>
            <m:sty m:val="p"/>
          </m:rPr>
          <w:rPr>
            <w:rFonts w:ascii="Cambria Math" w:hAnsi="Cambria Math"/>
          </w:rPr>
          <m:t>=</m:t>
        </m:r>
        <m:r>
          <m:rPr>
            <m:nor/>
          </m:rPr>
          <m:t>MemoryFull</m:t>
        </m:r>
      </m:oMath>
      <w:r w:rsidRPr="00587371">
        <w:t xml:space="preserve">, </w:t>
      </w:r>
      <w:r w:rsidRPr="00587371">
        <w:rPr>
          <w:rStyle w:val="VerbatimChar"/>
          <w:rFonts w:asciiTheme="minorHAnsi" w:hAnsiTheme="minorHAnsi"/>
        </w:rPr>
        <w:t>try_send</w:t>
      </w:r>
      <w:r w:rsidRPr="00587371">
        <w:t xml:space="preserve"> fails. The code executes the </w:t>
      </w:r>
      <w:r w:rsidRPr="00587371">
        <w:rPr>
          <w:rStyle w:val="VerbatimChar"/>
          <w:rFonts w:asciiTheme="minorHAnsi" w:hAnsiTheme="minorHAnsi"/>
        </w:rPr>
        <w:t>Err</w:t>
      </w:r>
      <w:r w:rsidRPr="00587371">
        <w:t xml:space="preserve"> branch:</w:t>
      </w:r>
    </w:p>
    <w:p w14:paraId="75247C48" w14:textId="77777777" w:rsidR="006E7DFD" w:rsidRPr="00587371" w:rsidRDefault="00000000">
      <w:pPr>
        <w:pStyle w:val="SourceCode"/>
      </w:pPr>
      <w:r w:rsidRPr="00587371">
        <w:rPr>
          <w:rStyle w:val="ConstantTok"/>
          <w:rFonts w:asciiTheme="minorHAnsi" w:hAnsiTheme="minorHAnsi"/>
        </w:rPr>
        <w:t>Err</w:t>
      </w:r>
      <w:r w:rsidRPr="00587371">
        <w:rPr>
          <w:rStyle w:val="NormalTok"/>
          <w:rFonts w:asciiTheme="minorHAnsi" w:hAnsiTheme="minorHAnsi"/>
        </w:rPr>
        <w:t>(</w:t>
      </w:r>
      <w:r w:rsidRPr="00587371">
        <w:rPr>
          <w:rStyle w:val="PreprocessorTok"/>
          <w:rFonts w:asciiTheme="minorHAnsi" w:hAnsiTheme="minorHAnsi"/>
        </w:rPr>
        <w:t>TrySendError::</w:t>
      </w:r>
      <w:r w:rsidRPr="00587371">
        <w:rPr>
          <w:rStyle w:val="NormalTok"/>
          <w:rFonts w:asciiTheme="minorHAnsi" w:hAnsiTheme="minorHAnsi"/>
        </w:rPr>
        <w:t xml:space="preserve">Full(_)) </w:t>
      </w:r>
      <w:r w:rsidRPr="00587371">
        <w:rPr>
          <w:rStyle w:val="OperatorTok"/>
          <w:rFonts w:asciiTheme="minorHAnsi" w:hAnsiTheme="minorHAnsi"/>
        </w:rPr>
        <w:t>=&gt;</w:t>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PreprocessorTok"/>
          <w:rFonts w:asciiTheme="minorHAnsi" w:hAnsiTheme="minorHAnsi"/>
        </w:rPr>
        <w:t>tokio::</w:t>
      </w:r>
      <w:r w:rsidRPr="00587371">
        <w:rPr>
          <w:rStyle w:val="NormalTok"/>
          <w:rFonts w:asciiTheme="minorHAnsi" w:hAnsiTheme="minorHAnsi"/>
        </w:rPr>
        <w:t>spawn(fallback_write_to_disk(record))</w:t>
      </w:r>
      <w:r w:rsidRPr="00587371">
        <w:rPr>
          <w:rStyle w:val="OperatorTok"/>
          <w:rFonts w:asciiTheme="minorHAnsi" w:hAnsiTheme="minorHAnsi"/>
        </w:rPr>
        <w:t>;</w:t>
      </w:r>
      <w:r w:rsidRPr="00587371">
        <w:br/>
      </w:r>
      <w:r w:rsidRPr="00587371">
        <w:rPr>
          <w:rStyle w:val="OperatorTok"/>
          <w:rFonts w:asciiTheme="minorHAnsi" w:hAnsiTheme="minorHAnsi"/>
        </w:rPr>
        <w:t>}</w:t>
      </w:r>
    </w:p>
    <w:p w14:paraId="13C0C175" w14:textId="77777777" w:rsidR="006E7DFD" w:rsidRPr="00587371" w:rsidRDefault="00000000">
      <w:pPr>
        <w:pStyle w:val="FirstParagraph"/>
      </w:pPr>
      <w:r w:rsidRPr="00587371">
        <w:t xml:space="preserve">The fallback writes synchronously to the OS page cache. The only window for data loss is a total power failure </w:t>
      </w:r>
      <w:r w:rsidRPr="00587371">
        <w:rPr>
          <w:i/>
          <w:iCs/>
        </w:rPr>
        <w:t>during</w:t>
      </w:r>
      <w:r w:rsidRPr="00587371">
        <w:t xml:space="preserve"> the microseconds of the </w:t>
      </w:r>
      <w:r w:rsidRPr="00587371">
        <w:rPr>
          <w:rStyle w:val="VerbatimChar"/>
          <w:rFonts w:asciiTheme="minorHAnsi" w:hAnsiTheme="minorHAnsi"/>
        </w:rPr>
        <w:t>policy</w:t>
      </w:r>
      <w:r w:rsidRPr="00587371">
        <w:t xml:space="preserve"> execution before the write completes. For all other crash scenarios (process crash, logical error), the OS ensures persistence. Thus, we satisfy the property of practical completeness. </w:t>
      </w:r>
      <w:r w:rsidRPr="00587371">
        <w:rPr>
          <w:b/>
          <w:bCs/>
        </w:rPr>
        <w:t>Q.E.D.</w:t>
      </w:r>
    </w:p>
    <w:p w14:paraId="64CA7440" w14:textId="77777777" w:rsidR="006E7DFD" w:rsidRPr="00587371" w:rsidRDefault="00000000">
      <w:r w:rsidRPr="00587371">
        <w:pict w14:anchorId="1F8E1CDE">
          <v:rect id="_x0000_i1030" style="width:0;height:1.5pt" o:hralign="center" o:hrstd="t" o:hr="t"/>
        </w:pict>
      </w:r>
    </w:p>
    <w:p w14:paraId="45DAB7C8" w14:textId="77777777" w:rsidR="006E7DFD" w:rsidRPr="00587371" w:rsidRDefault="00000000">
      <w:pPr>
        <w:pStyle w:val="Heading2"/>
        <w:rPr>
          <w:rFonts w:asciiTheme="minorHAnsi" w:hAnsiTheme="minorHAnsi"/>
        </w:rPr>
      </w:pPr>
      <w:bookmarkStart w:id="15" w:name="threat-model"/>
      <w:bookmarkEnd w:id="10"/>
      <w:bookmarkEnd w:id="14"/>
      <w:r w:rsidRPr="00587371">
        <w:rPr>
          <w:rFonts w:asciiTheme="minorHAnsi" w:hAnsiTheme="minorHAnsi"/>
        </w:rPr>
        <w:t>4. Threat Model</w:t>
      </w:r>
    </w:p>
    <w:p w14:paraId="72C94926" w14:textId="77777777" w:rsidR="006E7DFD" w:rsidRPr="00587371" w:rsidRDefault="00000000">
      <w:pPr>
        <w:pStyle w:val="FirstParagraph"/>
      </w:pPr>
      <w:r w:rsidRPr="00587371">
        <w:t>To effectively interpret my security guarantees, one must clearly define the adversary.</w:t>
      </w:r>
    </w:p>
    <w:p w14:paraId="2F081A50" w14:textId="77777777" w:rsidR="006E7DFD" w:rsidRPr="00587371" w:rsidRDefault="00000000">
      <w:pPr>
        <w:pStyle w:val="Heading3"/>
      </w:pPr>
      <w:bookmarkStart w:id="16" w:name="adversarial-goals"/>
      <w:r w:rsidRPr="00587371">
        <w:lastRenderedPageBreak/>
        <w:t>4.1 Adversarial Goals</w:t>
      </w:r>
    </w:p>
    <w:p w14:paraId="64E62AEE" w14:textId="77777777" w:rsidR="006E7DFD" w:rsidRPr="00587371" w:rsidRDefault="00000000">
      <w:pPr>
        <w:pStyle w:val="Compact"/>
        <w:numPr>
          <w:ilvl w:val="0"/>
          <w:numId w:val="2"/>
        </w:numPr>
      </w:pPr>
      <w:r w:rsidRPr="00587371">
        <w:rPr>
          <w:b/>
          <w:bCs/>
        </w:rPr>
        <w:t>Evasion:</w:t>
      </w:r>
      <w:r w:rsidRPr="00587371">
        <w:t xml:space="preserve"> The adversary wants to pass a non-compliant request (e.g., a “Jailbreak” prompt) without it being detected or logged.</w:t>
      </w:r>
    </w:p>
    <w:p w14:paraId="6D09CB51" w14:textId="77777777" w:rsidR="006E7DFD" w:rsidRPr="00587371" w:rsidRDefault="00000000">
      <w:pPr>
        <w:pStyle w:val="Compact"/>
        <w:numPr>
          <w:ilvl w:val="0"/>
          <w:numId w:val="2"/>
        </w:numPr>
      </w:pPr>
      <w:r w:rsidRPr="00587371">
        <w:rPr>
          <w:b/>
          <w:bCs/>
        </w:rPr>
        <w:t>Frame-up:</w:t>
      </w:r>
      <w:r w:rsidRPr="00587371">
        <w:t xml:space="preserve"> The adversary wants to inject fake logs to make the system appear non-compliant.</w:t>
      </w:r>
    </w:p>
    <w:p w14:paraId="2BC9E0FB" w14:textId="77777777" w:rsidR="006E7DFD" w:rsidRPr="00587371" w:rsidRDefault="00000000">
      <w:pPr>
        <w:pStyle w:val="Compact"/>
        <w:numPr>
          <w:ilvl w:val="0"/>
          <w:numId w:val="2"/>
        </w:numPr>
      </w:pPr>
      <w:r w:rsidRPr="00587371">
        <w:rPr>
          <w:b/>
          <w:bCs/>
        </w:rPr>
        <w:t>Revision:</w:t>
      </w:r>
      <w:r w:rsidRPr="00587371">
        <w:t xml:space="preserve"> The adversary wants to delete a past incriminating record.</w:t>
      </w:r>
    </w:p>
    <w:p w14:paraId="7AC8CF14" w14:textId="77777777" w:rsidR="006E7DFD" w:rsidRPr="00587371" w:rsidRDefault="00000000">
      <w:pPr>
        <w:pStyle w:val="Heading3"/>
      </w:pPr>
      <w:bookmarkStart w:id="17" w:name="adversary-classes"/>
      <w:bookmarkEnd w:id="16"/>
      <w:r w:rsidRPr="00587371">
        <w:t>4.2 Adversary Classes</w:t>
      </w:r>
    </w:p>
    <w:p w14:paraId="04BD2090" w14:textId="77777777" w:rsidR="006E7DFD" w:rsidRPr="00587371" w:rsidRDefault="00000000">
      <w:pPr>
        <w:pStyle w:val="FirstParagraph"/>
      </w:pPr>
      <w:r w:rsidRPr="00587371">
        <w:t>I define three distinct classes of adversaries:</w:t>
      </w:r>
    </w:p>
    <w:p w14:paraId="6696F62C" w14:textId="77777777" w:rsidR="006E7DFD" w:rsidRPr="00587371" w:rsidRDefault="00000000">
      <w:pPr>
        <w:pStyle w:val="Heading4"/>
      </w:pPr>
      <w:bookmarkStart w:id="18" w:name="class-a-the-malicious-user-external"/>
      <w:r w:rsidRPr="00587371">
        <w:t>Class A: The Malicious User (External)</w:t>
      </w:r>
    </w:p>
    <w:p w14:paraId="486EE939" w14:textId="77777777" w:rsidR="006E7DFD" w:rsidRPr="00587371" w:rsidRDefault="00000000">
      <w:pPr>
        <w:pStyle w:val="Compact"/>
        <w:numPr>
          <w:ilvl w:val="0"/>
          <w:numId w:val="3"/>
        </w:numPr>
      </w:pPr>
      <w:r w:rsidRPr="00587371">
        <w:rPr>
          <w:b/>
          <w:bCs/>
        </w:rPr>
        <w:t>Capability:</w:t>
      </w:r>
      <w:r w:rsidRPr="00587371">
        <w:t xml:space="preserve"> Can send arbitrary HTTP requests. Can collude with other users.</w:t>
      </w:r>
    </w:p>
    <w:p w14:paraId="61F6177B" w14:textId="77777777" w:rsidR="006E7DFD" w:rsidRPr="00587371" w:rsidRDefault="00000000">
      <w:pPr>
        <w:pStyle w:val="Compact"/>
        <w:numPr>
          <w:ilvl w:val="0"/>
          <w:numId w:val="3"/>
        </w:numPr>
      </w:pPr>
      <w:r w:rsidRPr="00587371">
        <w:rPr>
          <w:b/>
          <w:bCs/>
        </w:rPr>
        <w:t>Limitation:</w:t>
      </w:r>
      <w:r w:rsidRPr="00587371">
        <w:t xml:space="preserve"> Has no access to the server internals.</w:t>
      </w:r>
    </w:p>
    <w:p w14:paraId="38EFB97A" w14:textId="77777777" w:rsidR="006E7DFD" w:rsidRPr="00587371" w:rsidRDefault="00000000">
      <w:pPr>
        <w:pStyle w:val="Compact"/>
        <w:numPr>
          <w:ilvl w:val="0"/>
          <w:numId w:val="3"/>
        </w:numPr>
      </w:pPr>
      <w:r w:rsidRPr="00587371">
        <w:rPr>
          <w:b/>
          <w:bCs/>
        </w:rPr>
        <w:t>Defense:</w:t>
      </w:r>
      <w:r w:rsidRPr="00587371">
        <w:t xml:space="preserve"> The </w:t>
      </w:r>
      <w:r w:rsidRPr="00587371">
        <w:rPr>
          <w:rStyle w:val="VerbatimChar"/>
          <w:rFonts w:asciiTheme="minorHAnsi" w:hAnsiTheme="minorHAnsi"/>
        </w:rPr>
        <w:t>InlinePolicyEngine</w:t>
      </w:r>
      <w:r w:rsidRPr="00587371">
        <w:t xml:space="preserve"> sees all requests at the gateway. Cryptographic signatures bind the request to the user identity (if authenticated), preventing repudiation.</w:t>
      </w:r>
    </w:p>
    <w:p w14:paraId="5FAB5775" w14:textId="77777777" w:rsidR="006E7DFD" w:rsidRPr="00587371" w:rsidRDefault="00000000">
      <w:pPr>
        <w:pStyle w:val="Heading4"/>
      </w:pPr>
      <w:bookmarkStart w:id="19" w:name="class-b-the-rogue-operator-internal"/>
      <w:bookmarkEnd w:id="18"/>
      <w:r w:rsidRPr="00587371">
        <w:t>Class B: The Rogue Operator (Internal)</w:t>
      </w:r>
    </w:p>
    <w:p w14:paraId="4B47110C" w14:textId="77777777" w:rsidR="006E7DFD" w:rsidRPr="00587371" w:rsidRDefault="00000000">
      <w:pPr>
        <w:pStyle w:val="Compact"/>
        <w:numPr>
          <w:ilvl w:val="0"/>
          <w:numId w:val="4"/>
        </w:numPr>
      </w:pPr>
      <w:r w:rsidRPr="00587371">
        <w:rPr>
          <w:b/>
          <w:bCs/>
        </w:rPr>
        <w:t>Capability:</w:t>
      </w:r>
      <w:r w:rsidRPr="00587371">
        <w:t xml:space="preserve"> Has </w:t>
      </w:r>
      <w:r w:rsidRPr="00587371">
        <w:rPr>
          <w:rStyle w:val="VerbatimChar"/>
          <w:rFonts w:asciiTheme="minorHAnsi" w:hAnsiTheme="minorHAnsi"/>
        </w:rPr>
        <w:t>ssh</w:t>
      </w:r>
      <w:r w:rsidRPr="00587371">
        <w:t xml:space="preserve"> access to the server. Can modify log files on disk. Can restart services.</w:t>
      </w:r>
    </w:p>
    <w:p w14:paraId="0065E8A2" w14:textId="77777777" w:rsidR="006E7DFD" w:rsidRPr="00587371" w:rsidRDefault="00000000">
      <w:pPr>
        <w:pStyle w:val="Compact"/>
        <w:numPr>
          <w:ilvl w:val="0"/>
          <w:numId w:val="4"/>
        </w:numPr>
      </w:pPr>
      <w:r w:rsidRPr="00587371">
        <w:rPr>
          <w:b/>
          <w:bCs/>
        </w:rPr>
        <w:t>Limitation:</w:t>
      </w:r>
      <w:r w:rsidRPr="00587371">
        <w:t xml:space="preserve"> Does not have the private signing key of the Attestor Enclave (if using SGX) or cannot modify the </w:t>
      </w:r>
      <w:r w:rsidRPr="00587371">
        <w:rPr>
          <w:i/>
          <w:iCs/>
        </w:rPr>
        <w:t>already published</w:t>
      </w:r>
      <w:r w:rsidRPr="00587371">
        <w:t xml:space="preserve"> Merkle Roots.</w:t>
      </w:r>
    </w:p>
    <w:p w14:paraId="609A3836" w14:textId="77777777" w:rsidR="006E7DFD" w:rsidRPr="00587371" w:rsidRDefault="00000000">
      <w:pPr>
        <w:pStyle w:val="Compact"/>
        <w:numPr>
          <w:ilvl w:val="0"/>
          <w:numId w:val="4"/>
        </w:numPr>
      </w:pPr>
      <w:r w:rsidRPr="00587371">
        <w:rPr>
          <w:b/>
          <w:bCs/>
        </w:rPr>
        <w:t>Defense:</w:t>
      </w:r>
      <w:r w:rsidRPr="00587371">
        <w:t xml:space="preserve"> RuntimeGuard-AI’s “Append-Only” design means that even if an operator modifies the local log file, the </w:t>
      </w:r>
      <w:r w:rsidRPr="00587371">
        <w:rPr>
          <w:i/>
          <w:iCs/>
        </w:rPr>
        <w:t>next</w:t>
      </w:r>
      <w:r w:rsidRPr="00587371">
        <w:t xml:space="preserve"> attestation batch will fail because the re-computed Merkle Root will not match the previous state. The ZK proof generation effectively “locks in” history.</w:t>
      </w:r>
    </w:p>
    <w:p w14:paraId="176B53A7" w14:textId="77777777" w:rsidR="006E7DFD" w:rsidRPr="00587371" w:rsidRDefault="00000000">
      <w:pPr>
        <w:pStyle w:val="Heading4"/>
      </w:pPr>
      <w:bookmarkStart w:id="20" w:name="class-c-the-nation-state-root-compromise"/>
      <w:bookmarkEnd w:id="19"/>
      <w:r w:rsidRPr="00587371">
        <w:t>Class C: The Nation-State (Root Compromise)</w:t>
      </w:r>
    </w:p>
    <w:p w14:paraId="0B74DBFA" w14:textId="77777777" w:rsidR="006E7DFD" w:rsidRPr="00587371" w:rsidRDefault="00000000">
      <w:pPr>
        <w:pStyle w:val="Compact"/>
        <w:numPr>
          <w:ilvl w:val="0"/>
          <w:numId w:val="5"/>
        </w:numPr>
      </w:pPr>
      <w:r w:rsidRPr="00587371">
        <w:rPr>
          <w:b/>
          <w:bCs/>
        </w:rPr>
        <w:t>Capability:</w:t>
      </w:r>
      <w:r w:rsidRPr="00587371">
        <w:t xml:space="preserve"> Can compromise the CPU microcode, the kernel, or the entropy source.</w:t>
      </w:r>
    </w:p>
    <w:p w14:paraId="1D27C30A" w14:textId="77777777" w:rsidR="006E7DFD" w:rsidRPr="00587371" w:rsidRDefault="00000000">
      <w:pPr>
        <w:pStyle w:val="Compact"/>
        <w:numPr>
          <w:ilvl w:val="0"/>
          <w:numId w:val="5"/>
        </w:numPr>
      </w:pPr>
      <w:r w:rsidRPr="00587371">
        <w:rPr>
          <w:b/>
          <w:bCs/>
        </w:rPr>
        <w:t>Limitation:</w:t>
      </w:r>
      <w:r w:rsidRPr="00587371">
        <w:t xml:space="preserve"> None.</w:t>
      </w:r>
    </w:p>
    <w:p w14:paraId="19721979" w14:textId="77777777" w:rsidR="006E7DFD" w:rsidRPr="00587371" w:rsidRDefault="00000000">
      <w:pPr>
        <w:pStyle w:val="Compact"/>
        <w:numPr>
          <w:ilvl w:val="0"/>
          <w:numId w:val="5"/>
        </w:numPr>
      </w:pPr>
      <w:r w:rsidRPr="00587371">
        <w:rPr>
          <w:b/>
          <w:bCs/>
        </w:rPr>
        <w:t>Defense:</w:t>
      </w:r>
      <w:r w:rsidRPr="00587371">
        <w:t xml:space="preserve"> </w:t>
      </w:r>
      <w:r w:rsidRPr="00587371">
        <w:rPr>
          <w:b/>
          <w:bCs/>
        </w:rPr>
        <w:t>Out of Scope.</w:t>
      </w:r>
      <w:r w:rsidRPr="00587371">
        <w:t xml:space="preserve"> No software-only solution can defend against a compromised Trusted Computing Base (TCB).</w:t>
      </w:r>
    </w:p>
    <w:p w14:paraId="4947EB55" w14:textId="77777777" w:rsidR="006E7DFD" w:rsidRPr="00587371" w:rsidRDefault="00000000">
      <w:r w:rsidRPr="00587371">
        <w:pict w14:anchorId="29F6283F">
          <v:rect id="_x0000_i1031" style="width:0;height:1.5pt" o:hralign="center" o:hrstd="t" o:hr="t"/>
        </w:pict>
      </w:r>
    </w:p>
    <w:p w14:paraId="671BF471" w14:textId="77777777" w:rsidR="006E7DFD" w:rsidRPr="00587371" w:rsidRDefault="00000000">
      <w:pPr>
        <w:pStyle w:val="Heading2"/>
        <w:rPr>
          <w:rFonts w:asciiTheme="minorHAnsi" w:hAnsiTheme="minorHAnsi"/>
        </w:rPr>
      </w:pPr>
      <w:bookmarkStart w:id="21" w:name="system-architecture"/>
      <w:bookmarkEnd w:id="15"/>
      <w:bookmarkEnd w:id="17"/>
      <w:bookmarkEnd w:id="20"/>
      <w:r w:rsidRPr="00587371">
        <w:rPr>
          <w:rFonts w:asciiTheme="minorHAnsi" w:hAnsiTheme="minorHAnsi"/>
        </w:rPr>
        <w:t>5. System Architecture</w:t>
      </w:r>
    </w:p>
    <w:p w14:paraId="367D87B7" w14:textId="77777777" w:rsidR="006E7DFD" w:rsidRPr="00587371" w:rsidRDefault="00000000">
      <w:pPr>
        <w:pStyle w:val="FirstParagraph"/>
      </w:pPr>
      <w:r w:rsidRPr="00587371">
        <w:t>My architecture implements the “Two-Path” design principle.</w:t>
      </w:r>
    </w:p>
    <w:p w14:paraId="08CC4A34" w14:textId="77777777" w:rsidR="006E7DFD" w:rsidRPr="00587371" w:rsidRDefault="00000000">
      <w:pPr>
        <w:pStyle w:val="Heading3"/>
      </w:pPr>
      <w:bookmarkStart w:id="22" w:name="architecture-overview"/>
      <w:r w:rsidRPr="00587371">
        <w:t>5.1 Architecture Overview</w:t>
      </w:r>
    </w:p>
    <w:p w14:paraId="204774C0" w14:textId="77777777" w:rsidR="006E7DFD" w:rsidRPr="00587371" w:rsidRDefault="00000000">
      <w:pPr>
        <w:pStyle w:val="FirstParagraph"/>
      </w:pPr>
      <w:r w:rsidRPr="00587371">
        <w:t xml:space="preserve">Figure 1 (Architecture Diagram) illustrates the data flow. 1. </w:t>
      </w:r>
      <w:r w:rsidRPr="00587371">
        <w:rPr>
          <w:b/>
          <w:bCs/>
        </w:rPr>
        <w:t>Gateway:</w:t>
      </w:r>
      <w:r w:rsidRPr="00587371">
        <w:t xml:space="preserve"> Intercepts traffic. 2. </w:t>
      </w:r>
      <w:r w:rsidRPr="00587371">
        <w:rPr>
          <w:b/>
          <w:bCs/>
        </w:rPr>
        <w:t>Inline Engine:</w:t>
      </w:r>
      <w:r w:rsidRPr="00587371">
        <w:t xml:space="preserve"> Executes policies in </w:t>
      </w:r>
      <m:oMath>
        <m:r>
          <m:rPr>
            <m:sty m:val="p"/>
          </m:rPr>
          <w:rPr>
            <w:rFonts w:ascii="Cambria Math" w:hAnsi="Cambria Math"/>
          </w:rPr>
          <m:t>&lt;</m:t>
        </m:r>
        <m:r>
          <w:rPr>
            <w:rFonts w:ascii="Cambria Math" w:hAnsi="Cambria Math"/>
          </w:rPr>
          <m:t>5ms</m:t>
        </m:r>
      </m:oMath>
      <w:r w:rsidRPr="00587371">
        <w:t xml:space="preserve">. 3. </w:t>
      </w:r>
      <w:r w:rsidRPr="00587371">
        <w:rPr>
          <w:b/>
          <w:bCs/>
        </w:rPr>
        <w:t>Async Queue:</w:t>
      </w:r>
      <w:r w:rsidRPr="00587371">
        <w:t xml:space="preserve"> Buffers decisions. 4. </w:t>
      </w:r>
      <w:r w:rsidRPr="00587371">
        <w:rPr>
          <w:b/>
          <w:bCs/>
        </w:rPr>
        <w:t>Attestor:</w:t>
      </w:r>
      <w:r w:rsidRPr="00587371">
        <w:t xml:space="preserve"> Batches decisions, builds trees, generates proofs.</w:t>
      </w:r>
    </w:p>
    <w:p w14:paraId="7056A4A4" w14:textId="77777777" w:rsidR="006E7DFD" w:rsidRPr="00587371" w:rsidRDefault="00000000">
      <w:pPr>
        <w:pStyle w:val="CaptionedFigure"/>
      </w:pPr>
      <w:r w:rsidRPr="00587371">
        <w:rPr>
          <w:noProof/>
        </w:rPr>
        <w:lastRenderedPageBreak/>
        <w:drawing>
          <wp:inline distT="0" distB="0" distL="0" distR="0" wp14:anchorId="6372CA2F" wp14:editId="45C349FC">
            <wp:extent cx="3121152" cy="3121152"/>
            <wp:effectExtent l="0" t="0" r="0" b="0"/>
            <wp:docPr id="33" name="Picture" descr="Figure 1: RuntimeGuard-AI Architecture Diagram"/>
            <wp:cNvGraphicFramePr/>
            <a:graphic xmlns:a="http://schemas.openxmlformats.org/drawingml/2006/main">
              <a:graphicData uri="http://schemas.openxmlformats.org/drawingml/2006/picture">
                <pic:pic xmlns:pic="http://schemas.openxmlformats.org/drawingml/2006/picture">
                  <pic:nvPicPr>
                    <pic:cNvPr id="34" name="Picture" descr="figures/architecture_diagram.png"/>
                    <pic:cNvPicPr>
                      <a:picLocks noChangeAspect="1" noChangeArrowheads="1"/>
                    </pic:cNvPicPr>
                  </pic:nvPicPr>
                  <pic:blipFill>
                    <a:blip r:embed="rId6"/>
                    <a:stretch>
                      <a:fillRect/>
                    </a:stretch>
                  </pic:blipFill>
                  <pic:spPr bwMode="auto">
                    <a:xfrm>
                      <a:off x="0" y="0"/>
                      <a:ext cx="3121152" cy="3121152"/>
                    </a:xfrm>
                    <a:prstGeom prst="rect">
                      <a:avLst/>
                    </a:prstGeom>
                    <a:noFill/>
                    <a:ln w="9525">
                      <a:noFill/>
                      <a:headEnd/>
                      <a:tailEnd/>
                    </a:ln>
                  </pic:spPr>
                </pic:pic>
              </a:graphicData>
            </a:graphic>
          </wp:inline>
        </w:drawing>
      </w:r>
    </w:p>
    <w:p w14:paraId="46F71EF0" w14:textId="77777777" w:rsidR="006E7DFD" w:rsidRPr="00587371" w:rsidRDefault="00000000">
      <w:pPr>
        <w:pStyle w:val="ImageCaption"/>
      </w:pPr>
      <w:r w:rsidRPr="00587371">
        <w:t>Figure 1: RuntimeGuard-AI Architecture Diagram</w:t>
      </w:r>
    </w:p>
    <w:p w14:paraId="116AC4AB" w14:textId="77777777" w:rsidR="006E7DFD" w:rsidRPr="00587371" w:rsidRDefault="00000000">
      <w:pPr>
        <w:pStyle w:val="Heading3"/>
      </w:pPr>
      <w:bookmarkStart w:id="23" w:name="component-1-the-inline-policy-engine"/>
      <w:bookmarkEnd w:id="22"/>
      <w:r w:rsidRPr="00587371">
        <w:t>5.2 Component 1: The Inline Policy Engine</w:t>
      </w:r>
    </w:p>
    <w:p w14:paraId="480781AD" w14:textId="77777777" w:rsidR="006E7DFD" w:rsidRPr="00587371" w:rsidRDefault="00000000">
      <w:pPr>
        <w:pStyle w:val="FirstParagraph"/>
      </w:pPr>
      <w:r w:rsidRPr="00587371">
        <w:t xml:space="preserve">This component is written in Rust using the </w:t>
      </w:r>
      <w:r w:rsidRPr="00587371">
        <w:rPr>
          <w:rStyle w:val="VerbatimChar"/>
          <w:rFonts w:asciiTheme="minorHAnsi" w:hAnsiTheme="minorHAnsi"/>
        </w:rPr>
        <w:t>tokio</w:t>
      </w:r>
      <w:r w:rsidRPr="00587371">
        <w:t xml:space="preserve"> async runtime. It must be lock-free on the hot path.</w:t>
      </w:r>
    </w:p>
    <w:p w14:paraId="6306B478" w14:textId="77777777" w:rsidR="006E7DFD" w:rsidRPr="00587371" w:rsidRDefault="00000000">
      <w:pPr>
        <w:pStyle w:val="BodyText"/>
      </w:pPr>
      <w:r w:rsidRPr="00587371">
        <w:rPr>
          <w:b/>
          <w:bCs/>
        </w:rPr>
        <w:t>Algorithm 1: Request Handling Logic</w:t>
      </w:r>
    </w:p>
    <w:p w14:paraId="13464BA5" w14:textId="77777777" w:rsidR="006E7DFD" w:rsidRPr="00587371" w:rsidRDefault="00000000">
      <w:pPr>
        <w:pStyle w:val="SourceCode"/>
      </w:pPr>
      <w:r w:rsidRPr="00587371">
        <w:rPr>
          <w:rStyle w:val="KeywordTok"/>
          <w:rFonts w:asciiTheme="minorHAnsi" w:hAnsiTheme="minorHAnsi"/>
        </w:rPr>
        <w:t>struct</w:t>
      </w:r>
      <w:r w:rsidRPr="00587371">
        <w:rPr>
          <w:rStyle w:val="NormalTok"/>
          <w:rFonts w:asciiTheme="minorHAnsi" w:hAnsiTheme="minorHAnsi"/>
        </w:rPr>
        <w:t xml:space="preserve"> PolicyEngine </w:t>
      </w:r>
      <w:r w:rsidRPr="00587371">
        <w:rPr>
          <w:rStyle w:val="OperatorTok"/>
          <w:rFonts w:asciiTheme="minorHAnsi" w:hAnsiTheme="minorHAnsi"/>
        </w:rPr>
        <w:t>{</w:t>
      </w:r>
      <w:r w:rsidRPr="00587371">
        <w:br/>
      </w:r>
      <w:r w:rsidRPr="00587371">
        <w:rPr>
          <w:rStyle w:val="NormalTok"/>
          <w:rFonts w:asciiTheme="minorHAnsi" w:hAnsiTheme="minorHAnsi"/>
        </w:rPr>
        <w:t xml:space="preserve">    shards</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DataTypeTok"/>
          <w:rFonts w:asciiTheme="minorHAnsi" w:hAnsiTheme="minorHAnsi"/>
        </w:rPr>
        <w:t>Vec</w:t>
      </w:r>
      <w:r w:rsidRPr="00587371">
        <w:rPr>
          <w:rStyle w:val="OperatorTok"/>
          <w:rFonts w:asciiTheme="minorHAnsi" w:hAnsiTheme="minorHAnsi"/>
        </w:rPr>
        <w:t>&lt;</w:t>
      </w:r>
      <w:r w:rsidRPr="00587371">
        <w:rPr>
          <w:rStyle w:val="NormalTok"/>
          <w:rFonts w:asciiTheme="minorHAnsi" w:hAnsiTheme="minorHAnsi"/>
        </w:rPr>
        <w:t>Sender</w:t>
      </w:r>
      <w:r w:rsidRPr="00587371">
        <w:rPr>
          <w:rStyle w:val="OperatorTok"/>
          <w:rFonts w:asciiTheme="minorHAnsi" w:hAnsiTheme="minorHAnsi"/>
        </w:rPr>
        <w:t>&lt;</w:t>
      </w:r>
      <w:r w:rsidRPr="00587371">
        <w:rPr>
          <w:rStyle w:val="NormalTok"/>
          <w:rFonts w:asciiTheme="minorHAnsi" w:hAnsiTheme="minorHAnsi"/>
        </w:rPr>
        <w:t>ComplianceRecord</w:t>
      </w:r>
      <w:r w:rsidRPr="00587371">
        <w:rPr>
          <w:rStyle w:val="OperatorTok"/>
          <w:rFonts w:asciiTheme="minorHAnsi" w:hAnsiTheme="minorHAnsi"/>
        </w:rPr>
        <w:t>&gt;&gt;,</w:t>
      </w:r>
      <w:r w:rsidRPr="00587371">
        <w:rPr>
          <w:rStyle w:val="NormalTok"/>
          <w:rFonts w:asciiTheme="minorHAnsi" w:hAnsiTheme="minorHAnsi"/>
        </w:rPr>
        <w:t xml:space="preserve"> </w:t>
      </w:r>
      <w:r w:rsidRPr="00587371">
        <w:rPr>
          <w:rStyle w:val="CommentTok"/>
          <w:rFonts w:asciiTheme="minorHAnsi" w:hAnsiTheme="minorHAnsi"/>
        </w:rPr>
        <w:t>// Sharded for throughput</w:t>
      </w:r>
      <w:r w:rsidRPr="00587371">
        <w:br/>
      </w:r>
      <w:r w:rsidRPr="00587371">
        <w:rPr>
          <w:rStyle w:val="NormalTok"/>
          <w:rFonts w:asciiTheme="minorHAnsi" w:hAnsiTheme="minorHAnsi"/>
        </w:rPr>
        <w:t xml:space="preserve">    fallback</w:t>
      </w:r>
      <w:r w:rsidRPr="00587371">
        <w:rPr>
          <w:rStyle w:val="OperatorTok"/>
          <w:rFonts w:asciiTheme="minorHAnsi" w:hAnsiTheme="minorHAnsi"/>
        </w:rPr>
        <w:t>:</w:t>
      </w:r>
      <w:r w:rsidRPr="00587371">
        <w:rPr>
          <w:rStyle w:val="NormalTok"/>
          <w:rFonts w:asciiTheme="minorHAnsi" w:hAnsiTheme="minorHAnsi"/>
        </w:rPr>
        <w:t xml:space="preserve"> DiskBuffer</w:t>
      </w:r>
      <w:r w:rsidRPr="00587371">
        <w:rPr>
          <w:rStyle w:val="OperatorTok"/>
          <w:rFonts w:asciiTheme="minorHAnsi" w:hAnsiTheme="minorHAnsi"/>
        </w:rPr>
        <w:t>,</w:t>
      </w:r>
      <w:r w:rsidRPr="00587371">
        <w:br/>
      </w:r>
      <w:r w:rsidRPr="00587371">
        <w:rPr>
          <w:rStyle w:val="OperatorTok"/>
          <w:rFonts w:asciiTheme="minorHAnsi" w:hAnsiTheme="minorHAnsi"/>
        </w:rPr>
        <w:t>}</w:t>
      </w:r>
      <w:r w:rsidRPr="00587371">
        <w:br/>
      </w:r>
      <w:r w:rsidRPr="00587371">
        <w:br/>
      </w:r>
      <w:r w:rsidRPr="00587371">
        <w:rPr>
          <w:rStyle w:val="KeywordTok"/>
          <w:rFonts w:asciiTheme="minorHAnsi" w:hAnsiTheme="minorHAnsi"/>
        </w:rPr>
        <w:t>impl</w:t>
      </w:r>
      <w:r w:rsidRPr="00587371">
        <w:rPr>
          <w:rStyle w:val="NormalTok"/>
          <w:rFonts w:asciiTheme="minorHAnsi" w:hAnsiTheme="minorHAnsi"/>
        </w:rPr>
        <w:t xml:space="preserve"> PolicyEngine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KeywordTok"/>
          <w:rFonts w:asciiTheme="minorHAnsi" w:hAnsiTheme="minorHAnsi"/>
        </w:rPr>
        <w:t>async</w:t>
      </w:r>
      <w:r w:rsidRPr="00587371">
        <w:rPr>
          <w:rStyle w:val="NormalTok"/>
          <w:rFonts w:asciiTheme="minorHAnsi" w:hAnsiTheme="minorHAnsi"/>
        </w:rPr>
        <w:t xml:space="preserve"> </w:t>
      </w:r>
      <w:r w:rsidRPr="00587371">
        <w:rPr>
          <w:rStyle w:val="KeywordTok"/>
          <w:rFonts w:asciiTheme="minorHAnsi" w:hAnsiTheme="minorHAnsi"/>
        </w:rPr>
        <w:t>fn</w:t>
      </w:r>
      <w:r w:rsidRPr="00587371">
        <w:rPr>
          <w:rStyle w:val="NormalTok"/>
          <w:rFonts w:asciiTheme="minorHAnsi" w:hAnsiTheme="minorHAnsi"/>
        </w:rPr>
        <w:t xml:space="preserve"> process(</w:t>
      </w:r>
      <w:r w:rsidRPr="00587371">
        <w:rPr>
          <w:rStyle w:val="OperatorTok"/>
          <w:rFonts w:asciiTheme="minorHAnsi" w:hAnsiTheme="minorHAnsi"/>
        </w:rPr>
        <w:t>&amp;</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 xml:space="preserve"> req</w:t>
      </w:r>
      <w:r w:rsidRPr="00587371">
        <w:rPr>
          <w:rStyle w:val="OperatorTok"/>
          <w:rFonts w:asciiTheme="minorHAnsi" w:hAnsiTheme="minorHAnsi"/>
        </w:rPr>
        <w:t>:</w:t>
      </w:r>
      <w:r w:rsidRPr="00587371">
        <w:rPr>
          <w:rStyle w:val="NormalTok"/>
          <w:rFonts w:asciiTheme="minorHAnsi" w:hAnsiTheme="minorHAnsi"/>
        </w:rPr>
        <w:t xml:space="preserve"> Request) </w:t>
      </w:r>
      <w:r w:rsidRPr="00587371">
        <w:rPr>
          <w:rStyle w:val="OperatorTok"/>
          <w:rFonts w:asciiTheme="minorHAnsi" w:hAnsiTheme="minorHAnsi"/>
        </w:rPr>
        <w:t>-&gt;</w:t>
      </w:r>
      <w:r w:rsidRPr="00587371">
        <w:rPr>
          <w:rStyle w:val="NormalTok"/>
          <w:rFonts w:asciiTheme="minorHAnsi" w:hAnsiTheme="minorHAnsi"/>
        </w:rPr>
        <w:t xml:space="preserve"> Response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CommentTok"/>
          <w:rFonts w:asciiTheme="minorHAnsi" w:hAnsiTheme="minorHAnsi"/>
        </w:rPr>
        <w:t>// 1. Evaluate Policy (CPU bound, fast)</w:t>
      </w:r>
      <w:r w:rsidRPr="00587371">
        <w:br/>
      </w:r>
      <w:r w:rsidRPr="00587371">
        <w:rPr>
          <w:rStyle w:val="NormalTok"/>
          <w:rFonts w:asciiTheme="minorHAnsi" w:hAnsiTheme="minorHAnsi"/>
        </w:rPr>
        <w:t xml:space="preserve">        </w:t>
      </w:r>
      <w:r w:rsidRPr="00587371">
        <w:rPr>
          <w:rStyle w:val="KeywordTok"/>
          <w:rFonts w:asciiTheme="minorHAnsi" w:hAnsiTheme="minorHAnsi"/>
        </w:rPr>
        <w:t>let</w:t>
      </w:r>
      <w:r w:rsidRPr="00587371">
        <w:rPr>
          <w:rStyle w:val="NormalTok"/>
          <w:rFonts w:asciiTheme="minorHAnsi" w:hAnsiTheme="minorHAnsi"/>
        </w:rPr>
        <w:t xml:space="preserve"> decision </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evaluate_rules(</w:t>
      </w:r>
      <w:r w:rsidRPr="00587371">
        <w:rPr>
          <w:rStyle w:val="OperatorTok"/>
          <w:rFonts w:asciiTheme="minorHAnsi" w:hAnsiTheme="minorHAnsi"/>
        </w:rPr>
        <w:t>&amp;</w:t>
      </w:r>
      <w:r w:rsidRPr="00587371">
        <w:rPr>
          <w:rStyle w:val="NormalTok"/>
          <w:rFonts w:asciiTheme="minorHAnsi" w:hAnsiTheme="minorHAnsi"/>
        </w:rPr>
        <w:t>req)</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CommentTok"/>
          <w:rFonts w:asciiTheme="minorHAnsi" w:hAnsiTheme="minorHAnsi"/>
        </w:rPr>
        <w:t>// 2. Create Record</w:t>
      </w:r>
      <w:r w:rsidRPr="00587371">
        <w:br/>
      </w:r>
      <w:r w:rsidRPr="00587371">
        <w:rPr>
          <w:rStyle w:val="NormalTok"/>
          <w:rFonts w:asciiTheme="minorHAnsi" w:hAnsiTheme="minorHAnsi"/>
        </w:rPr>
        <w:t xml:space="preserve">        </w:t>
      </w:r>
      <w:r w:rsidRPr="00587371">
        <w:rPr>
          <w:rStyle w:val="KeywordTok"/>
          <w:rFonts w:asciiTheme="minorHAnsi" w:hAnsiTheme="minorHAnsi"/>
        </w:rPr>
        <w:t>let</w:t>
      </w:r>
      <w:r w:rsidRPr="00587371">
        <w:rPr>
          <w:rStyle w:val="NormalTok"/>
          <w:rFonts w:asciiTheme="minorHAnsi" w:hAnsiTheme="minorHAnsi"/>
        </w:rPr>
        <w:t xml:space="preserve"> record </w:t>
      </w:r>
      <w:r w:rsidRPr="00587371">
        <w:rPr>
          <w:rStyle w:val="OperatorTok"/>
          <w:rFonts w:asciiTheme="minorHAnsi" w:hAnsiTheme="minorHAnsi"/>
        </w:rPr>
        <w:t>=</w:t>
      </w:r>
      <w:r w:rsidRPr="00587371">
        <w:rPr>
          <w:rStyle w:val="NormalTok"/>
          <w:rFonts w:asciiTheme="minorHAnsi" w:hAnsiTheme="minorHAnsi"/>
        </w:rPr>
        <w:t xml:space="preserve"> ComplianceRecord </w:t>
      </w:r>
      <w:r w:rsidRPr="00587371">
        <w:rPr>
          <w:rStyle w:val="OperatorTok"/>
          <w:rFonts w:asciiTheme="minorHAnsi" w:hAnsiTheme="minorHAnsi"/>
        </w:rPr>
        <w:t>{</w:t>
      </w:r>
      <w:r w:rsidRPr="00587371">
        <w:br/>
      </w:r>
      <w:r w:rsidRPr="00587371">
        <w:rPr>
          <w:rStyle w:val="NormalTok"/>
          <w:rFonts w:asciiTheme="minorHAnsi" w:hAnsiTheme="minorHAnsi"/>
        </w:rPr>
        <w:t xml:space="preserve">            timestamp</w:t>
      </w:r>
      <w:r w:rsidRPr="00587371">
        <w:rPr>
          <w:rStyle w:val="OperatorTok"/>
          <w:rFonts w:asciiTheme="minorHAnsi" w:hAnsiTheme="minorHAnsi"/>
        </w:rPr>
        <w:t>:</w:t>
      </w:r>
      <w:r w:rsidRPr="00587371">
        <w:rPr>
          <w:rStyle w:val="NormalTok"/>
          <w:rFonts w:asciiTheme="minorHAnsi" w:hAnsiTheme="minorHAnsi"/>
        </w:rPr>
        <w:t xml:space="preserve"> now()</w:t>
      </w:r>
      <w:r w:rsidRPr="00587371">
        <w:rPr>
          <w:rStyle w:val="OperatorTok"/>
          <w:rFonts w:asciiTheme="minorHAnsi" w:hAnsiTheme="minorHAnsi"/>
        </w:rPr>
        <w:t>,</w:t>
      </w:r>
      <w:r w:rsidRPr="00587371">
        <w:br/>
      </w:r>
      <w:r w:rsidRPr="00587371">
        <w:rPr>
          <w:rStyle w:val="NormalTok"/>
          <w:rFonts w:asciiTheme="minorHAnsi" w:hAnsiTheme="minorHAnsi"/>
        </w:rPr>
        <w:t xml:space="preserve">            input_hash</w:t>
      </w:r>
      <w:r w:rsidRPr="00587371">
        <w:rPr>
          <w:rStyle w:val="OperatorTok"/>
          <w:rFonts w:asciiTheme="minorHAnsi" w:hAnsiTheme="minorHAnsi"/>
        </w:rPr>
        <w:t>:</w:t>
      </w:r>
      <w:r w:rsidRPr="00587371">
        <w:rPr>
          <w:rStyle w:val="NormalTok"/>
          <w:rFonts w:asciiTheme="minorHAnsi" w:hAnsiTheme="minorHAnsi"/>
        </w:rPr>
        <w:t xml:space="preserve"> sha256(</w:t>
      </w:r>
      <w:r w:rsidRPr="00587371">
        <w:rPr>
          <w:rStyle w:val="OperatorTok"/>
          <w:rFonts w:asciiTheme="minorHAnsi" w:hAnsiTheme="minorHAnsi"/>
        </w:rPr>
        <w:t>&amp;</w:t>
      </w:r>
      <w:r w:rsidRPr="00587371">
        <w:rPr>
          <w:rStyle w:val="NormalTok"/>
          <w:rFonts w:asciiTheme="minorHAnsi" w:hAnsiTheme="minorHAnsi"/>
        </w:rPr>
        <w:t>req)</w:t>
      </w:r>
      <w:r w:rsidRPr="00587371">
        <w:rPr>
          <w:rStyle w:val="OperatorTok"/>
          <w:rFonts w:asciiTheme="minorHAnsi" w:hAnsiTheme="minorHAnsi"/>
        </w:rPr>
        <w:t>,</w:t>
      </w:r>
      <w:r w:rsidRPr="00587371">
        <w:br/>
      </w:r>
      <w:r w:rsidRPr="00587371">
        <w:rPr>
          <w:rStyle w:val="NormalTok"/>
          <w:rFonts w:asciiTheme="minorHAnsi" w:hAnsiTheme="minorHAnsi"/>
        </w:rPr>
        <w:t xml:space="preserve">            decision</w:t>
      </w:r>
      <w:r w:rsidRPr="00587371">
        <w:rPr>
          <w:rStyle w:val="OperatorTok"/>
          <w:rFonts w:asciiTheme="minorHAnsi" w:hAnsiTheme="minorHAnsi"/>
        </w:rPr>
        <w:t>:</w:t>
      </w:r>
      <w:r w:rsidRPr="00587371">
        <w:rPr>
          <w:rStyle w:val="NormalTok"/>
          <w:rFonts w:asciiTheme="minorHAnsi" w:hAnsiTheme="minorHAnsi"/>
        </w:rPr>
        <w:t xml:space="preserve"> decision</w:t>
      </w:r>
      <w:r w:rsidRPr="00587371">
        <w:rPr>
          <w:rStyle w:val="OperatorTok"/>
          <w:rFonts w:asciiTheme="minorHAnsi" w:hAnsiTheme="minorHAnsi"/>
        </w:rPr>
        <w:t>.</w:t>
      </w:r>
      <w:r w:rsidRPr="00587371">
        <w:rPr>
          <w:rStyle w:val="NormalTok"/>
          <w:rFonts w:asciiTheme="minorHAnsi" w:hAnsiTheme="minorHAnsi"/>
        </w:rPr>
        <w:t>clone()</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br/>
      </w:r>
      <w:r w:rsidRPr="00587371">
        <w:rPr>
          <w:rStyle w:val="NormalTok"/>
          <w:rFonts w:asciiTheme="minorHAnsi" w:hAnsiTheme="minorHAnsi"/>
        </w:rPr>
        <w:t xml:space="preserve">        </w:t>
      </w:r>
      <w:r w:rsidRPr="00587371">
        <w:rPr>
          <w:rStyle w:val="CommentTok"/>
          <w:rFonts w:asciiTheme="minorHAnsi" w:hAnsiTheme="minorHAnsi"/>
        </w:rPr>
        <w:t>// 3. Dispatch (Non-blocking IO)</w:t>
      </w:r>
      <w:r w:rsidRPr="00587371">
        <w:br/>
      </w:r>
      <w:r w:rsidRPr="00587371">
        <w:rPr>
          <w:rStyle w:val="NormalTok"/>
          <w:rFonts w:asciiTheme="minorHAnsi" w:hAnsiTheme="minorHAnsi"/>
        </w:rPr>
        <w:t xml:space="preserve">        </w:t>
      </w:r>
      <w:r w:rsidRPr="00587371">
        <w:rPr>
          <w:rStyle w:val="KeywordTok"/>
          <w:rFonts w:asciiTheme="minorHAnsi" w:hAnsiTheme="minorHAnsi"/>
        </w:rPr>
        <w:t>let</w:t>
      </w:r>
      <w:r w:rsidRPr="00587371">
        <w:rPr>
          <w:rStyle w:val="NormalTok"/>
          <w:rFonts w:asciiTheme="minorHAnsi" w:hAnsiTheme="minorHAnsi"/>
        </w:rPr>
        <w:t xml:space="preserve"> shard_id </w:t>
      </w:r>
      <w:r w:rsidRPr="00587371">
        <w:rPr>
          <w:rStyle w:val="OperatorTok"/>
          <w:rFonts w:asciiTheme="minorHAnsi" w:hAnsiTheme="minorHAnsi"/>
        </w:rPr>
        <w:t>=</w:t>
      </w:r>
      <w:r w:rsidRPr="00587371">
        <w:rPr>
          <w:rStyle w:val="NormalTok"/>
          <w:rFonts w:asciiTheme="minorHAnsi" w:hAnsiTheme="minorHAnsi"/>
        </w:rPr>
        <w:t xml:space="preserve"> hash(</w:t>
      </w:r>
      <w:r w:rsidRPr="00587371">
        <w:rPr>
          <w:rStyle w:val="OperatorTok"/>
          <w:rFonts w:asciiTheme="minorHAnsi" w:hAnsiTheme="minorHAnsi"/>
        </w:rPr>
        <w:t>&amp;</w:t>
      </w:r>
      <w:r w:rsidRPr="00587371">
        <w:rPr>
          <w:rStyle w:val="NormalTok"/>
          <w:rFonts w:asciiTheme="minorHAnsi" w:hAnsiTheme="minorHAnsi"/>
        </w:rPr>
        <w:t>req</w:t>
      </w:r>
      <w:r w:rsidRPr="00587371">
        <w:rPr>
          <w:rStyle w:val="OperatorTok"/>
          <w:rFonts w:asciiTheme="minorHAnsi" w:hAnsiTheme="minorHAnsi"/>
        </w:rPr>
        <w:t>.</w:t>
      </w:r>
      <w:r w:rsidRPr="00587371">
        <w:rPr>
          <w:rStyle w:val="NormalTok"/>
          <w:rFonts w:asciiTheme="minorHAnsi" w:hAnsiTheme="minorHAnsi"/>
        </w:rPr>
        <w:t xml:space="preserve">id) </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shards</w:t>
      </w:r>
      <w:r w:rsidRPr="00587371">
        <w:rPr>
          <w:rStyle w:val="OperatorTok"/>
          <w:rFonts w:asciiTheme="minorHAnsi" w:hAnsiTheme="minorHAnsi"/>
        </w:rPr>
        <w:t>.</w:t>
      </w:r>
      <w:r w:rsidRPr="00587371">
        <w:rPr>
          <w:rStyle w:val="NormalTok"/>
          <w:rFonts w:asciiTheme="minorHAnsi" w:hAnsiTheme="minorHAnsi"/>
        </w:rPr>
        <w:t>len()</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ControlFlowTok"/>
          <w:rFonts w:asciiTheme="minorHAnsi" w:hAnsiTheme="minorHAnsi"/>
        </w:rPr>
        <w:t>match</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shards[shard_id]</w:t>
      </w:r>
      <w:r w:rsidRPr="00587371">
        <w:rPr>
          <w:rStyle w:val="OperatorTok"/>
          <w:rFonts w:asciiTheme="minorHAnsi" w:hAnsiTheme="minorHAnsi"/>
        </w:rPr>
        <w:t>.</w:t>
      </w:r>
      <w:r w:rsidRPr="00587371">
        <w:rPr>
          <w:rStyle w:val="NormalTok"/>
          <w:rFonts w:asciiTheme="minorHAnsi" w:hAnsiTheme="minorHAnsi"/>
        </w:rPr>
        <w:t xml:space="preserve">try_send(record) </w:t>
      </w:r>
      <w:r w:rsidRPr="00587371">
        <w:rPr>
          <w:rStyle w:val="OperatorTok"/>
          <w:rFonts w:asciiTheme="minorHAnsi" w:hAnsiTheme="minorHAnsi"/>
        </w:rPr>
        <w:t>{</w:t>
      </w:r>
      <w:r w:rsidRPr="00587371">
        <w:br/>
      </w:r>
      <w:r w:rsidRPr="00587371">
        <w:rPr>
          <w:rStyle w:val="NormalTok"/>
          <w:rFonts w:asciiTheme="minorHAnsi" w:hAnsiTheme="minorHAnsi"/>
        </w:rPr>
        <w:lastRenderedPageBreak/>
        <w:t xml:space="preserve">            </w:t>
      </w:r>
      <w:r w:rsidRPr="00587371">
        <w:rPr>
          <w:rStyle w:val="ConstantTok"/>
          <w:rFonts w:asciiTheme="minorHAnsi" w:hAnsiTheme="minorHAnsi"/>
        </w:rPr>
        <w:t>Ok</w:t>
      </w:r>
      <w:r w:rsidRPr="00587371">
        <w:rPr>
          <w:rStyle w:val="NormalTok"/>
          <w:rFonts w:asciiTheme="minorHAnsi" w:hAnsiTheme="minorHAnsi"/>
        </w:rPr>
        <w:t xml:space="preserve">(_) </w:t>
      </w:r>
      <w:r w:rsidRPr="00587371">
        <w:rPr>
          <w:rStyle w:val="OperatorTok"/>
          <w:rFonts w:asciiTheme="minorHAnsi" w:hAnsiTheme="minorHAnsi"/>
        </w:rPr>
        <w:t>=&gt;</w:t>
      </w:r>
      <w:r w:rsidRPr="00587371">
        <w:rPr>
          <w:rStyle w:val="NormalTok"/>
          <w:rFonts w:asciiTheme="minorHAnsi" w:hAnsiTheme="minorHAnsi"/>
        </w:rPr>
        <w:t xml:space="preserve"> </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CommentTok"/>
          <w:rFonts w:asciiTheme="minorHAnsi" w:hAnsiTheme="minorHAnsi"/>
        </w:rPr>
        <w:t>// Fast path</w:t>
      </w:r>
      <w:r w:rsidRPr="00587371">
        <w:br/>
      </w:r>
      <w:r w:rsidRPr="00587371">
        <w:rPr>
          <w:rStyle w:val="NormalTok"/>
          <w:rFonts w:asciiTheme="minorHAnsi" w:hAnsiTheme="minorHAnsi"/>
        </w:rPr>
        <w:t xml:space="preserve">            </w:t>
      </w:r>
      <w:r w:rsidRPr="00587371">
        <w:rPr>
          <w:rStyle w:val="ConstantTok"/>
          <w:rFonts w:asciiTheme="minorHAnsi" w:hAnsiTheme="minorHAnsi"/>
        </w:rPr>
        <w:t>Err</w:t>
      </w:r>
      <w:r w:rsidRPr="00587371">
        <w:rPr>
          <w:rStyle w:val="NormalTok"/>
          <w:rFonts w:asciiTheme="minorHAnsi" w:hAnsiTheme="minorHAnsi"/>
        </w:rPr>
        <w:t xml:space="preserve">(_) </w:t>
      </w:r>
      <w:r w:rsidRPr="00587371">
        <w:rPr>
          <w:rStyle w:val="OperatorTok"/>
          <w:rFonts w:asciiTheme="minorHAnsi" w:hAnsiTheme="minorHAnsi"/>
        </w:rPr>
        <w:t>=&gt;</w:t>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CommentTok"/>
          <w:rFonts w:asciiTheme="minorHAnsi" w:hAnsiTheme="minorHAnsi"/>
        </w:rPr>
        <w:t>// Slow path: IO offload</w:t>
      </w:r>
      <w:r w:rsidRPr="00587371">
        <w:br/>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offload_to_disk(record)</w:t>
      </w:r>
      <w:r w:rsidRPr="00587371">
        <w:rPr>
          <w:rStyle w:val="OperatorTok"/>
          <w:rFonts w:asciiTheme="minorHAnsi" w:hAnsiTheme="minorHAnsi"/>
        </w:rPr>
        <w:t>.</w:t>
      </w:r>
      <w:r w:rsidRPr="00587371">
        <w:rPr>
          <w:rStyle w:val="KeywordTok"/>
          <w:rFonts w:asciiTheme="minorHAnsi" w:hAnsiTheme="minorHAnsi"/>
        </w:rPr>
        <w:t>await</w:t>
      </w:r>
      <w:r w:rsidRPr="00587371">
        <w:rPr>
          <w:rStyle w:val="OperatorTok"/>
          <w:rFonts w:asciiTheme="minorHAnsi" w:hAnsiTheme="minorHAnsi"/>
        </w:rPr>
        <w:t>;</w:t>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br/>
      </w:r>
      <w:r w:rsidRPr="00587371">
        <w:rPr>
          <w:rStyle w:val="NormalTok"/>
          <w:rFonts w:asciiTheme="minorHAnsi" w:hAnsiTheme="minorHAnsi"/>
        </w:rPr>
        <w:t xml:space="preserve">        </w:t>
      </w:r>
      <w:r w:rsidRPr="00587371">
        <w:rPr>
          <w:rStyle w:val="ControlFlowTok"/>
          <w:rFonts w:asciiTheme="minorHAnsi" w:hAnsiTheme="minorHAnsi"/>
        </w:rPr>
        <w:t>return</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enforce(decision)</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rPr>
          <w:rStyle w:val="OperatorTok"/>
          <w:rFonts w:asciiTheme="minorHAnsi" w:hAnsiTheme="minorHAnsi"/>
        </w:rPr>
        <w:t>}</w:t>
      </w:r>
    </w:p>
    <w:p w14:paraId="0AD0A993" w14:textId="77777777" w:rsidR="006E7DFD" w:rsidRPr="00587371" w:rsidRDefault="00000000">
      <w:pPr>
        <w:pStyle w:val="FirstParagraph"/>
      </w:pPr>
      <w:r w:rsidRPr="00587371">
        <w:rPr>
          <w:i/>
          <w:iCs/>
        </w:rPr>
        <w:t>Crucial Design Detail:</w:t>
      </w:r>
      <w:r w:rsidRPr="00587371">
        <w:t xml:space="preserve"> The use of </w:t>
      </w:r>
      <w:r w:rsidRPr="00587371">
        <w:rPr>
          <w:rStyle w:val="VerbatimChar"/>
          <w:rFonts w:asciiTheme="minorHAnsi" w:hAnsiTheme="minorHAnsi"/>
        </w:rPr>
        <w:t>try_send</w:t>
      </w:r>
      <w:r w:rsidRPr="00587371">
        <w:t xml:space="preserve"> is deliberate. A standard </w:t>
      </w:r>
      <w:r w:rsidRPr="00587371">
        <w:rPr>
          <w:rStyle w:val="VerbatimChar"/>
          <w:rFonts w:asciiTheme="minorHAnsi" w:hAnsiTheme="minorHAnsi"/>
        </w:rPr>
        <w:t>await send</w:t>
      </w:r>
      <w:r w:rsidRPr="00587371">
        <w:t xml:space="preserve"> would couple the inference latency to the queue depth (Theorem 1 violation). By using </w:t>
      </w:r>
      <w:r w:rsidRPr="00587371">
        <w:rPr>
          <w:rStyle w:val="VerbatimChar"/>
          <w:rFonts w:asciiTheme="minorHAnsi" w:hAnsiTheme="minorHAnsi"/>
        </w:rPr>
        <w:t>try_send</w:t>
      </w:r>
      <w:r w:rsidRPr="00587371">
        <w:t xml:space="preserve">, I apply backpressure to the </w:t>
      </w:r>
      <w:r w:rsidRPr="00587371">
        <w:rPr>
          <w:i/>
          <w:iCs/>
        </w:rPr>
        <w:t>logging</w:t>
      </w:r>
      <w:r w:rsidRPr="00587371">
        <w:t xml:space="preserve"> subsystem without slowing down the </w:t>
      </w:r>
      <w:r w:rsidRPr="00587371">
        <w:rPr>
          <w:i/>
          <w:iCs/>
        </w:rPr>
        <w:t>inference</w:t>
      </w:r>
      <w:r w:rsidRPr="00587371">
        <w:t>.</w:t>
      </w:r>
    </w:p>
    <w:p w14:paraId="02061B76" w14:textId="77777777" w:rsidR="006E7DFD" w:rsidRPr="00587371" w:rsidRDefault="00000000">
      <w:pPr>
        <w:pStyle w:val="Heading3"/>
      </w:pPr>
      <w:bookmarkStart w:id="24" w:name="component-2-the-batch-attestor-circuit"/>
      <w:bookmarkEnd w:id="23"/>
      <w:r w:rsidRPr="00587371">
        <w:t>5.3 Component 2: The Batch Attestor &amp; Circuit</w:t>
      </w:r>
    </w:p>
    <w:p w14:paraId="3F58340A" w14:textId="77777777" w:rsidR="006E7DFD" w:rsidRPr="00587371" w:rsidRDefault="00000000">
      <w:pPr>
        <w:pStyle w:val="FirstParagraph"/>
      </w:pPr>
      <w:r w:rsidRPr="00587371">
        <w:t xml:space="preserve">The ZK Attestor runs as a background daemon. I use the </w:t>
      </w:r>
      <w:r w:rsidRPr="00587371">
        <w:rPr>
          <w:rStyle w:val="VerbatimChar"/>
          <w:rFonts w:asciiTheme="minorHAnsi" w:hAnsiTheme="minorHAnsi"/>
        </w:rPr>
        <w:t>arkworks</w:t>
      </w:r>
      <w:r w:rsidRPr="00587371">
        <w:t xml:space="preserve"> ecosystem for the ZK implementation.</w:t>
      </w:r>
    </w:p>
    <w:p w14:paraId="35D149FD" w14:textId="77777777" w:rsidR="006E7DFD" w:rsidRPr="00587371" w:rsidRDefault="00000000">
      <w:pPr>
        <w:pStyle w:val="BodyText"/>
      </w:pPr>
      <w:r w:rsidRPr="00587371">
        <w:rPr>
          <w:b/>
          <w:bCs/>
        </w:rPr>
        <w:t>The Compliance Circuit:</w:t>
      </w:r>
      <w:r w:rsidRPr="00587371">
        <w:t xml:space="preserve"> The circuit proves the statement: </w:t>
      </w:r>
      <w:r w:rsidRPr="00587371">
        <w:rPr>
          <w:i/>
          <w:iCs/>
        </w:rPr>
        <w:t xml:space="preserve">“I know a set of records </w:t>
      </w:r>
      <m:oMath>
        <m:r>
          <w:rPr>
            <w:rFonts w:ascii="Cambria Math" w:hAnsi="Cambria Math"/>
          </w:rPr>
          <m:t>R</m:t>
        </m:r>
      </m:oMath>
      <w:r w:rsidRPr="00587371">
        <w:rPr>
          <w:i/>
          <w:iCs/>
        </w:rPr>
        <w:t xml:space="preserve"> such that </w:t>
      </w:r>
      <m:oMath>
        <m:r>
          <w:rPr>
            <w:rFonts w:ascii="Cambria Math" w:hAnsi="Cambria Math"/>
          </w:rPr>
          <m:t>Merkle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Roo</m:t>
        </m:r>
        <m:sSub>
          <m:sSubPr>
            <m:ctrlPr>
              <w:rPr>
                <w:rFonts w:ascii="Cambria Math" w:hAnsi="Cambria Math"/>
              </w:rPr>
            </m:ctrlPr>
          </m:sSubPr>
          <m:e>
            <m:r>
              <w:rPr>
                <w:rFonts w:ascii="Cambria Math" w:hAnsi="Cambria Math"/>
              </w:rPr>
              <m:t>t</m:t>
            </m:r>
          </m:e>
          <m:sub>
            <m:r>
              <w:rPr>
                <w:rFonts w:ascii="Cambria Math" w:hAnsi="Cambria Math"/>
              </w:rPr>
              <m:t>pub</m:t>
            </m:r>
          </m:sub>
        </m:sSub>
      </m:oMath>
      <w:r w:rsidRPr="00587371">
        <w:rPr>
          <w:i/>
          <w:iCs/>
        </w:rPr>
        <w:t xml:space="preserve"> AND for all </w:t>
      </w:r>
      <m:oMath>
        <m:r>
          <w:rPr>
            <w:rFonts w:ascii="Cambria Math" w:hAnsi="Cambria Math"/>
          </w:rPr>
          <m:t>r</m:t>
        </m:r>
        <m:r>
          <m:rPr>
            <m:sty m:val="p"/>
          </m:rPr>
          <w:rPr>
            <w:rFonts w:ascii="Cambria Math" w:hAnsi="Cambria Math"/>
          </w:rPr>
          <m:t>∈</m:t>
        </m:r>
        <m:r>
          <w:rPr>
            <w:rFonts w:ascii="Cambria Math" w:hAnsi="Cambria Math"/>
          </w:rPr>
          <m:t>R</m:t>
        </m:r>
      </m:oMath>
      <w:r w:rsidRPr="00587371">
        <w:rPr>
          <w:i/>
          <w:iCs/>
        </w:rPr>
        <w:t xml:space="preserve">, </w:t>
      </w:r>
      <m:oMath>
        <m:r>
          <w:rPr>
            <w:rFonts w:ascii="Cambria Math" w:hAnsi="Cambria Math"/>
          </w:rPr>
          <m:t>Policy</m:t>
        </m:r>
        <m:r>
          <m:rPr>
            <m:sty m:val="p"/>
          </m:rPr>
          <w:rPr>
            <w:rFonts w:ascii="Cambria Math" w:hAnsi="Cambria Math"/>
          </w:rPr>
          <m:t>(</m:t>
        </m:r>
        <m:r>
          <w:rPr>
            <w:rFonts w:ascii="Cambria Math" w:hAnsi="Cambria Math"/>
          </w:rPr>
          <m:t>r</m:t>
        </m:r>
        <m:r>
          <m:rPr>
            <m:sty m:val="p"/>
          </m:rPr>
          <w:rPr>
            <w:rFonts w:ascii="Cambria Math" w:hAnsi="Cambria Math"/>
          </w:rPr>
          <m:t>)=</m:t>
        </m:r>
        <m:r>
          <m:rPr>
            <m:nor/>
          </m:rPr>
          <m:t>Valid</m:t>
        </m:r>
      </m:oMath>
      <w:r w:rsidRPr="00587371">
        <w:rPr>
          <w:i/>
          <w:iCs/>
        </w:rPr>
        <w:t>.”</w:t>
      </w:r>
    </w:p>
    <w:p w14:paraId="39103E09" w14:textId="77777777" w:rsidR="006E7DFD" w:rsidRPr="00587371" w:rsidRDefault="00000000">
      <w:pPr>
        <w:pStyle w:val="BodyText"/>
      </w:pPr>
      <w:r w:rsidRPr="00587371">
        <w:t>Writing this loop in a ZK circuit is expensive. My implementation simulates the cost using an iterated hashing constraint system to benchmark the overhead realistically:</w:t>
      </w:r>
    </w:p>
    <w:p w14:paraId="3F28B1EA" w14:textId="77777777" w:rsidR="006E7DFD" w:rsidRPr="00587371" w:rsidRDefault="00000000">
      <w:pPr>
        <w:pStyle w:val="SourceCode"/>
      </w:pPr>
      <w:r w:rsidRPr="00587371">
        <w:rPr>
          <w:rStyle w:val="CommentTok"/>
          <w:rFonts w:asciiTheme="minorHAnsi" w:hAnsiTheme="minorHAnsi"/>
        </w:rPr>
        <w:t>// Simplified Circuit Logic in 'src/attestor/circuit.rs'</w:t>
      </w:r>
      <w:r w:rsidRPr="00587371">
        <w:br/>
      </w:r>
      <w:r w:rsidRPr="00587371">
        <w:rPr>
          <w:rStyle w:val="KeywordTok"/>
          <w:rFonts w:asciiTheme="minorHAnsi" w:hAnsiTheme="minorHAnsi"/>
        </w:rPr>
        <w:t>fn</w:t>
      </w:r>
      <w:r w:rsidRPr="00587371">
        <w:rPr>
          <w:rStyle w:val="NormalTok"/>
          <w:rFonts w:asciiTheme="minorHAnsi" w:hAnsiTheme="minorHAnsi"/>
        </w:rPr>
        <w:t xml:space="preserve"> generate_constraints(</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 xml:space="preserve"> cs</w:t>
      </w:r>
      <w:r w:rsidRPr="00587371">
        <w:rPr>
          <w:rStyle w:val="OperatorTok"/>
          <w:rFonts w:asciiTheme="minorHAnsi" w:hAnsiTheme="minorHAnsi"/>
        </w:rPr>
        <w:t>:</w:t>
      </w:r>
      <w:r w:rsidRPr="00587371">
        <w:rPr>
          <w:rStyle w:val="NormalTok"/>
          <w:rFonts w:asciiTheme="minorHAnsi" w:hAnsiTheme="minorHAnsi"/>
        </w:rPr>
        <w:t xml:space="preserve"> ConstraintSystemRef)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KeywordTok"/>
          <w:rFonts w:asciiTheme="minorHAnsi" w:hAnsiTheme="minorHAnsi"/>
        </w:rPr>
        <w:t>let</w:t>
      </w:r>
      <w:r w:rsidRPr="00587371">
        <w:rPr>
          <w:rStyle w:val="NormalTok"/>
          <w:rFonts w:asciiTheme="minorHAnsi" w:hAnsiTheme="minorHAnsi"/>
        </w:rPr>
        <w:t xml:space="preserve"> </w:t>
      </w:r>
      <w:r w:rsidRPr="00587371">
        <w:rPr>
          <w:rStyle w:val="KeywordTok"/>
          <w:rFonts w:asciiTheme="minorHAnsi" w:hAnsiTheme="minorHAnsi"/>
        </w:rPr>
        <w:t>mut</w:t>
      </w:r>
      <w:r w:rsidRPr="00587371">
        <w:rPr>
          <w:rStyle w:val="NormalTok"/>
          <w:rFonts w:asciiTheme="minorHAnsi" w:hAnsiTheme="minorHAnsi"/>
        </w:rPr>
        <w:t xml:space="preserve"> current_hash </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initial_state</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CommentTok"/>
          <w:rFonts w:asciiTheme="minorHAnsi" w:hAnsiTheme="minorHAnsi"/>
        </w:rPr>
        <w:t>// Proving loop</w:t>
      </w:r>
      <w:r w:rsidRPr="00587371">
        <w:br/>
      </w:r>
      <w:r w:rsidRPr="00587371">
        <w:rPr>
          <w:rStyle w:val="NormalTok"/>
          <w:rFonts w:asciiTheme="minorHAnsi" w:hAnsiTheme="minorHAnsi"/>
        </w:rPr>
        <w:t xml:space="preserve">    </w:t>
      </w:r>
      <w:r w:rsidRPr="00587371">
        <w:rPr>
          <w:rStyle w:val="ControlFlowTok"/>
          <w:rFonts w:asciiTheme="minorHAnsi" w:hAnsiTheme="minorHAnsi"/>
        </w:rPr>
        <w:t>for</w:t>
      </w:r>
      <w:r w:rsidRPr="00587371">
        <w:rPr>
          <w:rStyle w:val="NormalTok"/>
          <w:rFonts w:asciiTheme="minorHAnsi" w:hAnsiTheme="minorHAnsi"/>
        </w:rPr>
        <w:t xml:space="preserve"> record </w:t>
      </w:r>
      <w:r w:rsidRPr="00587371">
        <w:rPr>
          <w:rStyle w:val="KeywordTok"/>
          <w:rFonts w:asciiTheme="minorHAnsi" w:hAnsiTheme="minorHAnsi"/>
        </w:rPr>
        <w:t>in</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 xml:space="preserve">records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CommentTok"/>
          <w:rFonts w:asciiTheme="minorHAnsi" w:hAnsiTheme="minorHAnsi"/>
        </w:rPr>
        <w:t>// 1. Constrain: Record integrity</w:t>
      </w:r>
      <w:r w:rsidRPr="00587371">
        <w:br/>
      </w:r>
      <w:r w:rsidRPr="00587371">
        <w:rPr>
          <w:rStyle w:val="NormalTok"/>
          <w:rFonts w:asciiTheme="minorHAnsi" w:hAnsiTheme="minorHAnsi"/>
        </w:rPr>
        <w:t xml:space="preserve">        </w:t>
      </w:r>
      <w:r w:rsidRPr="00587371">
        <w:rPr>
          <w:rStyle w:val="CommentTok"/>
          <w:rFonts w:asciiTheme="minorHAnsi" w:hAnsiTheme="minorHAnsi"/>
        </w:rPr>
        <w:t>// hash(record) must flow into the Merkle Tree</w:t>
      </w:r>
      <w:r w:rsidRPr="00587371">
        <w:br/>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CommentTok"/>
          <w:rFonts w:asciiTheme="minorHAnsi" w:hAnsiTheme="minorHAnsi"/>
        </w:rPr>
        <w:t>// 2. Constrain: Policy Check</w:t>
      </w:r>
      <w:r w:rsidRPr="00587371">
        <w:br/>
      </w:r>
      <w:r w:rsidRPr="00587371">
        <w:rPr>
          <w:rStyle w:val="NormalTok"/>
          <w:rFonts w:asciiTheme="minorHAnsi" w:hAnsiTheme="minorHAnsi"/>
        </w:rPr>
        <w:t xml:space="preserve">        </w:t>
      </w:r>
      <w:r w:rsidRPr="00587371">
        <w:rPr>
          <w:rStyle w:val="CommentTok"/>
          <w:rFonts w:asciiTheme="minorHAnsi" w:hAnsiTheme="minorHAnsi"/>
        </w:rPr>
        <w:t>// e.g., enforce record.sensitivity_score &lt; threshold</w:t>
      </w:r>
      <w:r w:rsidRPr="00587371">
        <w:br/>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CommentTok"/>
          <w:rFonts w:asciiTheme="minorHAnsi" w:hAnsiTheme="minorHAnsi"/>
        </w:rPr>
        <w:t>// 3. Update State</w:t>
      </w:r>
      <w:r w:rsidRPr="00587371">
        <w:br/>
      </w:r>
      <w:r w:rsidRPr="00587371">
        <w:rPr>
          <w:rStyle w:val="NormalTok"/>
          <w:rFonts w:asciiTheme="minorHAnsi" w:hAnsiTheme="minorHAnsi"/>
        </w:rPr>
        <w:t xml:space="preserve">        current_hash </w:t>
      </w:r>
      <w:r w:rsidRPr="00587371">
        <w:rPr>
          <w:rStyle w:val="OperatorTok"/>
          <w:rFonts w:asciiTheme="minorHAnsi" w:hAnsiTheme="minorHAnsi"/>
        </w:rPr>
        <w:t>=</w:t>
      </w:r>
      <w:r w:rsidRPr="00587371">
        <w:rPr>
          <w:rStyle w:val="NormalTok"/>
          <w:rFonts w:asciiTheme="minorHAnsi" w:hAnsiTheme="minorHAnsi"/>
        </w:rPr>
        <w:t xml:space="preserve"> hash(current_hash</w:t>
      </w:r>
      <w:r w:rsidRPr="00587371">
        <w:rPr>
          <w:rStyle w:val="OperatorTok"/>
          <w:rFonts w:asciiTheme="minorHAnsi" w:hAnsiTheme="minorHAnsi"/>
        </w:rPr>
        <w:t>,</w:t>
      </w:r>
      <w:r w:rsidRPr="00587371">
        <w:rPr>
          <w:rStyle w:val="NormalTok"/>
          <w:rFonts w:asciiTheme="minorHAnsi" w:hAnsiTheme="minorHAnsi"/>
        </w:rPr>
        <w:t xml:space="preserve"> record)</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rPr>
          <w:rStyle w:val="OperatorTok"/>
          <w:rFonts w:asciiTheme="minorHAnsi" w:hAnsiTheme="minorHAnsi"/>
        </w:rPr>
        <w:t>}</w:t>
      </w:r>
      <w:r w:rsidRPr="00587371">
        <w:br/>
      </w:r>
      <w:r w:rsidRPr="00587371">
        <w:rPr>
          <w:rStyle w:val="NormalTok"/>
          <w:rFonts w:asciiTheme="minorHAnsi" w:hAnsiTheme="minorHAnsi"/>
        </w:rPr>
        <w:t xml:space="preserve">    </w:t>
      </w:r>
      <w:r w:rsidRPr="00587371">
        <w:br/>
      </w:r>
      <w:r w:rsidRPr="00587371">
        <w:rPr>
          <w:rStyle w:val="NormalTok"/>
          <w:rFonts w:asciiTheme="minorHAnsi" w:hAnsiTheme="minorHAnsi"/>
        </w:rPr>
        <w:t xml:space="preserve">    </w:t>
      </w:r>
      <w:r w:rsidRPr="00587371">
        <w:rPr>
          <w:rStyle w:val="CommentTok"/>
          <w:rFonts w:asciiTheme="minorHAnsi" w:hAnsiTheme="minorHAnsi"/>
        </w:rPr>
        <w:t>// Public Output</w:t>
      </w:r>
      <w:r w:rsidRPr="00587371">
        <w:br/>
      </w:r>
      <w:r w:rsidRPr="00587371">
        <w:rPr>
          <w:rStyle w:val="NormalTok"/>
          <w:rFonts w:asciiTheme="minorHAnsi" w:hAnsiTheme="minorHAnsi"/>
        </w:rPr>
        <w:t xml:space="preserve">    cs</w:t>
      </w:r>
      <w:r w:rsidRPr="00587371">
        <w:rPr>
          <w:rStyle w:val="OperatorTok"/>
          <w:rFonts w:asciiTheme="minorHAnsi" w:hAnsiTheme="minorHAnsi"/>
        </w:rPr>
        <w:t>.</w:t>
      </w:r>
      <w:r w:rsidRPr="00587371">
        <w:rPr>
          <w:rStyle w:val="NormalTok"/>
          <w:rFonts w:asciiTheme="minorHAnsi" w:hAnsiTheme="minorHAnsi"/>
        </w:rPr>
        <w:t>enforce_equal(current_hash</w:t>
      </w:r>
      <w:r w:rsidRPr="00587371">
        <w:rPr>
          <w:rStyle w:val="OperatorTok"/>
          <w:rFonts w:asciiTheme="minorHAnsi" w:hAnsiTheme="minorHAnsi"/>
        </w:rPr>
        <w:t>,</w:t>
      </w:r>
      <w:r w:rsidRPr="00587371">
        <w:rPr>
          <w:rStyle w:val="NormalTok"/>
          <w:rFonts w:asciiTheme="minorHAnsi" w:hAnsiTheme="minorHAnsi"/>
        </w:rPr>
        <w:t xml:space="preserve"> </w:t>
      </w:r>
      <w:r w:rsidRPr="00587371">
        <w:rPr>
          <w:rStyle w:val="KeywordTok"/>
          <w:rFonts w:asciiTheme="minorHAnsi" w:hAnsiTheme="minorHAnsi"/>
        </w:rPr>
        <w:t>self</w:t>
      </w:r>
      <w:r w:rsidRPr="00587371">
        <w:rPr>
          <w:rStyle w:val="OperatorTok"/>
          <w:rFonts w:asciiTheme="minorHAnsi" w:hAnsiTheme="minorHAnsi"/>
        </w:rPr>
        <w:t>.</w:t>
      </w:r>
      <w:r w:rsidRPr="00587371">
        <w:rPr>
          <w:rStyle w:val="NormalTok"/>
          <w:rFonts w:asciiTheme="minorHAnsi" w:hAnsiTheme="minorHAnsi"/>
        </w:rPr>
        <w:t>public_root)</w:t>
      </w:r>
      <w:r w:rsidRPr="00587371">
        <w:rPr>
          <w:rStyle w:val="OperatorTok"/>
          <w:rFonts w:asciiTheme="minorHAnsi" w:hAnsiTheme="minorHAnsi"/>
        </w:rPr>
        <w:t>;</w:t>
      </w:r>
      <w:r w:rsidRPr="00587371">
        <w:br/>
      </w:r>
      <w:r w:rsidRPr="00587371">
        <w:rPr>
          <w:rStyle w:val="OperatorTok"/>
          <w:rFonts w:asciiTheme="minorHAnsi" w:hAnsiTheme="minorHAnsi"/>
        </w:rPr>
        <w:t>}</w:t>
      </w:r>
    </w:p>
    <w:p w14:paraId="173E4543" w14:textId="77777777" w:rsidR="006E7DFD" w:rsidRPr="00587371" w:rsidRDefault="00000000">
      <w:pPr>
        <w:pStyle w:val="Heading3"/>
      </w:pPr>
      <w:bookmarkStart w:id="25" w:name="sharded-merkle-ledger"/>
      <w:bookmarkEnd w:id="24"/>
      <w:r w:rsidRPr="00587371">
        <w:lastRenderedPageBreak/>
        <w:t>5.4 Sharded Merkle Ledger</w:t>
      </w:r>
    </w:p>
    <w:p w14:paraId="4AF3DA5B" w14:textId="77777777" w:rsidR="006E7DFD" w:rsidRPr="00587371" w:rsidRDefault="00000000">
      <w:pPr>
        <w:pStyle w:val="FirstParagraph"/>
      </w:pPr>
      <w:r w:rsidRPr="00587371">
        <w:t xml:space="preserve">To handle high throughput (e.g., 10k RPS), a single Merkle Tree is a bottleneck. I implement a </w:t>
      </w:r>
      <w:r w:rsidRPr="00587371">
        <w:rPr>
          <w:b/>
          <w:bCs/>
        </w:rPr>
        <w:t>Sharded Forest</w:t>
      </w:r>
      <w:r w:rsidRPr="00587371">
        <w:t xml:space="preserve">. - The traffic is divided into </w:t>
      </w:r>
      <m:oMath>
        <m:r>
          <w:rPr>
            <w:rFonts w:ascii="Cambria Math" w:hAnsi="Cambria Math"/>
          </w:rPr>
          <m:t>N</m:t>
        </m:r>
      </m:oMath>
      <w:r w:rsidRPr="00587371">
        <w:t xml:space="preserve"> shards. - Each shard maintains its own independent Merkle Tree. - At the end of an epoch (e.g., 1 minute), the roots of the </w:t>
      </w:r>
      <m:oMath>
        <m:r>
          <w:rPr>
            <w:rFonts w:ascii="Cambria Math" w:hAnsi="Cambria Math"/>
          </w:rPr>
          <m:t>N</m:t>
        </m:r>
      </m:oMath>
      <w:r w:rsidRPr="00587371">
        <w:t xml:space="preserve"> shards are aggregated into a “Super-Root”. - The ZK proof attests to the Super-Root. This allows parallel proof generation across multiple cores or GPUs (future work).</w:t>
      </w:r>
    </w:p>
    <w:p w14:paraId="080CA5AF" w14:textId="77777777" w:rsidR="006E7DFD" w:rsidRPr="00587371" w:rsidRDefault="00000000">
      <w:r w:rsidRPr="00587371">
        <w:pict w14:anchorId="6FFA2B60">
          <v:rect id="_x0000_i1032" style="width:0;height:1.5pt" o:hralign="center" o:hrstd="t" o:hr="t"/>
        </w:pict>
      </w:r>
    </w:p>
    <w:p w14:paraId="683CEF22" w14:textId="77777777" w:rsidR="006E7DFD" w:rsidRPr="00587371" w:rsidRDefault="00000000">
      <w:pPr>
        <w:pStyle w:val="Heading2"/>
        <w:rPr>
          <w:rFonts w:asciiTheme="minorHAnsi" w:hAnsiTheme="minorHAnsi"/>
        </w:rPr>
      </w:pPr>
      <w:bookmarkStart w:id="26" w:name="evaluation"/>
      <w:bookmarkEnd w:id="21"/>
      <w:bookmarkEnd w:id="25"/>
      <w:r w:rsidRPr="00587371">
        <w:rPr>
          <w:rFonts w:asciiTheme="minorHAnsi" w:hAnsiTheme="minorHAnsi"/>
        </w:rPr>
        <w:t>6. Evaluation</w:t>
      </w:r>
    </w:p>
    <w:p w14:paraId="04AECCEA" w14:textId="77777777" w:rsidR="006E7DFD" w:rsidRPr="00587371" w:rsidRDefault="00000000">
      <w:pPr>
        <w:pStyle w:val="FirstParagraph"/>
      </w:pPr>
      <w:r w:rsidRPr="00587371">
        <w:t xml:space="preserve">I evaluated RuntimeGuard-AI to answer three questions: 1. </w:t>
      </w:r>
      <w:r w:rsidRPr="00587371">
        <w:rPr>
          <w:b/>
          <w:bCs/>
        </w:rPr>
        <w:t>Overhead:</w:t>
      </w:r>
      <w:r w:rsidRPr="00587371">
        <w:t xml:space="preserve"> Does the inline engine respect the </w:t>
      </w:r>
      <m:oMath>
        <m:r>
          <m:rPr>
            <m:sty m:val="p"/>
          </m:rPr>
          <w:rPr>
            <w:rFonts w:ascii="Cambria Math" w:hAnsi="Cambria Math"/>
          </w:rPr>
          <m:t>&lt;</m:t>
        </m:r>
        <m:r>
          <w:rPr>
            <w:rFonts w:ascii="Cambria Math" w:hAnsi="Cambria Math"/>
          </w:rPr>
          <m:t>10ms</m:t>
        </m:r>
      </m:oMath>
      <w:r w:rsidRPr="00587371">
        <w:t xml:space="preserve"> budget? (Theorem 1 verification) 2. </w:t>
      </w:r>
      <w:r w:rsidRPr="00587371">
        <w:rPr>
          <w:b/>
          <w:bCs/>
        </w:rPr>
        <w:t>Throughput:</w:t>
      </w:r>
      <w:r w:rsidRPr="00587371">
        <w:t xml:space="preserve"> Can the asynchronous attestor keep up with high load? 3. </w:t>
      </w:r>
      <w:r w:rsidRPr="00587371">
        <w:rPr>
          <w:b/>
          <w:bCs/>
        </w:rPr>
        <w:t>Cost:</w:t>
      </w:r>
      <w:r w:rsidRPr="00587371">
        <w:t xml:space="preserve"> Is the cryptographic overhead economically viable?</w:t>
      </w:r>
    </w:p>
    <w:p w14:paraId="40F7CD27" w14:textId="77777777" w:rsidR="006E7DFD" w:rsidRPr="00587371" w:rsidRDefault="00000000">
      <w:pPr>
        <w:pStyle w:val="Heading3"/>
      </w:pPr>
      <w:bookmarkStart w:id="27" w:name="experimental-setup"/>
      <w:r w:rsidRPr="00587371">
        <w:t>6.1 Experimental Setup</w:t>
      </w:r>
    </w:p>
    <w:p w14:paraId="7D862815" w14:textId="77777777" w:rsidR="006E7DFD" w:rsidRPr="00587371" w:rsidRDefault="00000000">
      <w:pPr>
        <w:pStyle w:val="FirstParagraph"/>
      </w:pPr>
      <w:r w:rsidRPr="00587371">
        <w:rPr>
          <w:b/>
          <w:bCs/>
        </w:rPr>
        <w:t>Hardware:</w:t>
      </w:r>
      <w:r w:rsidRPr="00587371">
        <w:t xml:space="preserve"> - </w:t>
      </w:r>
      <w:r w:rsidRPr="00587371">
        <w:rPr>
          <w:b/>
          <w:bCs/>
        </w:rPr>
        <w:t>Inference Node:</w:t>
      </w:r>
      <w:r w:rsidRPr="00587371">
        <w:t xml:space="preserve"> AMD EPYC 7763, 128GB RAM (Simulating an inference server). - </w:t>
      </w:r>
      <w:r w:rsidRPr="00587371">
        <w:rPr>
          <w:b/>
          <w:bCs/>
        </w:rPr>
        <w:t>Attestation Node:</w:t>
      </w:r>
      <w:r w:rsidRPr="00587371">
        <w:t xml:space="preserve"> Standard consumer workstation (Intel i7-13700K, 32GB RAM). Note: I intentionally ran benchmarks on a CPU to establish a lower bound for performance. Production deployments would utilize GPU acceleration.</w:t>
      </w:r>
    </w:p>
    <w:p w14:paraId="1EBCA272" w14:textId="77777777" w:rsidR="006E7DFD" w:rsidRPr="00587371" w:rsidRDefault="00000000">
      <w:pPr>
        <w:pStyle w:val="BodyText"/>
      </w:pPr>
      <w:r w:rsidRPr="00587371">
        <w:rPr>
          <w:b/>
          <w:bCs/>
        </w:rPr>
        <w:t>Dataset:</w:t>
      </w:r>
      <w:r w:rsidRPr="00587371">
        <w:t xml:space="preserve"> I generated a synthetic dataset of 3.2 million request/response pairs, mimicking a mix of Chat (variable length), Completion (short), and Embedding (high volume) workloads.</w:t>
      </w:r>
    </w:p>
    <w:p w14:paraId="45B0A9C8" w14:textId="77777777" w:rsidR="006E7DFD" w:rsidRPr="00587371" w:rsidRDefault="00000000">
      <w:pPr>
        <w:pStyle w:val="Heading3"/>
      </w:pPr>
      <w:bookmarkStart w:id="28" w:name="microbenchmark-zk-proving-performance"/>
      <w:bookmarkEnd w:id="27"/>
      <w:r w:rsidRPr="00587371">
        <w:t>6.2 Microbenchmark: ZK Proving Performance</w:t>
      </w:r>
    </w:p>
    <w:p w14:paraId="256E4A9B" w14:textId="77777777" w:rsidR="006E7DFD" w:rsidRPr="00587371" w:rsidRDefault="00000000">
      <w:pPr>
        <w:pStyle w:val="FirstParagraph"/>
      </w:pPr>
      <w:r w:rsidRPr="00587371">
        <w:t>The ZK proof generation is the most computationally expensive operation. Figure 3 shows the relationship between constraint count and proving time.</w:t>
      </w:r>
    </w:p>
    <w:p w14:paraId="1330D3D5" w14:textId="77777777" w:rsidR="006E7DFD" w:rsidRPr="00587371" w:rsidRDefault="00000000">
      <w:pPr>
        <w:pStyle w:val="CaptionedFigure"/>
      </w:pPr>
      <w:r w:rsidRPr="00587371">
        <w:rPr>
          <w:noProof/>
        </w:rPr>
        <w:lastRenderedPageBreak/>
        <w:drawing>
          <wp:inline distT="0" distB="0" distL="0" distR="0" wp14:anchorId="6B5EF21E" wp14:editId="347B46A3">
            <wp:extent cx="5334000" cy="3555999"/>
            <wp:effectExtent l="0" t="0" r="0" b="0"/>
            <wp:docPr id="42" name="Picture" descr="Figure 3: ZK Proving Performance"/>
            <wp:cNvGraphicFramePr/>
            <a:graphic xmlns:a="http://schemas.openxmlformats.org/drawingml/2006/main">
              <a:graphicData uri="http://schemas.openxmlformats.org/drawingml/2006/picture">
                <pic:pic xmlns:pic="http://schemas.openxmlformats.org/drawingml/2006/picture">
                  <pic:nvPicPr>
                    <pic:cNvPr id="43" name="Picture" descr="figures/proof_time.png"/>
                    <pic:cNvPicPr>
                      <a:picLocks noChangeAspect="1" noChangeArrowheads="1"/>
                    </pic:cNvPicPr>
                  </pic:nvPicPr>
                  <pic:blipFill>
                    <a:blip r:embed="rId7"/>
                    <a:stretch>
                      <a:fillRect/>
                    </a:stretch>
                  </pic:blipFill>
                  <pic:spPr bwMode="auto">
                    <a:xfrm>
                      <a:off x="0" y="0"/>
                      <a:ext cx="5334000" cy="3555999"/>
                    </a:xfrm>
                    <a:prstGeom prst="rect">
                      <a:avLst/>
                    </a:prstGeom>
                    <a:noFill/>
                    <a:ln w="9525">
                      <a:noFill/>
                      <a:headEnd/>
                      <a:tailEnd/>
                    </a:ln>
                  </pic:spPr>
                </pic:pic>
              </a:graphicData>
            </a:graphic>
          </wp:inline>
        </w:drawing>
      </w:r>
    </w:p>
    <w:p w14:paraId="533B5CB5" w14:textId="77777777" w:rsidR="006E7DFD" w:rsidRPr="00587371" w:rsidRDefault="00000000">
      <w:pPr>
        <w:pStyle w:val="ImageCaption"/>
      </w:pPr>
      <w:r w:rsidRPr="00587371">
        <w:t>Figure 3: ZK Proving Performance</w:t>
      </w:r>
    </w:p>
    <w:tbl>
      <w:tblPr>
        <w:tblStyle w:val="Table"/>
        <w:tblW w:w="0" w:type="auto"/>
        <w:tblLook w:val="0020" w:firstRow="1" w:lastRow="0" w:firstColumn="0" w:lastColumn="0" w:noHBand="0" w:noVBand="0"/>
      </w:tblPr>
      <w:tblGrid>
        <w:gridCol w:w="1433"/>
        <w:gridCol w:w="2046"/>
        <w:gridCol w:w="2056"/>
        <w:gridCol w:w="1125"/>
      </w:tblGrid>
      <w:tr w:rsidR="006E7DFD" w:rsidRPr="00587371" w14:paraId="4A382B37" w14:textId="77777777" w:rsidTr="006E7DFD">
        <w:trPr>
          <w:cnfStyle w:val="100000000000" w:firstRow="1" w:lastRow="0" w:firstColumn="0" w:lastColumn="0" w:oddVBand="0" w:evenVBand="0" w:oddHBand="0" w:evenHBand="0" w:firstRowFirstColumn="0" w:firstRowLastColumn="0" w:lastRowFirstColumn="0" w:lastRowLastColumn="0"/>
          <w:tblHeader/>
        </w:trPr>
        <w:tc>
          <w:tcPr>
            <w:tcW w:w="0" w:type="auto"/>
          </w:tcPr>
          <w:p w14:paraId="27606CCA" w14:textId="77777777" w:rsidR="006E7DFD" w:rsidRPr="00587371" w:rsidRDefault="00000000">
            <w:pPr>
              <w:pStyle w:val="Compact"/>
            </w:pPr>
            <w:r w:rsidRPr="00587371">
              <w:t>Constraints</w:t>
            </w:r>
          </w:p>
        </w:tc>
        <w:tc>
          <w:tcPr>
            <w:tcW w:w="0" w:type="auto"/>
          </w:tcPr>
          <w:p w14:paraId="393A3D7A" w14:textId="77777777" w:rsidR="006E7DFD" w:rsidRPr="00587371" w:rsidRDefault="00000000">
            <w:pPr>
              <w:pStyle w:val="Compact"/>
            </w:pPr>
            <w:r w:rsidRPr="00587371">
              <w:t>Witness Gen (ms)</w:t>
            </w:r>
          </w:p>
        </w:tc>
        <w:tc>
          <w:tcPr>
            <w:tcW w:w="0" w:type="auto"/>
          </w:tcPr>
          <w:p w14:paraId="0A553EBA" w14:textId="77777777" w:rsidR="006E7DFD" w:rsidRPr="00587371" w:rsidRDefault="00000000">
            <w:pPr>
              <w:pStyle w:val="Compact"/>
            </w:pPr>
            <w:r w:rsidRPr="00587371">
              <w:t>Total Proving (ms)</w:t>
            </w:r>
          </w:p>
        </w:tc>
        <w:tc>
          <w:tcPr>
            <w:tcW w:w="0" w:type="auto"/>
          </w:tcPr>
          <w:p w14:paraId="03540B0A" w14:textId="77777777" w:rsidR="006E7DFD" w:rsidRPr="00587371" w:rsidRDefault="00000000">
            <w:pPr>
              <w:pStyle w:val="Compact"/>
            </w:pPr>
            <w:r w:rsidRPr="00587371">
              <w:t>Samples</w:t>
            </w:r>
          </w:p>
        </w:tc>
      </w:tr>
      <w:tr w:rsidR="006E7DFD" w:rsidRPr="00587371" w14:paraId="72FB0BC8" w14:textId="77777777">
        <w:tc>
          <w:tcPr>
            <w:tcW w:w="0" w:type="auto"/>
          </w:tcPr>
          <w:p w14:paraId="67DEB9BE" w14:textId="77777777" w:rsidR="006E7DFD" w:rsidRPr="00587371" w:rsidRDefault="00000000">
            <w:pPr>
              <w:pStyle w:val="Compact"/>
            </w:pPr>
            <w:r w:rsidRPr="00587371">
              <w:t>10,000</w:t>
            </w:r>
          </w:p>
        </w:tc>
        <w:tc>
          <w:tcPr>
            <w:tcW w:w="0" w:type="auto"/>
          </w:tcPr>
          <w:p w14:paraId="668899EB" w14:textId="77777777" w:rsidR="006E7DFD" w:rsidRPr="00587371" w:rsidRDefault="00000000">
            <w:pPr>
              <w:pStyle w:val="Compact"/>
            </w:pPr>
            <w:r w:rsidRPr="00587371">
              <w:t>12.9</w:t>
            </w:r>
          </w:p>
        </w:tc>
        <w:tc>
          <w:tcPr>
            <w:tcW w:w="0" w:type="auto"/>
          </w:tcPr>
          <w:p w14:paraId="2185BBCB" w14:textId="77777777" w:rsidR="006E7DFD" w:rsidRPr="00587371" w:rsidRDefault="00000000">
            <w:pPr>
              <w:pStyle w:val="Compact"/>
            </w:pPr>
            <w:r w:rsidRPr="00587371">
              <w:t>348.4</w:t>
            </w:r>
          </w:p>
        </w:tc>
        <w:tc>
          <w:tcPr>
            <w:tcW w:w="0" w:type="auto"/>
          </w:tcPr>
          <w:p w14:paraId="2282120C" w14:textId="77777777" w:rsidR="006E7DFD" w:rsidRPr="00587371" w:rsidRDefault="00000000">
            <w:pPr>
              <w:pStyle w:val="Compact"/>
            </w:pPr>
            <w:r w:rsidRPr="00587371">
              <w:t>10</w:t>
            </w:r>
          </w:p>
        </w:tc>
      </w:tr>
      <w:tr w:rsidR="006E7DFD" w:rsidRPr="00587371" w14:paraId="0AD403B1" w14:textId="77777777">
        <w:tc>
          <w:tcPr>
            <w:tcW w:w="0" w:type="auto"/>
          </w:tcPr>
          <w:p w14:paraId="23FFE50E" w14:textId="77777777" w:rsidR="006E7DFD" w:rsidRPr="00587371" w:rsidRDefault="00000000">
            <w:pPr>
              <w:pStyle w:val="Compact"/>
            </w:pPr>
            <w:r w:rsidRPr="00587371">
              <w:t>50,000</w:t>
            </w:r>
          </w:p>
        </w:tc>
        <w:tc>
          <w:tcPr>
            <w:tcW w:w="0" w:type="auto"/>
          </w:tcPr>
          <w:p w14:paraId="2B03050E" w14:textId="77777777" w:rsidR="006E7DFD" w:rsidRPr="00587371" w:rsidRDefault="00000000">
            <w:pPr>
              <w:pStyle w:val="Compact"/>
            </w:pPr>
            <w:r w:rsidRPr="00587371">
              <w:t>62.0</w:t>
            </w:r>
          </w:p>
        </w:tc>
        <w:tc>
          <w:tcPr>
            <w:tcW w:w="0" w:type="auto"/>
          </w:tcPr>
          <w:p w14:paraId="2DE5C20E" w14:textId="77777777" w:rsidR="006E7DFD" w:rsidRPr="00587371" w:rsidRDefault="00000000">
            <w:pPr>
              <w:pStyle w:val="Compact"/>
            </w:pPr>
            <w:r w:rsidRPr="00587371">
              <w:t>1,389.1</w:t>
            </w:r>
          </w:p>
        </w:tc>
        <w:tc>
          <w:tcPr>
            <w:tcW w:w="0" w:type="auto"/>
          </w:tcPr>
          <w:p w14:paraId="62525000" w14:textId="77777777" w:rsidR="006E7DFD" w:rsidRPr="00587371" w:rsidRDefault="00000000">
            <w:pPr>
              <w:pStyle w:val="Compact"/>
            </w:pPr>
            <w:r w:rsidRPr="00587371">
              <w:t>5</w:t>
            </w:r>
          </w:p>
        </w:tc>
      </w:tr>
    </w:tbl>
    <w:p w14:paraId="029E622A" w14:textId="77777777" w:rsidR="006E7DFD" w:rsidRPr="00587371" w:rsidRDefault="00000000">
      <w:pPr>
        <w:pStyle w:val="BodyText"/>
      </w:pPr>
      <w:r w:rsidRPr="00587371">
        <w:rPr>
          <w:b/>
          <w:bCs/>
        </w:rPr>
        <w:t>Analysis:</w:t>
      </w:r>
      <w:r w:rsidRPr="00587371">
        <w:t xml:space="preserve"> - </w:t>
      </w:r>
      <w:r w:rsidRPr="00587371">
        <w:rPr>
          <w:b/>
          <w:bCs/>
        </w:rPr>
        <w:t>Witness Generation (4.3%):</w:t>
      </w:r>
      <w:r w:rsidRPr="00587371">
        <w:t xml:space="preserve"> Generating the “witness” (the values of the wires in the circuit) is surprisingly fast, taking only ~62ms for a complex policy check. - </w:t>
      </w:r>
      <w:r w:rsidRPr="00587371">
        <w:rPr>
          <w:b/>
          <w:bCs/>
        </w:rPr>
        <w:t>FFT/MSM Dominance:</w:t>
      </w:r>
      <w:r w:rsidRPr="00587371">
        <w:t xml:space="preserve"> The remaining ~1300ms is consumed by Fast Fourier Transforms (FFT) and Multi-Scalar Multiplications (MSM) over the elliptic curve. This confirms that offloading is mandatory; a 1.4s blockage would destroy the user experience.</w:t>
      </w:r>
    </w:p>
    <w:p w14:paraId="112895F7" w14:textId="77777777" w:rsidR="006E7DFD" w:rsidRPr="00587371" w:rsidRDefault="00000000">
      <w:pPr>
        <w:pStyle w:val="Heading3"/>
      </w:pPr>
      <w:bookmarkStart w:id="29" w:name="macrobenchmark-end-to-end-latency"/>
      <w:bookmarkEnd w:id="28"/>
      <w:r w:rsidRPr="00587371">
        <w:t>6.3 Macrobenchmark: End-to-End Latency</w:t>
      </w:r>
    </w:p>
    <w:p w14:paraId="5D0DDAC1" w14:textId="77777777" w:rsidR="006E7DFD" w:rsidRPr="00587371" w:rsidRDefault="00000000">
      <w:pPr>
        <w:pStyle w:val="FirstParagraph"/>
      </w:pPr>
      <w:r w:rsidRPr="00587371">
        <w:t xml:space="preserve">To verify Theorem 1 (Latency Separation), I measured the P50 and P99 latency of the mock inference service with and without the </w:t>
      </w:r>
      <w:r w:rsidRPr="00587371">
        <w:rPr>
          <w:rStyle w:val="VerbatimChar"/>
          <w:rFonts w:asciiTheme="minorHAnsi" w:hAnsiTheme="minorHAnsi"/>
        </w:rPr>
        <w:t>InlinePolicyEngine</w:t>
      </w:r>
      <w:r w:rsidRPr="00587371">
        <w:t>.</w:t>
      </w:r>
    </w:p>
    <w:p w14:paraId="778E0D87" w14:textId="77777777" w:rsidR="006E7DFD" w:rsidRPr="00587371" w:rsidRDefault="00000000">
      <w:pPr>
        <w:pStyle w:val="CaptionedFigure"/>
      </w:pPr>
      <w:r w:rsidRPr="00587371">
        <w:rPr>
          <w:noProof/>
        </w:rPr>
        <w:lastRenderedPageBreak/>
        <w:drawing>
          <wp:inline distT="0" distB="0" distL="0" distR="0" wp14:anchorId="785197AE" wp14:editId="6D34DE73">
            <wp:extent cx="5334000" cy="3333750"/>
            <wp:effectExtent l="0" t="0" r="0" b="0"/>
            <wp:docPr id="46" name="Picture" descr="Figure 4: Inline Latency Overhead Histogram"/>
            <wp:cNvGraphicFramePr/>
            <a:graphic xmlns:a="http://schemas.openxmlformats.org/drawingml/2006/main">
              <a:graphicData uri="http://schemas.openxmlformats.org/drawingml/2006/picture">
                <pic:pic xmlns:pic="http://schemas.openxmlformats.org/drawingml/2006/picture">
                  <pic:nvPicPr>
                    <pic:cNvPr id="47" name="Picture" descr="figures/latency_hist.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1FA9F812" w14:textId="77777777" w:rsidR="006E7DFD" w:rsidRPr="00587371" w:rsidRDefault="00000000">
      <w:pPr>
        <w:pStyle w:val="ImageCaption"/>
      </w:pPr>
      <w:r w:rsidRPr="00587371">
        <w:t>Figure 4: Inline Latency Overhead Histogram</w:t>
      </w:r>
    </w:p>
    <w:p w14:paraId="569E801D" w14:textId="77777777" w:rsidR="006E7DFD" w:rsidRPr="00587371" w:rsidRDefault="00000000">
      <w:pPr>
        <w:pStyle w:val="BodyText"/>
      </w:pPr>
      <w:r w:rsidRPr="00587371">
        <w:t xml:space="preserve">The results demonstrate a median overhead of </w:t>
      </w:r>
      <w:r w:rsidRPr="00587371">
        <w:rPr>
          <w:b/>
          <w:bCs/>
        </w:rPr>
        <w:t>2.3% to 4.1%</w:t>
      </w:r>
      <w:r w:rsidRPr="00587371">
        <w:t xml:space="preserve"> across workloads. - </w:t>
      </w:r>
      <w:r w:rsidRPr="00587371">
        <w:rPr>
          <w:b/>
          <w:bCs/>
        </w:rPr>
        <w:t>Chat:</w:t>
      </w:r>
      <w:r w:rsidRPr="00587371">
        <w:t xml:space="preserve"> Baseline 45ms </w:t>
      </w:r>
      <m:oMath>
        <m:r>
          <m:rPr>
            <m:sty m:val="p"/>
          </m:rPr>
          <w:rPr>
            <w:rFonts w:ascii="Cambria Math" w:hAnsi="Cambria Math"/>
          </w:rPr>
          <m:t>→</m:t>
        </m:r>
      </m:oMath>
      <w:r w:rsidRPr="00587371">
        <w:t xml:space="preserve"> 46.2ms (+1.2ms) - </w:t>
      </w:r>
      <w:r w:rsidRPr="00587371">
        <w:rPr>
          <w:b/>
          <w:bCs/>
        </w:rPr>
        <w:t>Embedding:</w:t>
      </w:r>
      <w:r w:rsidRPr="00587371">
        <w:t xml:space="preserve"> Baseline 12ms </w:t>
      </w:r>
      <m:oMath>
        <m:r>
          <m:rPr>
            <m:sty m:val="p"/>
          </m:rPr>
          <w:rPr>
            <w:rFonts w:ascii="Cambria Math" w:hAnsi="Cambria Math"/>
          </w:rPr>
          <m:t>→</m:t>
        </m:r>
      </m:oMath>
      <w:r w:rsidRPr="00587371">
        <w:t xml:space="preserve"> 12.5ms (+0.5ms)</w:t>
      </w:r>
    </w:p>
    <w:p w14:paraId="19A5AD82" w14:textId="77777777" w:rsidR="006E7DFD" w:rsidRPr="00587371" w:rsidRDefault="00000000">
      <w:pPr>
        <w:pStyle w:val="BodyText"/>
      </w:pPr>
      <w:r w:rsidRPr="00587371">
        <w:t xml:space="preserve">This minimal overhead confirms that the </w:t>
      </w:r>
      <w:r w:rsidRPr="00587371">
        <w:rPr>
          <w:rStyle w:val="VerbatimChar"/>
          <w:rFonts w:asciiTheme="minorHAnsi" w:hAnsiTheme="minorHAnsi"/>
        </w:rPr>
        <w:t>try_send</w:t>
      </w:r>
      <w:r w:rsidRPr="00587371">
        <w:t xml:space="preserve"> mechanism successfully isolates the extensive cryptographic work from the hot path.</w:t>
      </w:r>
    </w:p>
    <w:p w14:paraId="03FE06F5" w14:textId="77777777" w:rsidR="006E7DFD" w:rsidRPr="00587371" w:rsidRDefault="00000000">
      <w:pPr>
        <w:pStyle w:val="Heading3"/>
      </w:pPr>
      <w:bookmarkStart w:id="30" w:name="throughput-scalability"/>
      <w:bookmarkEnd w:id="29"/>
      <w:r w:rsidRPr="00587371">
        <w:t>6.4 Throughput Scalability</w:t>
      </w:r>
    </w:p>
    <w:p w14:paraId="435D975B" w14:textId="77777777" w:rsidR="006E7DFD" w:rsidRPr="00587371" w:rsidRDefault="00000000">
      <w:pPr>
        <w:pStyle w:val="FirstParagraph"/>
      </w:pPr>
      <w:r w:rsidRPr="00587371">
        <w:t xml:space="preserve">I measured the maximum sustainable throughput of the </w:t>
      </w:r>
      <w:r w:rsidRPr="00587371">
        <w:rPr>
          <w:rStyle w:val="VerbatimChar"/>
          <w:rFonts w:asciiTheme="minorHAnsi" w:hAnsiTheme="minorHAnsi"/>
        </w:rPr>
        <w:t>InlinePolicyEngine</w:t>
      </w:r>
      <w:r w:rsidRPr="00587371">
        <w:t xml:space="preserve"> under increasing load. Figure 5 demonstrates that the system maintains linear scalability up to 10,000 requests per second on a single node.</w:t>
      </w:r>
    </w:p>
    <w:p w14:paraId="78845A4B" w14:textId="77777777" w:rsidR="006E7DFD" w:rsidRPr="00587371" w:rsidRDefault="00000000">
      <w:pPr>
        <w:pStyle w:val="CaptionedFigure"/>
      </w:pPr>
      <w:r w:rsidRPr="00587371">
        <w:rPr>
          <w:noProof/>
        </w:rPr>
        <w:lastRenderedPageBreak/>
        <w:drawing>
          <wp:inline distT="0" distB="0" distL="0" distR="0" wp14:anchorId="2046E5E1" wp14:editId="5AEDA534">
            <wp:extent cx="5334000" cy="3048000"/>
            <wp:effectExtent l="0" t="0" r="0" b="0"/>
            <wp:docPr id="50" name="Picture" descr="Figure 5: Throughput Scalability"/>
            <wp:cNvGraphicFramePr/>
            <a:graphic xmlns:a="http://schemas.openxmlformats.org/drawingml/2006/main">
              <a:graphicData uri="http://schemas.openxmlformats.org/drawingml/2006/picture">
                <pic:pic xmlns:pic="http://schemas.openxmlformats.org/drawingml/2006/picture">
                  <pic:nvPicPr>
                    <pic:cNvPr id="51" name="Picture" descr="figures/throughput.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14:paraId="0888E018" w14:textId="77777777" w:rsidR="006E7DFD" w:rsidRPr="00587371" w:rsidRDefault="00000000">
      <w:pPr>
        <w:pStyle w:val="ImageCaption"/>
      </w:pPr>
      <w:r w:rsidRPr="00587371">
        <w:t>Figure 5: Throughput Scalability</w:t>
      </w:r>
    </w:p>
    <w:p w14:paraId="06099B1D" w14:textId="77777777" w:rsidR="006E7DFD" w:rsidRPr="00587371" w:rsidRDefault="00000000">
      <w:pPr>
        <w:pStyle w:val="BodyText"/>
      </w:pPr>
      <w:r w:rsidRPr="00587371">
        <w:t>The throughput ceiling is determined by CPU core count and memory bandwidth, not by any blocking operations in the policy evaluation path.</w:t>
      </w:r>
    </w:p>
    <w:p w14:paraId="39906953" w14:textId="77777777" w:rsidR="006E7DFD" w:rsidRPr="00587371" w:rsidRDefault="00000000">
      <w:pPr>
        <w:pStyle w:val="Heading3"/>
      </w:pPr>
      <w:bookmarkStart w:id="31" w:name="merkle-tree-storage-growth"/>
      <w:bookmarkEnd w:id="30"/>
      <w:r w:rsidRPr="00587371">
        <w:t>6.5 Merkle Tree Storage Growth</w:t>
      </w:r>
    </w:p>
    <w:p w14:paraId="74255B0F" w14:textId="77777777" w:rsidR="006E7DFD" w:rsidRPr="00587371" w:rsidRDefault="00000000">
      <w:pPr>
        <w:pStyle w:val="FirstParagraph"/>
      </w:pPr>
      <w:r w:rsidRPr="00587371">
        <w:t>A critical concern for long-running compliance systems is storage. Figure 6 shows the growth of the Merkle tree depth over time.</w:t>
      </w:r>
    </w:p>
    <w:p w14:paraId="58233A58" w14:textId="77777777" w:rsidR="006E7DFD" w:rsidRPr="00587371" w:rsidRDefault="00000000">
      <w:pPr>
        <w:pStyle w:val="CaptionedFigure"/>
      </w:pPr>
      <w:r w:rsidRPr="00587371">
        <w:rPr>
          <w:noProof/>
        </w:rPr>
        <w:drawing>
          <wp:inline distT="0" distB="0" distL="0" distR="0" wp14:anchorId="69E7AC22" wp14:editId="77C371EF">
            <wp:extent cx="5334000" cy="3048000"/>
            <wp:effectExtent l="0" t="0" r="0" b="0"/>
            <wp:docPr id="54" name="Picture" descr="Figure 6: Merkle Tree Growth"/>
            <wp:cNvGraphicFramePr/>
            <a:graphic xmlns:a="http://schemas.openxmlformats.org/drawingml/2006/main">
              <a:graphicData uri="http://schemas.openxmlformats.org/drawingml/2006/picture">
                <pic:pic xmlns:pic="http://schemas.openxmlformats.org/drawingml/2006/picture">
                  <pic:nvPicPr>
                    <pic:cNvPr id="55" name="Picture" descr="figures/merkle_growth.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14:paraId="5A823163" w14:textId="77777777" w:rsidR="006E7DFD" w:rsidRPr="00587371" w:rsidRDefault="00000000">
      <w:pPr>
        <w:pStyle w:val="ImageCaption"/>
      </w:pPr>
      <w:r w:rsidRPr="00587371">
        <w:t>Figure 6: Merkle Tree Growth</w:t>
      </w:r>
    </w:p>
    <w:p w14:paraId="4FAD80A0" w14:textId="77777777" w:rsidR="006E7DFD" w:rsidRPr="00587371" w:rsidRDefault="00000000">
      <w:pPr>
        <w:pStyle w:val="BodyText"/>
      </w:pPr>
      <w:r w:rsidRPr="00587371">
        <w:lastRenderedPageBreak/>
        <w:t>Due to the logarithmic nature of Merkle Trees, even after processing 1 billion records, the tree depth remains manageable (~30 levels). This confirms the architecture’s suitability for long-term auditability.</w:t>
      </w:r>
    </w:p>
    <w:p w14:paraId="4E2C55E9" w14:textId="77777777" w:rsidR="006E7DFD" w:rsidRPr="00587371" w:rsidRDefault="00000000">
      <w:pPr>
        <w:pStyle w:val="Heading3"/>
      </w:pPr>
      <w:bookmarkStart w:id="32" w:name="the-frontier-of-acceleration-gpu-vs-fpga"/>
      <w:bookmarkEnd w:id="31"/>
      <w:r w:rsidRPr="00587371">
        <w:t>6.6 The Frontier of Acceleration: GPU vs FPGA</w:t>
      </w:r>
    </w:p>
    <w:p w14:paraId="15E8B90B" w14:textId="77777777" w:rsidR="006E7DFD" w:rsidRPr="00587371" w:rsidRDefault="00000000">
      <w:pPr>
        <w:pStyle w:val="FirstParagraph"/>
      </w:pPr>
      <w:r w:rsidRPr="00587371">
        <w:t xml:space="preserve">While my reference implementation uses CPU-based proving, the future of runtime compliance lies in hardware acceleration. The bottleneck in Groth16 is the </w:t>
      </w:r>
      <w:r w:rsidRPr="00587371">
        <w:rPr>
          <w:b/>
          <w:bCs/>
        </w:rPr>
        <w:t>Multi-Scalar Multiplication (MSM)</w:t>
      </w:r>
      <w:r w:rsidRPr="00587371">
        <w:t xml:space="preserve">, which is embarrassingly parallel. - </w:t>
      </w:r>
      <w:r w:rsidRPr="00587371">
        <w:rPr>
          <w:b/>
          <w:bCs/>
        </w:rPr>
        <w:t>GPU Acceleration:</w:t>
      </w:r>
      <w:r w:rsidRPr="00587371">
        <w:t xml:space="preserve"> Libraries like </w:t>
      </w:r>
      <w:r w:rsidRPr="00587371">
        <w:rPr>
          <w:b/>
          <w:bCs/>
        </w:rPr>
        <w:t>ICICLE</w:t>
      </w:r>
      <w:r w:rsidRPr="00587371">
        <w:t xml:space="preserve"> (by Ingonyama) utilize CUDA cores to accelerate MSMs. Preliminary benchmarks on an NVIDIA RTX 4090 indicate a </w:t>
      </w:r>
      <w:r w:rsidRPr="00587371">
        <w:rPr>
          <w:b/>
          <w:bCs/>
        </w:rPr>
        <w:t>5-10x speedup</w:t>
      </w:r>
      <w:r w:rsidRPr="00587371">
        <w:t xml:space="preserve">, potentially reducing the batch proving time from ~1400ms to &lt;200ms. - </w:t>
      </w:r>
      <w:r w:rsidRPr="00587371">
        <w:rPr>
          <w:b/>
          <w:bCs/>
        </w:rPr>
        <w:t>FPGA Acceleration:</w:t>
      </w:r>
      <w:r w:rsidRPr="00587371">
        <w:t xml:space="preserve"> Field-Programmable Gate Arrays offer better energy efficiency (Joules/Proof). For high-scale datacenters processing millions of tokens per second, custom FPGA logic for the Elliptic Curve operations will likely be necessary to keep power budgets neutral. RuntimeGuard-AI is designed to be “Hardware Agnostic”—the </w:t>
      </w:r>
      <w:r w:rsidRPr="00587371">
        <w:rPr>
          <w:rStyle w:val="VerbatimChar"/>
          <w:rFonts w:asciiTheme="minorHAnsi" w:hAnsiTheme="minorHAnsi"/>
        </w:rPr>
        <w:t>BatchAttestor</w:t>
      </w:r>
      <w:r w:rsidRPr="00587371">
        <w:t xml:space="preserve"> can be swapped for a GPU-accelerated version without changing the core protocol or the Inline Policy Engine.</w:t>
      </w:r>
    </w:p>
    <w:p w14:paraId="1C0F95F8" w14:textId="77777777" w:rsidR="006E7DFD" w:rsidRPr="00587371" w:rsidRDefault="00000000">
      <w:pPr>
        <w:pStyle w:val="Heading3"/>
      </w:pPr>
      <w:bookmarkStart w:id="33" w:name="X20f20f7e1780bec79fcd77fcfe602bd5085f27c"/>
      <w:bookmarkEnd w:id="32"/>
      <w:r w:rsidRPr="00587371">
        <w:t>6.7 Systematic Comparison: Beyond “Observability”</w:t>
      </w:r>
    </w:p>
    <w:p w14:paraId="1CF8FCB3" w14:textId="77777777" w:rsidR="006E7DFD" w:rsidRPr="00587371" w:rsidRDefault="00000000">
      <w:pPr>
        <w:pStyle w:val="FirstParagraph"/>
      </w:pPr>
      <w:r w:rsidRPr="00587371">
        <w:t>How does RuntimeGuard-AI compare to the existing ecosystem of AI tools? I contrast it with three dominant paradigms.</w:t>
      </w:r>
    </w:p>
    <w:p w14:paraId="17031BF2" w14:textId="77777777" w:rsidR="006E7DFD" w:rsidRPr="00587371" w:rsidRDefault="00000000">
      <w:pPr>
        <w:pStyle w:val="Heading4"/>
      </w:pPr>
      <w:bookmarkStart w:id="34" w:name="vs.-datadog-splunk-observability"/>
      <w:r w:rsidRPr="00587371">
        <w:t>6.5.1 vs. Datadog / Splunk (Observability)</w:t>
      </w:r>
    </w:p>
    <w:p w14:paraId="6D53E03D" w14:textId="77777777" w:rsidR="006E7DFD" w:rsidRPr="00587371" w:rsidRDefault="00000000">
      <w:pPr>
        <w:pStyle w:val="FirstParagraph"/>
      </w:pPr>
      <w:r w:rsidRPr="00587371">
        <w:t xml:space="preserve">Traditional observability tools are optimized for </w:t>
      </w:r>
      <w:r w:rsidRPr="00587371">
        <w:rPr>
          <w:b/>
          <w:bCs/>
        </w:rPr>
        <w:t>availability</w:t>
      </w:r>
      <w:r w:rsidRPr="00587371">
        <w:t xml:space="preserve"> and </w:t>
      </w:r>
      <w:r w:rsidRPr="00587371">
        <w:rPr>
          <w:b/>
          <w:bCs/>
        </w:rPr>
        <w:t>debugging</w:t>
      </w:r>
      <w:r w:rsidRPr="00587371">
        <w:t xml:space="preserve">. They ingest logs via UDP or non-blocking TCP. - </w:t>
      </w:r>
      <w:r w:rsidRPr="00587371">
        <w:rPr>
          <w:b/>
          <w:bCs/>
        </w:rPr>
        <w:t>The Gap:</w:t>
      </w:r>
      <w:r w:rsidRPr="00587371">
        <w:t xml:space="preserve"> They are </w:t>
      </w:r>
      <w:r w:rsidRPr="00587371">
        <w:rPr>
          <w:i/>
          <w:iCs/>
        </w:rPr>
        <w:t>lossy</w:t>
      </w:r>
      <w:r w:rsidRPr="00587371">
        <w:t xml:space="preserve"> by design (sampling logs under load) and </w:t>
      </w:r>
      <w:r w:rsidRPr="00587371">
        <w:rPr>
          <w:i/>
          <w:iCs/>
        </w:rPr>
        <w:t>mutable</w:t>
      </w:r>
      <w:r w:rsidRPr="00587371">
        <w:t xml:space="preserve"> (logs are deleted after retention periods). - </w:t>
      </w:r>
      <w:r w:rsidRPr="00587371">
        <w:rPr>
          <w:b/>
          <w:bCs/>
        </w:rPr>
        <w:t>RuntimeGuard Difference:</w:t>
      </w:r>
      <w:r w:rsidRPr="00587371">
        <w:t xml:space="preserve"> RuntimeGuard provides </w:t>
      </w:r>
      <w:r w:rsidRPr="00587371">
        <w:rPr>
          <w:b/>
          <w:bCs/>
        </w:rPr>
        <w:t>Cryptographic Finality</w:t>
      </w:r>
      <w:r w:rsidRPr="00587371">
        <w:t>. A dropped log is not just a missing metric; it is a proof verification failure.</w:t>
      </w:r>
    </w:p>
    <w:p w14:paraId="45CE6F62" w14:textId="77777777" w:rsidR="006E7DFD" w:rsidRPr="00587371" w:rsidRDefault="00000000">
      <w:pPr>
        <w:pStyle w:val="Heading4"/>
      </w:pPr>
      <w:bookmarkStart w:id="35" w:name="Xcd5a01b85877df4eb8987f91f60e06329112250"/>
      <w:bookmarkEnd w:id="34"/>
      <w:r w:rsidRPr="00587371">
        <w:t>6.5.2 vs. LangChain / Guardrails AI (Orchestration)</w:t>
      </w:r>
    </w:p>
    <w:p w14:paraId="1B93D9BF" w14:textId="77777777" w:rsidR="006E7DFD" w:rsidRPr="00587371" w:rsidRDefault="00000000">
      <w:pPr>
        <w:pStyle w:val="FirstParagraph"/>
      </w:pPr>
      <w:r w:rsidRPr="00587371">
        <w:t xml:space="preserve">Libraries like Guardrails AI provide excellent input validation (“validators”). - </w:t>
      </w:r>
      <w:r w:rsidRPr="00587371">
        <w:rPr>
          <w:b/>
          <w:bCs/>
        </w:rPr>
        <w:t>The Gap:</w:t>
      </w:r>
      <w:r w:rsidRPr="00587371">
        <w:t xml:space="preserve"> These run purely in the application memory. A developer can verify the guardrail locally, but cannot </w:t>
      </w:r>
      <w:r w:rsidRPr="00587371">
        <w:rPr>
          <w:i/>
          <w:iCs/>
        </w:rPr>
        <w:t>prove</w:t>
      </w:r>
      <w:r w:rsidRPr="00587371">
        <w:t xml:space="preserve"> to a third-party regulator that the guardrail ran 6 months ago on a specific request. - </w:t>
      </w:r>
      <w:r w:rsidRPr="00587371">
        <w:rPr>
          <w:b/>
          <w:bCs/>
        </w:rPr>
        <w:t>RuntimeGuard Difference:</w:t>
      </w:r>
      <w:r w:rsidRPr="00587371">
        <w:t xml:space="preserve"> RuntimeGuard wraps these validators in a </w:t>
      </w:r>
      <w:r w:rsidRPr="00587371">
        <w:rPr>
          <w:b/>
          <w:bCs/>
        </w:rPr>
        <w:t>Commitment Scheme</w:t>
      </w:r>
      <w:r w:rsidRPr="00587371">
        <w:t>. I take the boolean result of the Guardrails check and anchor it in a Merkle Tree.</w:t>
      </w:r>
    </w:p>
    <w:p w14:paraId="12153162" w14:textId="77777777" w:rsidR="006E7DFD" w:rsidRPr="00587371" w:rsidRDefault="00000000">
      <w:pPr>
        <w:pStyle w:val="Heading4"/>
      </w:pPr>
      <w:bookmarkStart w:id="36" w:name="vs.-full-tees-confidential-computing"/>
      <w:bookmarkEnd w:id="35"/>
      <w:r w:rsidRPr="00587371">
        <w:t>6.5.3 vs. Full TEEs (Confidential Computing)</w:t>
      </w:r>
    </w:p>
    <w:p w14:paraId="52142A88" w14:textId="77777777" w:rsidR="006E7DFD" w:rsidRPr="00587371" w:rsidRDefault="00000000">
      <w:pPr>
        <w:pStyle w:val="FirstParagraph"/>
      </w:pPr>
      <w:r w:rsidRPr="00587371">
        <w:t xml:space="preserve">Running the entire model in an SGX enclave (e.g., Anjuna, Fortanix) offers the highest security. - </w:t>
      </w:r>
      <w:r w:rsidRPr="00587371">
        <w:rPr>
          <w:b/>
          <w:bCs/>
        </w:rPr>
        <w:t>The Gap:</w:t>
      </w:r>
      <w:r w:rsidRPr="00587371">
        <w:t xml:space="preserve"> The performance penalty of TEEs (memory encryption overhead, limited EPC) makes them prohibitively expensive for large LLMs (70B+ parameters). - </w:t>
      </w:r>
      <w:r w:rsidRPr="00587371">
        <w:rPr>
          <w:b/>
          <w:bCs/>
        </w:rPr>
        <w:t>RuntimeGuard Difference:</w:t>
      </w:r>
      <w:r w:rsidRPr="00587371">
        <w:t xml:space="preserve"> I apply the “Hybrid” approach: Keep the heavy model on standard GPUs, but put the lightweight </w:t>
      </w:r>
      <w:r w:rsidRPr="00587371">
        <w:rPr>
          <w:i/>
          <w:iCs/>
        </w:rPr>
        <w:t>Policy Engine</w:t>
      </w:r>
      <w:r w:rsidRPr="00587371">
        <w:t xml:space="preserve"> and </w:t>
      </w:r>
      <w:r w:rsidRPr="00587371">
        <w:rPr>
          <w:i/>
          <w:iCs/>
        </w:rPr>
        <w:t>Attestor</w:t>
      </w:r>
      <w:r w:rsidRPr="00587371">
        <w:t xml:space="preserve"> into TEEs (future work). </w:t>
      </w:r>
      <w:r w:rsidRPr="00587371">
        <w:lastRenderedPageBreak/>
        <w:t xml:space="preserve">This gives us TEE-grade integrity for the </w:t>
      </w:r>
      <w:r w:rsidRPr="00587371">
        <w:rPr>
          <w:i/>
          <w:iCs/>
        </w:rPr>
        <w:t>audit trail</w:t>
      </w:r>
      <w:r w:rsidRPr="00587371">
        <w:t xml:space="preserve"> without the TEE performance tax on the </w:t>
      </w:r>
      <w:r w:rsidRPr="00587371">
        <w:rPr>
          <w:i/>
          <w:iCs/>
        </w:rPr>
        <w:t>inference</w:t>
      </w:r>
      <w:r w:rsidRPr="00587371">
        <w:t>.</w:t>
      </w:r>
    </w:p>
    <w:p w14:paraId="6AB08A81" w14:textId="77777777" w:rsidR="006E7DFD" w:rsidRPr="00587371" w:rsidRDefault="00000000">
      <w:pPr>
        <w:pStyle w:val="Heading3"/>
      </w:pPr>
      <w:bookmarkStart w:id="37" w:name="cost-analysis-the-compliance-tax"/>
      <w:bookmarkEnd w:id="33"/>
      <w:bookmarkEnd w:id="36"/>
      <w:r w:rsidRPr="00587371">
        <w:t>6.8 Cost Analysis: The “Compliance Tax”</w:t>
      </w:r>
    </w:p>
    <w:p w14:paraId="11BE74AC" w14:textId="77777777" w:rsidR="006E7DFD" w:rsidRPr="00587371" w:rsidRDefault="00000000">
      <w:pPr>
        <w:pStyle w:val="FirstParagraph"/>
      </w:pPr>
      <w:r w:rsidRPr="00587371">
        <w:t xml:space="preserve">Regulatory compliance inevitably adds cost. I estimate the “Compliance Tax” per 1,000 tokens. - </w:t>
      </w:r>
      <w:r w:rsidRPr="00587371">
        <w:rPr>
          <w:b/>
          <w:bCs/>
        </w:rPr>
        <w:t>Compute Cost:</w:t>
      </w:r>
      <w:r w:rsidRPr="00587371">
        <w:t xml:space="preserve"> On AWS Lambda (for the Policy Engine), 1ms of execution costs negligible amounts. - </w:t>
      </w:r>
      <w:r w:rsidRPr="00587371">
        <w:rPr>
          <w:b/>
          <w:bCs/>
        </w:rPr>
        <w:t>Proving Cost:</w:t>
      </w:r>
      <w:r w:rsidRPr="00587371">
        <w:t xml:space="preserve"> Calculating a Groth16 proof requires ~1.4 CPU-seconds. - </w:t>
      </w:r>
      <w:r w:rsidRPr="00587371">
        <w:rPr>
          <w:b/>
          <w:bCs/>
        </w:rPr>
        <w:t>Batching Savings:</w:t>
      </w:r>
      <w:r w:rsidRPr="00587371">
        <w:t xml:space="preserve"> By batching 100 requests into a single Merkle Tree and proving the Root, I amortize the proof cost. - Cost per proof: $0.00005 (EC2 spot). - Batch size: 100. - </w:t>
      </w:r>
      <w:r w:rsidRPr="00587371">
        <w:rPr>
          <w:b/>
          <w:bCs/>
        </w:rPr>
        <w:t>Cost per Request:</w:t>
      </w:r>
      <w:r w:rsidRPr="00587371">
        <w:t xml:space="preserve"> $0.0000005. This represents a </w:t>
      </w:r>
      <m:oMath>
        <m:r>
          <m:rPr>
            <m:sty m:val="p"/>
          </m:rPr>
          <w:rPr>
            <w:rFonts w:ascii="Cambria Math" w:hAnsi="Cambria Math"/>
          </w:rPr>
          <m:t>&lt;</m:t>
        </m:r>
        <m:r>
          <w:rPr>
            <w:rFonts w:ascii="Cambria Math" w:hAnsi="Cambria Math"/>
          </w:rPr>
          <m:t>0.01</m:t>
        </m:r>
        <m:r>
          <m:rPr>
            <m:sty m:val="p"/>
          </m:rPr>
          <w:rPr>
            <w:rFonts w:ascii="Cambria Math" w:hAnsi="Cambria Math"/>
          </w:rPr>
          <m:t>%</m:t>
        </m:r>
      </m:oMath>
      <w:r w:rsidRPr="00587371">
        <w:t xml:space="preserve"> cost increase for typical GPT-4 API calls, making it economically viable even for startups.</w:t>
      </w:r>
    </w:p>
    <w:p w14:paraId="528E9CFC" w14:textId="77777777" w:rsidR="006E7DFD" w:rsidRPr="00587371" w:rsidRDefault="00000000">
      <w:r w:rsidRPr="00587371">
        <w:pict w14:anchorId="1FF6D902">
          <v:rect id="_x0000_i1033" style="width:0;height:1.5pt" o:hralign="center" o:hrstd="t" o:hr="t"/>
        </w:pict>
      </w:r>
    </w:p>
    <w:p w14:paraId="442959B8" w14:textId="77777777" w:rsidR="006E7DFD" w:rsidRPr="00587371" w:rsidRDefault="00000000">
      <w:pPr>
        <w:pStyle w:val="Heading2"/>
        <w:rPr>
          <w:rFonts w:asciiTheme="minorHAnsi" w:hAnsiTheme="minorHAnsi"/>
        </w:rPr>
      </w:pPr>
      <w:bookmarkStart w:id="38" w:name="case-study-high-risk-recruitment-ai"/>
      <w:bookmarkEnd w:id="26"/>
      <w:bookmarkEnd w:id="37"/>
      <w:r w:rsidRPr="00587371">
        <w:rPr>
          <w:rFonts w:asciiTheme="minorHAnsi" w:hAnsiTheme="minorHAnsi"/>
        </w:rPr>
        <w:t>7. Case Study: High-Risk Recruitment AI</w:t>
      </w:r>
    </w:p>
    <w:p w14:paraId="0163D073" w14:textId="77777777" w:rsidR="006E7DFD" w:rsidRPr="00587371" w:rsidRDefault="00000000">
      <w:pPr>
        <w:pStyle w:val="FirstParagraph"/>
      </w:pPr>
      <w:r w:rsidRPr="00587371">
        <w:t xml:space="preserve">To demonstrate the practical application of RuntimeGuard-AI, I present a hypothetical deployment scenario for a </w:t>
      </w:r>
      <w:r w:rsidRPr="00587371">
        <w:rPr>
          <w:b/>
          <w:bCs/>
        </w:rPr>
        <w:t>Recruitment AI</w:t>
      </w:r>
      <w:r w:rsidRPr="00587371">
        <w:t xml:space="preserve">, classified as “High Risk” under </w:t>
      </w:r>
      <w:r w:rsidRPr="00587371">
        <w:rPr>
          <w:b/>
          <w:bCs/>
        </w:rPr>
        <w:t>Annex III</w:t>
      </w:r>
      <w:r w:rsidRPr="00587371">
        <w:t xml:space="preserve"> of the EU AI Act.</w:t>
      </w:r>
    </w:p>
    <w:p w14:paraId="6D406EC4" w14:textId="77777777" w:rsidR="006E7DFD" w:rsidRPr="00587371" w:rsidRDefault="00000000">
      <w:pPr>
        <w:pStyle w:val="Heading3"/>
      </w:pPr>
      <w:bookmarkStart w:id="39" w:name="scenario-definition"/>
      <w:r w:rsidRPr="00587371">
        <w:t>7.1 Scenario Definition</w:t>
      </w:r>
    </w:p>
    <w:p w14:paraId="5BE64EBD" w14:textId="77777777" w:rsidR="006E7DFD" w:rsidRPr="00587371" w:rsidRDefault="00000000">
      <w:pPr>
        <w:pStyle w:val="Compact"/>
        <w:numPr>
          <w:ilvl w:val="0"/>
          <w:numId w:val="6"/>
        </w:numPr>
      </w:pPr>
      <w:r w:rsidRPr="00587371">
        <w:rPr>
          <w:b/>
          <w:bCs/>
        </w:rPr>
        <w:t>System:</w:t>
      </w:r>
      <w:r w:rsidRPr="00587371">
        <w:t xml:space="preserve"> </w:t>
      </w:r>
      <w:r w:rsidRPr="00587371">
        <w:rPr>
          <w:rStyle w:val="VerbatimChar"/>
          <w:rFonts w:asciiTheme="minorHAnsi" w:hAnsiTheme="minorHAnsi"/>
        </w:rPr>
        <w:t>ResumeScreener-v1</w:t>
      </w:r>
      <w:r w:rsidRPr="00587371">
        <w:t>, an LLM processing job applications.</w:t>
      </w:r>
    </w:p>
    <w:p w14:paraId="2D677F81" w14:textId="77777777" w:rsidR="006E7DFD" w:rsidRPr="00587371" w:rsidRDefault="00000000">
      <w:pPr>
        <w:pStyle w:val="Compact"/>
        <w:numPr>
          <w:ilvl w:val="0"/>
          <w:numId w:val="6"/>
        </w:numPr>
      </w:pPr>
      <w:r w:rsidRPr="00587371">
        <w:rPr>
          <w:b/>
          <w:bCs/>
        </w:rPr>
        <w:t>Regulatory Requirement:</w:t>
      </w:r>
      <w:r w:rsidRPr="00587371">
        <w:t xml:space="preserve"> Under Article 14, the provider must log every decision to allow for human review of potential bias.</w:t>
      </w:r>
    </w:p>
    <w:p w14:paraId="76933F58" w14:textId="77777777" w:rsidR="006E7DFD" w:rsidRPr="00587371" w:rsidRDefault="00000000">
      <w:pPr>
        <w:pStyle w:val="Compact"/>
        <w:numPr>
          <w:ilvl w:val="0"/>
          <w:numId w:val="6"/>
        </w:numPr>
      </w:pPr>
      <w:r w:rsidRPr="00587371">
        <w:rPr>
          <w:b/>
          <w:bCs/>
        </w:rPr>
        <w:t>Scale:</w:t>
      </w:r>
      <w:r w:rsidRPr="00587371">
        <w:t xml:space="preserve"> 10,000 resumes per hour.</w:t>
      </w:r>
    </w:p>
    <w:p w14:paraId="09F1F7C0" w14:textId="77777777" w:rsidR="006E7DFD" w:rsidRPr="00587371" w:rsidRDefault="00000000">
      <w:pPr>
        <w:pStyle w:val="Heading3"/>
      </w:pPr>
      <w:bookmarkStart w:id="40" w:name="integration-steps"/>
      <w:bookmarkEnd w:id="39"/>
      <w:r w:rsidRPr="00587371">
        <w:t>7.2 Integration Steps</w:t>
      </w:r>
    </w:p>
    <w:p w14:paraId="22BA4011" w14:textId="77777777" w:rsidR="006E7DFD" w:rsidRPr="00587371" w:rsidRDefault="00000000">
      <w:pPr>
        <w:pStyle w:val="Compact"/>
        <w:numPr>
          <w:ilvl w:val="0"/>
          <w:numId w:val="7"/>
        </w:numPr>
      </w:pPr>
      <w:r w:rsidRPr="00587371">
        <w:rPr>
          <w:b/>
          <w:bCs/>
        </w:rPr>
        <w:t>Policy Definition:</w:t>
      </w:r>
      <w:r w:rsidRPr="00587371">
        <w:t xml:space="preserve"> The operator defines a policy: “Reject if PII score &gt; 0.9”.</w:t>
      </w:r>
    </w:p>
    <w:p w14:paraId="5E38924F" w14:textId="77777777" w:rsidR="006E7DFD" w:rsidRPr="00587371" w:rsidRDefault="00000000">
      <w:pPr>
        <w:pStyle w:val="Compact"/>
        <w:numPr>
          <w:ilvl w:val="0"/>
          <w:numId w:val="7"/>
        </w:numPr>
      </w:pPr>
      <w:r w:rsidRPr="00587371">
        <w:rPr>
          <w:b/>
          <w:bCs/>
        </w:rPr>
        <w:t>Instrumentation:</w:t>
      </w:r>
      <w:r w:rsidRPr="00587371">
        <w:t xml:space="preserve"> The dev team wraps their </w:t>
      </w:r>
      <w:r w:rsidRPr="00587371">
        <w:rPr>
          <w:rStyle w:val="VerbatimChar"/>
          <w:rFonts w:asciiTheme="minorHAnsi" w:hAnsiTheme="minorHAnsi"/>
        </w:rPr>
        <w:t>process_resume()</w:t>
      </w:r>
      <w:r w:rsidRPr="00587371">
        <w:t xml:space="preserve"> function with </w:t>
      </w:r>
      <w:r w:rsidRPr="00587371">
        <w:rPr>
          <w:rStyle w:val="VerbatimChar"/>
          <w:rFonts w:asciiTheme="minorHAnsi" w:hAnsiTheme="minorHAnsi"/>
        </w:rPr>
        <w:t>runtime_guard.enforce()</w:t>
      </w:r>
      <w:r w:rsidRPr="00587371">
        <w:t>.</w:t>
      </w:r>
    </w:p>
    <w:p w14:paraId="3B51BB23" w14:textId="77777777" w:rsidR="006E7DFD" w:rsidRPr="00587371" w:rsidRDefault="00000000">
      <w:pPr>
        <w:pStyle w:val="Compact"/>
        <w:numPr>
          <w:ilvl w:val="0"/>
          <w:numId w:val="7"/>
        </w:numPr>
      </w:pPr>
      <w:r w:rsidRPr="00587371">
        <w:rPr>
          <w:b/>
          <w:bCs/>
        </w:rPr>
        <w:t>Deployment:</w:t>
      </w:r>
      <w:r w:rsidRPr="00587371">
        <w:t xml:space="preserve"> The system is deployed to Kubernetes. The </w:t>
      </w:r>
      <w:r w:rsidRPr="00587371">
        <w:rPr>
          <w:rStyle w:val="VerbatimChar"/>
          <w:rFonts w:asciiTheme="minorHAnsi" w:hAnsiTheme="minorHAnsi"/>
        </w:rPr>
        <w:t>Attestor</w:t>
      </w:r>
      <w:r w:rsidRPr="00587371">
        <w:t xml:space="preserve"> sidecar is enabled.</w:t>
      </w:r>
    </w:p>
    <w:p w14:paraId="498510C5" w14:textId="77777777" w:rsidR="006E7DFD" w:rsidRPr="00587371" w:rsidRDefault="00000000">
      <w:pPr>
        <w:pStyle w:val="Heading3"/>
      </w:pPr>
      <w:bookmarkStart w:id="41" w:name="the-lifecycle-of-candidate-a"/>
      <w:bookmarkEnd w:id="40"/>
      <w:r w:rsidRPr="00587371">
        <w:t>7.3 The Lifecycle of “Candidate A”</w:t>
      </w:r>
    </w:p>
    <w:p w14:paraId="10E1345B" w14:textId="77777777" w:rsidR="006E7DFD" w:rsidRPr="00587371" w:rsidRDefault="00000000">
      <w:pPr>
        <w:pStyle w:val="Compact"/>
        <w:numPr>
          <w:ilvl w:val="0"/>
          <w:numId w:val="8"/>
        </w:numPr>
      </w:pPr>
      <w:r w:rsidRPr="00587371">
        <w:rPr>
          <w:b/>
          <w:bCs/>
        </w:rPr>
        <w:t>T+0ms</w:t>
      </w:r>
      <w:r w:rsidRPr="00587371">
        <w:t xml:space="preserve">: </w:t>
      </w:r>
      <w:r w:rsidRPr="00587371">
        <w:rPr>
          <w:rStyle w:val="VerbatimChar"/>
          <w:rFonts w:asciiTheme="minorHAnsi" w:hAnsiTheme="minorHAnsi"/>
        </w:rPr>
        <w:t>ResumeScreener</w:t>
      </w:r>
      <w:r w:rsidRPr="00587371">
        <w:t xml:space="preserve"> acts on Candidate A’s PDF.</w:t>
      </w:r>
    </w:p>
    <w:p w14:paraId="2AA231EB" w14:textId="77777777" w:rsidR="006E7DFD" w:rsidRPr="00587371" w:rsidRDefault="00000000">
      <w:pPr>
        <w:pStyle w:val="Compact"/>
        <w:numPr>
          <w:ilvl w:val="0"/>
          <w:numId w:val="8"/>
        </w:numPr>
      </w:pPr>
      <w:r w:rsidRPr="00587371">
        <w:rPr>
          <w:b/>
          <w:bCs/>
        </w:rPr>
        <w:t>T+5ms</w:t>
      </w:r>
      <w:r w:rsidRPr="00587371">
        <w:t xml:space="preserve">: </w:t>
      </w:r>
      <w:r w:rsidRPr="00587371">
        <w:rPr>
          <w:rStyle w:val="VerbatimChar"/>
          <w:rFonts w:asciiTheme="minorHAnsi" w:hAnsiTheme="minorHAnsi"/>
        </w:rPr>
        <w:t>InlineEngine</w:t>
      </w:r>
      <w:r w:rsidRPr="00587371">
        <w:t xml:space="preserve"> calculates the policy. Result: “Allow”.</w:t>
      </w:r>
    </w:p>
    <w:p w14:paraId="2B61DA51" w14:textId="77777777" w:rsidR="006E7DFD" w:rsidRPr="00587371" w:rsidRDefault="00000000">
      <w:pPr>
        <w:pStyle w:val="Compact"/>
        <w:numPr>
          <w:ilvl w:val="0"/>
          <w:numId w:val="8"/>
        </w:numPr>
      </w:pPr>
      <w:r w:rsidRPr="00587371">
        <w:rPr>
          <w:b/>
          <w:bCs/>
        </w:rPr>
        <w:t>T+6ms</w:t>
      </w:r>
      <w:r w:rsidRPr="00587371">
        <w:t>: Decision is logged to disk. Applicant gets a “Received” email.</w:t>
      </w:r>
    </w:p>
    <w:p w14:paraId="64011603" w14:textId="77777777" w:rsidR="006E7DFD" w:rsidRPr="00587371" w:rsidRDefault="00000000">
      <w:pPr>
        <w:pStyle w:val="Compact"/>
        <w:numPr>
          <w:ilvl w:val="0"/>
          <w:numId w:val="8"/>
        </w:numPr>
      </w:pPr>
      <w:r w:rsidRPr="00587371">
        <w:rPr>
          <w:b/>
          <w:bCs/>
        </w:rPr>
        <w:t>T+60s</w:t>
      </w:r>
      <w:r w:rsidRPr="00587371">
        <w:t xml:space="preserve">: The </w:t>
      </w:r>
      <w:r w:rsidRPr="00587371">
        <w:rPr>
          <w:rStyle w:val="VerbatimChar"/>
          <w:rFonts w:asciiTheme="minorHAnsi" w:hAnsiTheme="minorHAnsi"/>
        </w:rPr>
        <w:t>Attestor</w:t>
      </w:r>
      <w:r w:rsidRPr="00587371">
        <w:t xml:space="preserve"> wakes up. It reads the log batch containing Candidate A.</w:t>
      </w:r>
    </w:p>
    <w:p w14:paraId="18B660F6" w14:textId="77777777" w:rsidR="006E7DFD" w:rsidRPr="00587371" w:rsidRDefault="00000000">
      <w:pPr>
        <w:pStyle w:val="Compact"/>
        <w:numPr>
          <w:ilvl w:val="0"/>
          <w:numId w:val="8"/>
        </w:numPr>
      </w:pPr>
      <w:r w:rsidRPr="00587371">
        <w:rPr>
          <w:b/>
          <w:bCs/>
        </w:rPr>
        <w:t>T+62s</w:t>
      </w:r>
      <w:r w:rsidRPr="00587371">
        <w:t xml:space="preserve">: A Groth16 proof </w:t>
      </w:r>
      <m:oMath>
        <m:r>
          <w:rPr>
            <w:rFonts w:ascii="Cambria Math" w:hAnsi="Cambria Math"/>
          </w:rPr>
          <m:t>π</m:t>
        </m:r>
      </m:oMath>
      <w:r w:rsidRPr="00587371">
        <w:t xml:space="preserve"> is generated, sealing the batch.</w:t>
      </w:r>
    </w:p>
    <w:p w14:paraId="27B2781D" w14:textId="77777777" w:rsidR="006E7DFD" w:rsidRPr="00587371" w:rsidRDefault="00000000">
      <w:pPr>
        <w:pStyle w:val="Compact"/>
        <w:numPr>
          <w:ilvl w:val="0"/>
          <w:numId w:val="8"/>
        </w:numPr>
      </w:pPr>
      <w:r w:rsidRPr="00587371">
        <w:rPr>
          <w:b/>
          <w:bCs/>
        </w:rPr>
        <w:t>T+63s</w:t>
      </w:r>
      <w:r w:rsidRPr="00587371">
        <w:t xml:space="preserve">: The proof </w:t>
      </w:r>
      <m:oMath>
        <m:r>
          <w:rPr>
            <w:rFonts w:ascii="Cambria Math" w:hAnsi="Cambria Math"/>
          </w:rPr>
          <m:t>π</m:t>
        </m:r>
      </m:oMath>
      <w:r w:rsidRPr="00587371">
        <w:t xml:space="preserve"> and Merkle Root </w:t>
      </w:r>
      <m:oMath>
        <m:r>
          <w:rPr>
            <w:rFonts w:ascii="Cambria Math" w:hAnsi="Cambria Math"/>
          </w:rPr>
          <m:t>R</m:t>
        </m:r>
      </m:oMath>
      <w:r w:rsidRPr="00587371">
        <w:t xml:space="preserve"> are published to a public transparency log.</w:t>
      </w:r>
    </w:p>
    <w:p w14:paraId="04B6B39A" w14:textId="77777777" w:rsidR="006E7DFD" w:rsidRPr="00587371" w:rsidRDefault="00000000">
      <w:pPr>
        <w:pStyle w:val="FirstParagraph"/>
      </w:pPr>
      <w:r w:rsidRPr="00587371">
        <w:t>Figure 7 visualizes this end-to-end compliance flow, highlighting the asynchronous separation between user-facing latency and cryptographic attestation.</w:t>
      </w:r>
    </w:p>
    <w:p w14:paraId="7014BDDC" w14:textId="77777777" w:rsidR="006E7DFD" w:rsidRPr="00587371" w:rsidRDefault="00000000">
      <w:pPr>
        <w:pStyle w:val="CaptionedFigure"/>
      </w:pPr>
      <w:r w:rsidRPr="00587371">
        <w:rPr>
          <w:noProof/>
        </w:rPr>
        <w:lastRenderedPageBreak/>
        <w:drawing>
          <wp:inline distT="0" distB="0" distL="0" distR="0" wp14:anchorId="5BEFECE1" wp14:editId="1E5F54B3">
            <wp:extent cx="3121152" cy="3121152"/>
            <wp:effectExtent l="0" t="0" r="0" b="0"/>
            <wp:docPr id="67" name="Picture" descr="Figure 7: Article 14 Compliance Flow"/>
            <wp:cNvGraphicFramePr/>
            <a:graphic xmlns:a="http://schemas.openxmlformats.org/drawingml/2006/main">
              <a:graphicData uri="http://schemas.openxmlformats.org/drawingml/2006/picture">
                <pic:pic xmlns:pic="http://schemas.openxmlformats.org/drawingml/2006/picture">
                  <pic:nvPicPr>
                    <pic:cNvPr id="68" name="Picture" descr="figures/compliance_flow.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p>
    <w:p w14:paraId="66C4937C" w14:textId="77777777" w:rsidR="006E7DFD" w:rsidRPr="00587371" w:rsidRDefault="00000000">
      <w:pPr>
        <w:pStyle w:val="ImageCaption"/>
      </w:pPr>
      <w:r w:rsidRPr="00587371">
        <w:t>Figure 7: Article 14 Compliance Flow</w:t>
      </w:r>
    </w:p>
    <w:p w14:paraId="1E5AF1E9" w14:textId="77777777" w:rsidR="006E7DFD" w:rsidRPr="00587371" w:rsidRDefault="00000000">
      <w:pPr>
        <w:pStyle w:val="Heading3"/>
      </w:pPr>
      <w:bookmarkStart w:id="42" w:name="the-audit"/>
      <w:bookmarkEnd w:id="41"/>
      <w:r w:rsidRPr="00587371">
        <w:t>7.4 The Audit</w:t>
      </w:r>
    </w:p>
    <w:p w14:paraId="21FF46C5" w14:textId="77777777" w:rsidR="006E7DFD" w:rsidRPr="00587371" w:rsidRDefault="00000000">
      <w:pPr>
        <w:pStyle w:val="FirstParagraph"/>
      </w:pPr>
      <w:r w:rsidRPr="00587371">
        <w:t xml:space="preserve">Six months later, an auditor investigates a bias complaint. 1. </w:t>
      </w:r>
      <w:r w:rsidRPr="00587371">
        <w:rPr>
          <w:b/>
          <w:bCs/>
        </w:rPr>
        <w:t>Request:</w:t>
      </w:r>
      <w:r w:rsidRPr="00587371">
        <w:t xml:space="preserve"> “Show me the decision for Candidate A.” 2. </w:t>
      </w:r>
      <w:r w:rsidRPr="00587371">
        <w:rPr>
          <w:b/>
          <w:bCs/>
        </w:rPr>
        <w:t>Verification:</w:t>
      </w:r>
      <w:r w:rsidRPr="00587371">
        <w:t xml:space="preserve"> The company provides the specific log entry and the Merkle Inclusion Proof. 3. </w:t>
      </w:r>
      <w:r w:rsidRPr="00587371">
        <w:rPr>
          <w:b/>
          <w:bCs/>
        </w:rPr>
        <w:t>Validation:</w:t>
      </w:r>
      <w:r w:rsidRPr="00587371">
        <w:t xml:space="preserve"> The auditor re-runs the ZK </w:t>
      </w:r>
      <w:r w:rsidRPr="00587371">
        <w:rPr>
          <w:rStyle w:val="VerbatimChar"/>
          <w:rFonts w:asciiTheme="minorHAnsi" w:hAnsiTheme="minorHAnsi"/>
        </w:rPr>
        <w:t>Verify</w:t>
      </w:r>
      <w:r w:rsidRPr="00587371">
        <w:t xml:space="preserve"> function against the published Root </w:t>
      </w:r>
      <m:oMath>
        <m:r>
          <w:rPr>
            <w:rFonts w:ascii="Cambria Math" w:hAnsi="Cambria Math"/>
          </w:rPr>
          <m:t>R</m:t>
        </m:r>
      </m:oMath>
      <w:r w:rsidRPr="00587371">
        <w:t xml:space="preserve">. 4. </w:t>
      </w:r>
      <w:r w:rsidRPr="00587371">
        <w:rPr>
          <w:b/>
          <w:bCs/>
        </w:rPr>
        <w:t>Result:</w:t>
      </w:r>
      <w:r w:rsidRPr="00587371">
        <w:t xml:space="preserve"> The math proves that </w:t>
      </w:r>
      <w:r w:rsidRPr="00587371">
        <w:rPr>
          <w:i/>
          <w:iCs/>
        </w:rPr>
        <w:t>this specific document</w:t>
      </w:r>
      <w:r w:rsidRPr="00587371">
        <w:t xml:space="preserve"> was processed at </w:t>
      </w:r>
      <w:r w:rsidRPr="00587371">
        <w:rPr>
          <w:i/>
          <w:iCs/>
        </w:rPr>
        <w:t>that specific time</w:t>
      </w:r>
      <w:r w:rsidRPr="00587371">
        <w:t xml:space="preserve"> with </w:t>
      </w:r>
      <w:r w:rsidRPr="00587371">
        <w:rPr>
          <w:i/>
          <w:iCs/>
        </w:rPr>
        <w:t>that specific policy version</w:t>
      </w:r>
      <w:r w:rsidRPr="00587371">
        <w:t>, and the log has not been altered since.</w:t>
      </w:r>
    </w:p>
    <w:p w14:paraId="594AC636" w14:textId="77777777" w:rsidR="006E7DFD" w:rsidRPr="00587371" w:rsidRDefault="00000000">
      <w:r w:rsidRPr="00587371">
        <w:pict w14:anchorId="4A410C27">
          <v:rect id="_x0000_i1034" style="width:0;height:1.5pt" o:hralign="center" o:hrstd="t" o:hr="t"/>
        </w:pict>
      </w:r>
    </w:p>
    <w:p w14:paraId="24A2ECDF" w14:textId="77777777" w:rsidR="006E7DFD" w:rsidRPr="00587371" w:rsidRDefault="00000000">
      <w:pPr>
        <w:pStyle w:val="Heading2"/>
        <w:rPr>
          <w:rFonts w:asciiTheme="minorHAnsi" w:hAnsiTheme="minorHAnsi"/>
        </w:rPr>
      </w:pPr>
      <w:bookmarkStart w:id="43" w:name="operational-best-practices"/>
      <w:bookmarkEnd w:id="38"/>
      <w:bookmarkEnd w:id="42"/>
      <w:r w:rsidRPr="00587371">
        <w:rPr>
          <w:rFonts w:asciiTheme="minorHAnsi" w:hAnsiTheme="minorHAnsi"/>
        </w:rPr>
        <w:t>8. Operational Best Practices</w:t>
      </w:r>
    </w:p>
    <w:p w14:paraId="1965E607" w14:textId="77777777" w:rsidR="006E7DFD" w:rsidRPr="00587371" w:rsidRDefault="00000000">
      <w:pPr>
        <w:pStyle w:val="FirstParagraph"/>
      </w:pPr>
      <w:r w:rsidRPr="00587371">
        <w:t>Based on my development experience, I offer the following guidelines for operationalizing RuntimeGuard-AI.</w:t>
      </w:r>
    </w:p>
    <w:p w14:paraId="75366B2A" w14:textId="77777777" w:rsidR="006E7DFD" w:rsidRPr="00587371" w:rsidRDefault="00000000">
      <w:pPr>
        <w:pStyle w:val="Heading3"/>
      </w:pPr>
      <w:bookmarkStart w:id="44" w:name="tip-1-tune-your-batch-size"/>
      <w:r w:rsidRPr="00587371">
        <w:t>8.1 “Tip 1: Tune Your Batch Size”</w:t>
      </w:r>
    </w:p>
    <w:p w14:paraId="43BA152E" w14:textId="77777777" w:rsidR="006E7DFD" w:rsidRPr="00587371" w:rsidRDefault="00000000">
      <w:pPr>
        <w:pStyle w:val="FirstParagraph"/>
      </w:pPr>
      <w:r w:rsidRPr="00587371">
        <w:t>The batch size (</w:t>
      </w:r>
      <m:oMath>
        <m:r>
          <m:rPr>
            <m:sty m:val="p"/>
          </m:rPr>
          <w:rPr>
            <w:rFonts w:ascii="Cambria Math" w:hAnsi="Cambria Math"/>
          </w:rPr>
          <m:t>Δ</m:t>
        </m:r>
      </m:oMath>
      <w:r w:rsidRPr="00587371">
        <w:t xml:space="preserve">) determines the tradeoff between “Time to Finality” and “Cost”. - </w:t>
      </w:r>
      <w:r w:rsidRPr="00587371">
        <w:rPr>
          <w:b/>
          <w:bCs/>
        </w:rPr>
        <w:t>Low Latency (</w:t>
      </w:r>
      <m:oMath>
        <m:r>
          <m:rPr>
            <m:sty m:val="p"/>
          </m:rPr>
          <w:rPr>
            <w:rFonts w:ascii="Cambria Math" w:hAnsi="Cambria Math"/>
          </w:rPr>
          <m:t>Δ=</m:t>
        </m:r>
        <m:r>
          <w:rPr>
            <w:rFonts w:ascii="Cambria Math" w:hAnsi="Cambria Math"/>
          </w:rPr>
          <m:t>1s</m:t>
        </m:r>
      </m:oMath>
      <w:r w:rsidRPr="00587371">
        <w:rPr>
          <w:b/>
          <w:bCs/>
        </w:rPr>
        <w:t>):</w:t>
      </w:r>
      <w:r w:rsidRPr="00587371">
        <w:t xml:space="preserve"> Proofs are ready instantly, but CPU cost is high (1 proof per second). - </w:t>
      </w:r>
      <w:r w:rsidRPr="00587371">
        <w:rPr>
          <w:b/>
          <w:bCs/>
        </w:rPr>
        <w:t>High Efficiency (</w:t>
      </w:r>
      <m:oMath>
        <m:r>
          <m:rPr>
            <m:sty m:val="p"/>
          </m:rPr>
          <w:rPr>
            <w:rFonts w:ascii="Cambria Math" w:hAnsi="Cambria Math"/>
          </w:rPr>
          <m:t>Δ=</m:t>
        </m:r>
        <m:r>
          <w:rPr>
            <w:rFonts w:ascii="Cambria Math" w:hAnsi="Cambria Math"/>
          </w:rPr>
          <m:t>1</m:t>
        </m:r>
        <m:r>
          <w:rPr>
            <w:rFonts w:ascii="Cambria Math" w:hAnsi="Cambria Math"/>
          </w:rPr>
          <m:t>hr</m:t>
        </m:r>
      </m:oMath>
      <w:r w:rsidRPr="00587371">
        <w:rPr>
          <w:b/>
          <w:bCs/>
        </w:rPr>
        <w:t>):</w:t>
      </w:r>
      <w:r w:rsidRPr="00587371">
        <w:t xml:space="preserve"> Extremely cheap, but incidents are sealed slowly. </w:t>
      </w:r>
      <w:r w:rsidRPr="00587371">
        <w:rPr>
          <w:b/>
          <w:bCs/>
        </w:rPr>
        <w:t>Recommendation:</w:t>
      </w:r>
      <w:r w:rsidRPr="00587371">
        <w:t xml:space="preserve"> Start with </w:t>
      </w:r>
      <m:oMath>
        <m:r>
          <m:rPr>
            <m:sty m:val="p"/>
          </m:rPr>
          <w:rPr>
            <w:rFonts w:ascii="Cambria Math" w:hAnsi="Cambria Math"/>
          </w:rPr>
          <m:t>Δ=</m:t>
        </m:r>
        <m:r>
          <w:rPr>
            <w:rFonts w:ascii="Cambria Math" w:hAnsi="Cambria Math"/>
          </w:rPr>
          <m:t>60s</m:t>
        </m:r>
      </m:oMath>
      <w:r w:rsidRPr="00587371">
        <w:t>.</w:t>
      </w:r>
    </w:p>
    <w:p w14:paraId="54CB6757" w14:textId="77777777" w:rsidR="006E7DFD" w:rsidRPr="00587371" w:rsidRDefault="00000000">
      <w:pPr>
        <w:pStyle w:val="Heading3"/>
      </w:pPr>
      <w:bookmarkStart w:id="45" w:name="tip-2-monitor-the-fallback-buffer"/>
      <w:bookmarkEnd w:id="44"/>
      <w:r w:rsidRPr="00587371">
        <w:lastRenderedPageBreak/>
        <w:t>8.2 “Tip 2: Monitor the Fallback Buffer”</w:t>
      </w:r>
    </w:p>
    <w:p w14:paraId="1A486872" w14:textId="77777777" w:rsidR="006E7DFD" w:rsidRPr="00587371" w:rsidRDefault="00000000">
      <w:pPr>
        <w:pStyle w:val="FirstParagraph"/>
      </w:pPr>
      <w:r w:rsidRPr="00587371">
        <w:t xml:space="preserve">The </w:t>
      </w:r>
      <w:r w:rsidRPr="00587371">
        <w:rPr>
          <w:rStyle w:val="VerbatimChar"/>
          <w:rFonts w:asciiTheme="minorHAnsi" w:hAnsiTheme="minorHAnsi"/>
        </w:rPr>
        <w:t>disk_fallback</w:t>
      </w:r>
      <w:r w:rsidRPr="00587371">
        <w:t xml:space="preserve"> path is a safety valve. If your monitoring shows frequent writes to disk, your memory queue is too small for your traffic spikes. Increase </w:t>
      </w:r>
      <w:r w:rsidRPr="00587371">
        <w:rPr>
          <w:rStyle w:val="VerbatimChar"/>
          <w:rFonts w:asciiTheme="minorHAnsi" w:hAnsiTheme="minorHAnsi"/>
        </w:rPr>
        <w:t>queue_size</w:t>
      </w:r>
      <w:r w:rsidRPr="00587371">
        <w:t xml:space="preserve"> to prevent IO thrashing.</w:t>
      </w:r>
    </w:p>
    <w:p w14:paraId="66DBB035" w14:textId="77777777" w:rsidR="006E7DFD" w:rsidRPr="00587371" w:rsidRDefault="00000000">
      <w:pPr>
        <w:pStyle w:val="Heading3"/>
      </w:pPr>
      <w:bookmarkStart w:id="46" w:name="tip-3-key-management-is-critical"/>
      <w:bookmarkEnd w:id="45"/>
      <w:r w:rsidRPr="00587371">
        <w:t>8.3 “Tip 3: Key Management is Critical”</w:t>
      </w:r>
    </w:p>
    <w:p w14:paraId="1503D672" w14:textId="77777777" w:rsidR="006E7DFD" w:rsidRPr="00587371" w:rsidRDefault="00000000">
      <w:pPr>
        <w:pStyle w:val="FirstParagraph"/>
      </w:pPr>
      <w:r w:rsidRPr="00587371">
        <w:t xml:space="preserve">The ZK Proving Key is a “toxic waste” artifact (for Groth16). If leaked, an attacker can forge proofs. </w:t>
      </w:r>
      <w:r w:rsidRPr="00587371">
        <w:rPr>
          <w:b/>
          <w:bCs/>
        </w:rPr>
        <w:t>Recommendation:</w:t>
      </w:r>
      <w:r w:rsidRPr="00587371">
        <w:t xml:space="preserve"> Use a Trusted Execution Environment (TEE) or HashiCorp Vault to store the signing keys, and perform the “Trusted Setup” ceremony with extreme care.</w:t>
      </w:r>
    </w:p>
    <w:p w14:paraId="4F468A30" w14:textId="77777777" w:rsidR="006E7DFD" w:rsidRPr="00587371" w:rsidRDefault="00000000">
      <w:r w:rsidRPr="00587371">
        <w:pict w14:anchorId="3C7C05B1">
          <v:rect id="_x0000_i1035" style="width:0;height:1.5pt" o:hralign="center" o:hrstd="t" o:hr="t"/>
        </w:pict>
      </w:r>
    </w:p>
    <w:p w14:paraId="603024CF" w14:textId="77777777" w:rsidR="006E7DFD" w:rsidRPr="00587371" w:rsidRDefault="00000000">
      <w:pPr>
        <w:pStyle w:val="Heading2"/>
        <w:rPr>
          <w:rFonts w:asciiTheme="minorHAnsi" w:hAnsiTheme="minorHAnsi"/>
        </w:rPr>
      </w:pPr>
      <w:bookmarkStart w:id="47" w:name="discussion-and-broader-implications"/>
      <w:bookmarkEnd w:id="43"/>
      <w:bookmarkEnd w:id="46"/>
      <w:r w:rsidRPr="00587371">
        <w:rPr>
          <w:rFonts w:asciiTheme="minorHAnsi" w:hAnsiTheme="minorHAnsi"/>
        </w:rPr>
        <w:t>9. Discussion and Broader Implications</w:t>
      </w:r>
    </w:p>
    <w:p w14:paraId="3200FD14" w14:textId="77777777" w:rsidR="006E7DFD" w:rsidRPr="00587371" w:rsidRDefault="00000000">
      <w:pPr>
        <w:pStyle w:val="Heading3"/>
      </w:pPr>
      <w:bookmarkStart w:id="48" w:name="from-trust-me-to-verify-me"/>
      <w:r w:rsidRPr="00587371">
        <w:t>9.1 From “Trust Me” to “Verify Me”</w:t>
      </w:r>
    </w:p>
    <w:p w14:paraId="6AF9C6F9" w14:textId="77777777" w:rsidR="006E7DFD" w:rsidRPr="00587371" w:rsidRDefault="00000000">
      <w:pPr>
        <w:pStyle w:val="FirstParagraph"/>
      </w:pPr>
      <w:r w:rsidRPr="00587371">
        <w:t xml:space="preserve">Society is moving from a paradigm of </w:t>
      </w:r>
      <w:r w:rsidRPr="00587371">
        <w:rPr>
          <w:i/>
          <w:iCs/>
        </w:rPr>
        <w:t>Institutional Trust</w:t>
      </w:r>
      <w:r w:rsidRPr="00587371">
        <w:t xml:space="preserve"> (trusting OpenAI because they are a big company) to </w:t>
      </w:r>
      <w:r w:rsidRPr="00587371">
        <w:rPr>
          <w:i/>
          <w:iCs/>
        </w:rPr>
        <w:t>Cryptographic Trust</w:t>
      </w:r>
      <w:r w:rsidRPr="00587371">
        <w:t xml:space="preserve"> (trusting the math). RuntimeGuard-AI accelerates this transition. By making compliance mathematically provable, the burden on regulators is reduced and public confidence is increased. This shift has profound economic implications. Currently, the “Cost of Verification” is high—regulators must hire expensive human auditors to interview engineering teams and review code that might not even be running in production. RuntimeGuard-AI drives the marginal cost of verification toward zero. When verification is cheap, it becomes ubiquitous. I foresee a future where “Verified Inference” is the standard, much like “HTTPS” is the standard for web traffic.</w:t>
      </w:r>
    </w:p>
    <w:p w14:paraId="0B532F14" w14:textId="77777777" w:rsidR="006E7DFD" w:rsidRPr="00587371" w:rsidRDefault="00000000">
      <w:pPr>
        <w:pStyle w:val="Heading3"/>
      </w:pPr>
      <w:bookmarkStart w:id="49" w:name="X1bcce973b1586decdaa1f67a6849424594707cc"/>
      <w:bookmarkEnd w:id="48"/>
      <w:r w:rsidRPr="00587371">
        <w:t>9.2 The Paradox of Automation and Human Oversight</w:t>
      </w:r>
    </w:p>
    <w:p w14:paraId="1141C60B" w14:textId="77777777" w:rsidR="006E7DFD" w:rsidRPr="00587371" w:rsidRDefault="00000000">
      <w:pPr>
        <w:pStyle w:val="FirstParagraph"/>
      </w:pPr>
      <w:r w:rsidRPr="00587371">
        <w:t xml:space="preserve">Psychological research (e.g., Bainbridge, 1983) suggests the “Paradox of Automation”: the more reliable the system, the less effective the human overseer becomes due to complacency. Article 14’s requirement for “effective oversight” struggles against this human reality. RuntimeGuard-AI contributes to the solution by creating </w:t>
      </w:r>
      <w:r w:rsidRPr="00587371">
        <w:rPr>
          <w:b/>
          <w:bCs/>
        </w:rPr>
        <w:t>Accountability Interfaces</w:t>
      </w:r>
      <w:r w:rsidRPr="00587371">
        <w:t xml:space="preserve">. If a human overseer </w:t>
      </w:r>
      <w:r w:rsidRPr="00587371">
        <w:rPr>
          <w:i/>
          <w:iCs/>
        </w:rPr>
        <w:t>knows</w:t>
      </w:r>
      <w:r w:rsidRPr="00587371">
        <w:t xml:space="preserve"> that their decision to “Override” or “Approve” is being cryptographically signed and logged in a permanent, tamper-evident Merkle Tree, the psychological weight of the decision increases. The system prevents the “Banality of Evil”—or simply the “Banality of Boredom”—by making every oversight action a distinct, non-repudiable event.</w:t>
      </w:r>
    </w:p>
    <w:p w14:paraId="23575B2E" w14:textId="77777777" w:rsidR="006E7DFD" w:rsidRPr="00587371" w:rsidRDefault="00000000">
      <w:pPr>
        <w:pStyle w:val="Heading3"/>
      </w:pPr>
      <w:bookmarkStart w:id="50" w:name="the-oracle-problem-limitation"/>
      <w:bookmarkEnd w:id="49"/>
      <w:r w:rsidRPr="00587371">
        <w:t>9.3 The “Oracle Problem” Limitation</w:t>
      </w:r>
    </w:p>
    <w:p w14:paraId="6951BC9D" w14:textId="77777777" w:rsidR="006E7DFD" w:rsidRPr="00587371" w:rsidRDefault="00000000">
      <w:pPr>
        <w:pStyle w:val="FirstParagraph"/>
      </w:pPr>
      <w:r w:rsidRPr="00587371">
        <w:t xml:space="preserve">RuntimeGuard-AI proves that a policy was </w:t>
      </w:r>
      <w:r w:rsidRPr="00587371">
        <w:rPr>
          <w:i/>
          <w:iCs/>
        </w:rPr>
        <w:t>executed</w:t>
      </w:r>
      <w:r w:rsidRPr="00587371">
        <w:t xml:space="preserve">. It does not prove that the policy was </w:t>
      </w:r>
      <w:r w:rsidRPr="00587371">
        <w:rPr>
          <w:i/>
          <w:iCs/>
        </w:rPr>
        <w:t>good</w:t>
      </w:r>
      <w:r w:rsidRPr="00587371">
        <w:t xml:space="preserve">. If natural language policy contains a loophole (e.g., “Allow all if user says ‘Simon Says’”), the ZK proof will validly attest to the execution of that bad policy. This highlights that RuntimeGuard is a tool for </w:t>
      </w:r>
      <w:r w:rsidRPr="00587371">
        <w:rPr>
          <w:i/>
          <w:iCs/>
        </w:rPr>
        <w:t>enforcement</w:t>
      </w:r>
      <w:r w:rsidRPr="00587371">
        <w:t xml:space="preserve">, not </w:t>
      </w:r>
      <w:r w:rsidRPr="00587371">
        <w:rPr>
          <w:i/>
          <w:iCs/>
        </w:rPr>
        <w:t>governance</w:t>
      </w:r>
      <w:r w:rsidRPr="00587371">
        <w:t xml:space="preserve">. The next frontier of research </w:t>
      </w:r>
      <w:r w:rsidRPr="00587371">
        <w:lastRenderedPageBreak/>
        <w:t xml:space="preserve">is </w:t>
      </w:r>
      <w:r w:rsidRPr="00587371">
        <w:rPr>
          <w:b/>
          <w:bCs/>
        </w:rPr>
        <w:t>Formal Verification of Natural Language Policies</w:t>
      </w:r>
      <w:r w:rsidRPr="00587371">
        <w:t>. Can we prove that a prompt-based policy covers all “Safety Cases”? This remains an open problem.</w:t>
      </w:r>
    </w:p>
    <w:p w14:paraId="7FBDC91E" w14:textId="77777777" w:rsidR="006E7DFD" w:rsidRPr="00587371" w:rsidRDefault="00000000">
      <w:pPr>
        <w:pStyle w:val="Heading3"/>
      </w:pPr>
      <w:bookmarkStart w:id="51" w:name="environmental-considerations"/>
      <w:bookmarkEnd w:id="50"/>
      <w:r w:rsidRPr="00587371">
        <w:t>9.4 Environmental Considerations</w:t>
      </w:r>
    </w:p>
    <w:p w14:paraId="2ED98E4B" w14:textId="77777777" w:rsidR="006E7DFD" w:rsidRPr="00587371" w:rsidRDefault="00000000">
      <w:pPr>
        <w:pStyle w:val="FirstParagraph"/>
      </w:pPr>
      <w:r w:rsidRPr="00587371">
        <w:t xml:space="preserve">Training AI models is energy-intensive; adding ZK Proof generation adds another layer of computation. Is this sustainable? My cost analysis suggests the overhead is negligible (&lt;1%). Furthermore, by enabling trust in </w:t>
      </w:r>
      <w:r w:rsidRPr="00587371">
        <w:rPr>
          <w:i/>
          <w:iCs/>
        </w:rPr>
        <w:t>smaller</w:t>
      </w:r>
      <w:r w:rsidRPr="00587371">
        <w:t xml:space="preserve">, specialized models (which are checked by RuntimeGuard policies), we may reduce the reliance on massive, energy-hungry General Purpose models. Thus, rigorous compliance functionality could paradoxically </w:t>
      </w:r>
      <w:r w:rsidRPr="00587371">
        <w:rPr>
          <w:i/>
          <w:iCs/>
        </w:rPr>
        <w:t>reduce</w:t>
      </w:r>
      <w:r w:rsidRPr="00587371">
        <w:t xml:space="preserve"> the total carbon footprint of the AI ecosystem by enabling the safe deployment of lighter-weight models.</w:t>
      </w:r>
    </w:p>
    <w:p w14:paraId="6B34999A" w14:textId="77777777" w:rsidR="006E7DFD" w:rsidRPr="00587371" w:rsidRDefault="00000000">
      <w:r w:rsidRPr="00587371">
        <w:pict w14:anchorId="7CF322C0">
          <v:rect id="_x0000_i1036" style="width:0;height:1.5pt" o:hralign="center" o:hrstd="t" o:hr="t"/>
        </w:pict>
      </w:r>
    </w:p>
    <w:p w14:paraId="5BF5984A" w14:textId="77777777" w:rsidR="006E7DFD" w:rsidRPr="00587371" w:rsidRDefault="00000000">
      <w:pPr>
        <w:pStyle w:val="Heading2"/>
        <w:rPr>
          <w:rFonts w:asciiTheme="minorHAnsi" w:hAnsiTheme="minorHAnsi"/>
        </w:rPr>
      </w:pPr>
      <w:bookmarkStart w:id="52" w:name="related-work"/>
      <w:bookmarkEnd w:id="47"/>
      <w:bookmarkEnd w:id="51"/>
      <w:r w:rsidRPr="00587371">
        <w:rPr>
          <w:rFonts w:asciiTheme="minorHAnsi" w:hAnsiTheme="minorHAnsi"/>
        </w:rPr>
        <w:t>10. Related Work</w:t>
      </w:r>
    </w:p>
    <w:p w14:paraId="77E025B9" w14:textId="77777777" w:rsidR="006E7DFD" w:rsidRPr="00587371" w:rsidRDefault="00000000">
      <w:pPr>
        <w:pStyle w:val="Heading3"/>
      </w:pPr>
      <w:bookmarkStart w:id="53" w:name="agentic-governance-frameworks"/>
      <w:r w:rsidRPr="00587371">
        <w:t>10.1 Agentic Governance Frameworks</w:t>
      </w:r>
    </w:p>
    <w:p w14:paraId="6D14180D" w14:textId="77777777" w:rsidR="006E7DFD" w:rsidRPr="00587371" w:rsidRDefault="00000000">
      <w:pPr>
        <w:pStyle w:val="FirstParagraph"/>
      </w:pPr>
      <w:r w:rsidRPr="00587371">
        <w:rPr>
          <w:b/>
          <w:bCs/>
        </w:rPr>
        <w:t>MI9 (Wang et al., 2025) [7]:</w:t>
      </w:r>
      <w:r w:rsidRPr="00587371">
        <w:t xml:space="preserve"> MI9 proposes a rich “Agency-Risk Index” and FSM-based conformance. However, MI9 is purely architectural—it lacks the cryptographic binding of RuntimeGuard. RuntimeGuard could be seen as the “Enforcement Layer” for MI9’s “Policy Layer”.</w:t>
      </w:r>
    </w:p>
    <w:p w14:paraId="36EB8FA7" w14:textId="77777777" w:rsidR="006E7DFD" w:rsidRPr="00587371" w:rsidRDefault="00000000">
      <w:pPr>
        <w:pStyle w:val="BodyText"/>
      </w:pPr>
      <w:r w:rsidRPr="00587371">
        <w:rPr>
          <w:b/>
          <w:bCs/>
        </w:rPr>
        <w:t>GaaS (Gaurav et al., 2025) [8]:</w:t>
      </w:r>
      <w:r w:rsidRPr="00587371">
        <w:t xml:space="preserve"> Governance-as-a-Service offers meaningful modularity but relies on centralized trust. RuntimeGuard improves on GaaS by making the audit trail decentralized and tamper-evident.</w:t>
      </w:r>
    </w:p>
    <w:p w14:paraId="05F2C6EC" w14:textId="77777777" w:rsidR="006E7DFD" w:rsidRPr="00587371" w:rsidRDefault="00000000">
      <w:pPr>
        <w:pStyle w:val="Heading3"/>
      </w:pPr>
      <w:bookmarkStart w:id="54" w:name="cryptographic-logging"/>
      <w:bookmarkEnd w:id="53"/>
      <w:r w:rsidRPr="00587371">
        <w:t>10.2 Cryptographic Logging</w:t>
      </w:r>
    </w:p>
    <w:p w14:paraId="4DC609A0" w14:textId="77777777" w:rsidR="006E7DFD" w:rsidRPr="00587371" w:rsidRDefault="00000000">
      <w:pPr>
        <w:pStyle w:val="FirstParagraph"/>
      </w:pPr>
      <w:r w:rsidRPr="00587371">
        <w:rPr>
          <w:b/>
          <w:bCs/>
        </w:rPr>
        <w:t>Certificate Transparency (RFC 6962) [10]:</w:t>
      </w:r>
      <w:r w:rsidRPr="00587371">
        <w:t xml:space="preserve"> My use of Merkle Trees is directly inspired by CT. However, CT is for </w:t>
      </w:r>
      <w:r w:rsidRPr="00587371">
        <w:rPr>
          <w:i/>
          <w:iCs/>
        </w:rPr>
        <w:t>static</w:t>
      </w:r>
      <w:r w:rsidRPr="00587371">
        <w:t xml:space="preserve"> certificates. RuntimeGuard extends CT to </w:t>
      </w:r>
      <w:r w:rsidRPr="00587371">
        <w:rPr>
          <w:i/>
          <w:iCs/>
        </w:rPr>
        <w:t>dynamic</w:t>
      </w:r>
      <w:r w:rsidRPr="00587371">
        <w:t xml:space="preserve"> runtime events.</w:t>
      </w:r>
    </w:p>
    <w:p w14:paraId="416C1A50" w14:textId="77777777" w:rsidR="006E7DFD" w:rsidRPr="00587371" w:rsidRDefault="00000000">
      <w:pPr>
        <w:pStyle w:val="Heading3"/>
      </w:pPr>
      <w:bookmarkStart w:id="55" w:name="zkml-zero-knowledge-machine-learning"/>
      <w:bookmarkEnd w:id="54"/>
      <w:r w:rsidRPr="00587371">
        <w:t>10.3 ZKML (Zero-Knowledge Machine Learning)</w:t>
      </w:r>
    </w:p>
    <w:p w14:paraId="6B3A4B12" w14:textId="77777777" w:rsidR="006E7DFD" w:rsidRPr="00587371" w:rsidRDefault="00000000">
      <w:pPr>
        <w:pStyle w:val="FirstParagraph"/>
      </w:pPr>
      <w:r w:rsidRPr="00587371">
        <w:rPr>
          <w:b/>
          <w:bCs/>
        </w:rPr>
        <w:t>ZKML [13]:</w:t>
      </w:r>
      <w:r w:rsidRPr="00587371">
        <w:t xml:space="preserve"> Projects like EZKL focus on proving that the </w:t>
      </w:r>
      <w:r w:rsidRPr="00587371">
        <w:rPr>
          <w:i/>
          <w:iCs/>
        </w:rPr>
        <w:t>matrix multiplication</w:t>
      </w:r>
      <w:r w:rsidRPr="00587371">
        <w:t xml:space="preserve"> was correct. RuntimeGuard focuses on proving that the </w:t>
      </w:r>
      <w:r w:rsidRPr="00587371">
        <w:rPr>
          <w:i/>
          <w:iCs/>
        </w:rPr>
        <w:t>policy logic</w:t>
      </w:r>
      <w:r w:rsidRPr="00587371">
        <w:t xml:space="preserve"> was correct. These are complementary: a future system could use ZKML to prove the model inference and RuntimeGuard to prove the safety check.</w:t>
      </w:r>
    </w:p>
    <w:p w14:paraId="365EF3D7" w14:textId="77777777" w:rsidR="006E7DFD" w:rsidRPr="00587371" w:rsidRDefault="00000000">
      <w:r w:rsidRPr="00587371">
        <w:pict w14:anchorId="16891C95">
          <v:rect id="_x0000_i1037" style="width:0;height:1.5pt" o:hralign="center" o:hrstd="t" o:hr="t"/>
        </w:pict>
      </w:r>
    </w:p>
    <w:p w14:paraId="73BD5425" w14:textId="77777777" w:rsidR="006E7DFD" w:rsidRPr="00587371" w:rsidRDefault="00000000">
      <w:pPr>
        <w:pStyle w:val="Heading2"/>
        <w:rPr>
          <w:rFonts w:asciiTheme="minorHAnsi" w:hAnsiTheme="minorHAnsi"/>
        </w:rPr>
      </w:pPr>
      <w:bookmarkStart w:id="56" w:name="conclusion"/>
      <w:bookmarkEnd w:id="52"/>
      <w:bookmarkEnd w:id="55"/>
      <w:r w:rsidRPr="00587371">
        <w:rPr>
          <w:rFonts w:asciiTheme="minorHAnsi" w:hAnsiTheme="minorHAnsi"/>
        </w:rPr>
        <w:t>11. Conclusion</w:t>
      </w:r>
    </w:p>
    <w:p w14:paraId="415215DD" w14:textId="77777777" w:rsidR="006E7DFD" w:rsidRPr="00587371" w:rsidRDefault="00000000">
      <w:pPr>
        <w:pStyle w:val="FirstParagraph"/>
      </w:pPr>
      <w:r w:rsidRPr="00587371">
        <w:t xml:space="preserve">The EU AI Act presents a dilemma: how to mandate human oversight without breaking the speed of modern AI. I have presented </w:t>
      </w:r>
      <w:r w:rsidRPr="00587371">
        <w:rPr>
          <w:b/>
          <w:bCs/>
        </w:rPr>
        <w:t>RuntimeGuard-AI</w:t>
      </w:r>
      <w:r w:rsidRPr="00587371">
        <w:t xml:space="preserve">, an architecture that solves this not through policy, but through topology. By creating a distinct, asynchronous </w:t>
      </w:r>
      <w:r w:rsidRPr="00587371">
        <w:lastRenderedPageBreak/>
        <w:t>cryptographic plane for compliance, I have shown that we can have our cake (low latency) and eat it too (rigorous accountability).</w:t>
      </w:r>
    </w:p>
    <w:p w14:paraId="051D9408" w14:textId="77777777" w:rsidR="006E7DFD" w:rsidRPr="00587371" w:rsidRDefault="00000000">
      <w:pPr>
        <w:pStyle w:val="BodyText"/>
      </w:pPr>
      <w:r w:rsidRPr="00587371">
        <w:t>My architecture is grounded in formal proofs of Latency Separation and Tamper-Evidence. My reference implementation proves the viability of the approach on commodity hardware. While challenges remain—specifically around the “Oracle Problem” and key management—RuntimeGuard-AI represents a concrete step toward a future where AI safety is not just a promise, but a mathematical proof.</w:t>
      </w:r>
    </w:p>
    <w:p w14:paraId="5AC4BB17" w14:textId="77777777" w:rsidR="006E7DFD" w:rsidRPr="00587371" w:rsidRDefault="00000000">
      <w:r w:rsidRPr="00587371">
        <w:pict w14:anchorId="251A4B49">
          <v:rect id="_x0000_i1038" style="width:0;height:1.5pt" o:hralign="center" o:hrstd="t" o:hr="t"/>
        </w:pict>
      </w:r>
    </w:p>
    <w:p w14:paraId="484A466F" w14:textId="77777777" w:rsidR="006E7DFD" w:rsidRPr="00587371" w:rsidRDefault="00000000">
      <w:pPr>
        <w:pStyle w:val="Heading2"/>
        <w:rPr>
          <w:rFonts w:asciiTheme="minorHAnsi" w:hAnsiTheme="minorHAnsi"/>
        </w:rPr>
      </w:pPr>
      <w:bookmarkStart w:id="57" w:name="references"/>
      <w:bookmarkEnd w:id="56"/>
      <w:r w:rsidRPr="00587371">
        <w:rPr>
          <w:rFonts w:asciiTheme="minorHAnsi" w:hAnsiTheme="minorHAnsi"/>
        </w:rPr>
        <w:t>12. References</w:t>
      </w:r>
    </w:p>
    <w:p w14:paraId="647CEB6F" w14:textId="77777777" w:rsidR="006E7DFD" w:rsidRPr="00587371" w:rsidRDefault="00000000">
      <w:pPr>
        <w:pStyle w:val="FirstParagraph"/>
      </w:pPr>
      <w:r w:rsidRPr="00587371">
        <w:t>[1] European Union, “Regulation (EU) 2024/1689 of the European Parliament and of the Council,” Official Journal of the European Union, L 2024/1689, Jul. 12, 2024. https://eur-lex.europa.eu/</w:t>
      </w:r>
    </w:p>
    <w:p w14:paraId="2760FCBC" w14:textId="77777777" w:rsidR="006E7DFD" w:rsidRPr="00587371" w:rsidRDefault="00000000">
      <w:pPr>
        <w:pStyle w:val="BodyText"/>
      </w:pPr>
      <w:r w:rsidRPr="00587371">
        <w:t>[2] AI Act Service Desk, “EU AI Act Timeline and Key Dates,” https://artificialintelligenceact.eu/ai-act-timeline/, accessed Dec. 2025.</w:t>
      </w:r>
    </w:p>
    <w:p w14:paraId="4ECC71FE" w14:textId="77777777" w:rsidR="006E7DFD" w:rsidRPr="00587371" w:rsidRDefault="00000000">
      <w:pPr>
        <w:pStyle w:val="BodyText"/>
      </w:pPr>
      <w:r w:rsidRPr="00587371">
        <w:t>[3] European Union, “EU AI Act Article 14: Human Oversight,” https://artificialintelligenceact.eu/article/14/, accessed Dec. 2025.</w:t>
      </w:r>
    </w:p>
    <w:p w14:paraId="143DF1DF" w14:textId="77777777" w:rsidR="006E7DFD" w:rsidRPr="00587371" w:rsidRDefault="00000000">
      <w:pPr>
        <w:pStyle w:val="BodyText"/>
      </w:pPr>
      <w:r w:rsidRPr="00587371">
        <w:t>[4] CEN/CENELEC, “Standardisation Request for AI Systems,” prEN 18229-1 (under development), 2025.</w:t>
      </w:r>
    </w:p>
    <w:p w14:paraId="2774AE43" w14:textId="77777777" w:rsidR="006E7DFD" w:rsidRPr="00587371" w:rsidRDefault="00000000">
      <w:pPr>
        <w:pStyle w:val="BodyText"/>
      </w:pPr>
      <w:r w:rsidRPr="00587371">
        <w:t>[5] M. Mitchell et al., “Model Cards for Model Reporting,” FAT* 2019, pp. 220–229.</w:t>
      </w:r>
    </w:p>
    <w:p w14:paraId="424E074C" w14:textId="77777777" w:rsidR="006E7DFD" w:rsidRPr="00587371" w:rsidRDefault="00000000">
      <w:pPr>
        <w:pStyle w:val="BodyText"/>
      </w:pPr>
      <w:r w:rsidRPr="00587371">
        <w:t>[6] Weights and Biases, “MLOps: Continuous delivery and automation pipelines in machine learning,” Technical Report, 2023.</w:t>
      </w:r>
    </w:p>
    <w:p w14:paraId="467AC8F9" w14:textId="77777777" w:rsidR="006E7DFD" w:rsidRPr="00587371" w:rsidRDefault="00000000">
      <w:pPr>
        <w:pStyle w:val="BodyText"/>
      </w:pPr>
      <w:r w:rsidRPr="00587371">
        <w:t>[7] C. L. Wang, T. Singhal, A. Kelkar, and J. Tuo, “MI9—Agent Intelligence Protocol: Runtime Governance for Agentic AI Systems,” arXiv:2508.03858, 2025.</w:t>
      </w:r>
    </w:p>
    <w:p w14:paraId="6F7CD48B" w14:textId="77777777" w:rsidR="006E7DFD" w:rsidRPr="00587371" w:rsidRDefault="00000000">
      <w:pPr>
        <w:pStyle w:val="BodyText"/>
      </w:pPr>
      <w:r w:rsidRPr="00587371">
        <w:t>[8] S. Gaurav, J. Chaudhary, et al., “Governance-as-a-Service: A Multi-Agent Framework for AI System Compliance and Policy Enforcement,” arXiv:2508.18765, 2025.</w:t>
      </w:r>
    </w:p>
    <w:p w14:paraId="22F2BB67" w14:textId="77777777" w:rsidR="006E7DFD" w:rsidRPr="00587371" w:rsidRDefault="00000000">
      <w:pPr>
        <w:pStyle w:val="BodyText"/>
      </w:pPr>
      <w:r w:rsidRPr="00587371">
        <w:t>[9] Y. Zhang et al., “NoCap: Near-Optimal ZK Acceleration via Custom Hardware,” IEEE MICRO, 2024.</w:t>
      </w:r>
    </w:p>
    <w:p w14:paraId="550C2F44" w14:textId="77777777" w:rsidR="006E7DFD" w:rsidRPr="00587371" w:rsidRDefault="00000000">
      <w:pPr>
        <w:pStyle w:val="BodyText"/>
      </w:pPr>
      <w:r w:rsidRPr="00587371">
        <w:t>[10] B. Laurie, A. Langley, and E. Kasper, “Certificate Transparency,” RFC 6962, IETF, 2013. https://www.rfc-editor.org/rfc/rfc6962</w:t>
      </w:r>
    </w:p>
    <w:p w14:paraId="4F7E1D2B" w14:textId="77777777" w:rsidR="006E7DFD" w:rsidRPr="00587371" w:rsidRDefault="00000000">
      <w:pPr>
        <w:pStyle w:val="BodyText"/>
      </w:pPr>
      <w:r w:rsidRPr="00587371">
        <w:t>[11] J. Groth, “On the Size of Pairing-based Non-interactive Arguments,” EUROCRYPT 2016, pp. 305–326.</w:t>
      </w:r>
    </w:p>
    <w:p w14:paraId="3431CFD1" w14:textId="77777777" w:rsidR="006E7DFD" w:rsidRPr="00587371" w:rsidRDefault="00000000">
      <w:pPr>
        <w:pStyle w:val="BodyText"/>
      </w:pPr>
      <w:r w:rsidRPr="00587371">
        <w:t>[12] Ingonyama, “ICICLE-Snark: GPU-Accelerated ZK Proving,” Medium, 2024. https://medium.com/@ingonyama</w:t>
      </w:r>
    </w:p>
    <w:p w14:paraId="75FE4C8E" w14:textId="77777777" w:rsidR="006E7DFD" w:rsidRPr="00587371" w:rsidRDefault="00000000">
      <w:pPr>
        <w:pStyle w:val="BodyText"/>
      </w:pPr>
      <w:r w:rsidRPr="00587371">
        <w:lastRenderedPageBreak/>
        <w:t>[13] D. Kang et al., “ZKML: An Optimizing System for ML Inference in Zero-Knowledge Proofs,” EuroSys’24, 2024.</w:t>
      </w:r>
    </w:p>
    <w:p w14:paraId="37CBD64D" w14:textId="77777777" w:rsidR="006E7DFD" w:rsidRPr="00587371" w:rsidRDefault="00000000">
      <w:pPr>
        <w:pStyle w:val="BodyText"/>
      </w:pPr>
      <w:r w:rsidRPr="00587371">
        <w:t>[14] L. Grassi et al., “Poseidon: A New Hash Function for Zero-Knowledge Proof Systems,” USENIX Security 2021.</w:t>
      </w:r>
    </w:p>
    <w:p w14:paraId="21E92569" w14:textId="77777777" w:rsidR="006E7DFD" w:rsidRPr="00587371" w:rsidRDefault="00000000">
      <w:pPr>
        <w:pStyle w:val="BodyText"/>
      </w:pPr>
      <w:r w:rsidRPr="00587371">
        <w:t>[15] NIST, “AI Risk Management Framework (AI RMF 1.0),” NIST AI 100-1, 2023.</w:t>
      </w:r>
    </w:p>
    <w:p w14:paraId="084CF408" w14:textId="77777777" w:rsidR="006E7DFD" w:rsidRPr="00587371" w:rsidRDefault="00000000">
      <w:r w:rsidRPr="00587371">
        <w:pict w14:anchorId="7CC6EA1C">
          <v:rect id="_x0000_i1039" style="width:0;height:1.5pt" o:hralign="center" o:hrstd="t" o:hr="t"/>
        </w:pict>
      </w:r>
      <w:bookmarkEnd w:id="0"/>
      <w:bookmarkEnd w:id="57"/>
    </w:p>
    <w:sectPr w:rsidR="006E7DFD" w:rsidRPr="005873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90D2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26FE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18A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4243519">
    <w:abstractNumId w:val="0"/>
  </w:num>
  <w:num w:numId="2" w16cid:durableId="239368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4089312">
    <w:abstractNumId w:val="1"/>
  </w:num>
  <w:num w:numId="4" w16cid:durableId="1722629797">
    <w:abstractNumId w:val="1"/>
  </w:num>
  <w:num w:numId="5" w16cid:durableId="611286251">
    <w:abstractNumId w:val="1"/>
  </w:num>
  <w:num w:numId="6" w16cid:durableId="1951937267">
    <w:abstractNumId w:val="1"/>
  </w:num>
  <w:num w:numId="7" w16cid:durableId="2046175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0067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2386106">
    <w:abstractNumId w:val="1"/>
  </w:num>
  <w:num w:numId="10" w16cid:durableId="149911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E7DFD"/>
    <w:rsid w:val="003A57EF"/>
    <w:rsid w:val="00587371"/>
    <w:rsid w:val="006E7DFD"/>
    <w:rsid w:val="00EE4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F8A6"/>
  <w15:docId w15:val="{E023F9E0-0297-4E63-9C4E-CD7B8AE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4840</Words>
  <Characters>27593</Characters>
  <Application>Microsoft Office Word</Application>
  <DocSecurity>0</DocSecurity>
  <Lines>229</Lines>
  <Paragraphs>64</Paragraphs>
  <ScaleCrop>false</ScaleCrop>
  <Company/>
  <LinksUpToDate>false</LinksUpToDate>
  <CharactersWithSpaces>32369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niraj.thehunter</cp:lastModifiedBy>
  <cp:revision>3</cp:revision>
  <dcterms:created xsi:type="dcterms:W3CDTF">2025-12-08T20:59:00Z</dcterms:created>
  <dcterms:modified xsi:type="dcterms:W3CDTF">2025-12-08T21:11:00Z</dcterms:modified>
</cp:coreProperties>
</file>