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TriArchitect: A Shared-State Multi-Agent Framework for Safe Java Code Migration</w:t>
      </w:r>
    </w:p>
    <w:p>
      <w:pPr>
        <w:jc w:val="center"/>
      </w:pPr>
      <w:r>
        <w:rPr>
          <w:b/>
        </w:rPr>
        <w:t>Neeraj Kumar Singh Beshane</w:t>
      </w:r>
    </w:p>
    <w:p>
      <w:pPr>
        <w:jc w:val="center"/>
      </w:pPr>
      <w:r>
        <w:rPr>
          <w:i/>
        </w:rPr>
        <w:t>Meta / Facebook, USA</w:t>
      </w:r>
    </w:p>
    <w:p>
      <w:pPr>
        <w:jc w:val="center"/>
      </w:pPr>
      <w:r>
        <w:rPr>
          <w:b/>
        </w:rPr>
        <w:t>Targeting: ICSE 2026 Technical Track</w:t>
      </w:r>
    </w:p>
    <w:p/>
    <w:p>
      <w:pPr>
        <w:pStyle w:val="Heading1"/>
      </w:pPr>
      <w:r>
        <w:t>Abstract</w:t>
      </w:r>
    </w:p>
    <w:p>
      <w:r>
        <w:t>As the global software infrastructure ages, the modernization of legacy systems—particularly the migration of monolithic Java 8 applications to contemporary Long-Term Support (LTS) versions like Java 17 or 21—has become a critical imperative for security, performance, and maintainability. While Large Language Models (LLMs) have demonstrated exceptional proficiency in isolated code generation tasks, their application to repository-scale migration is severely constrained by "Contextual Hallucinations"—a phenomenon where models generate syntactically correct but structurally invalid code due to a lack of global state awareness. Recent empirical studies indicate that up to 25.5% of LLM-generated edits in large codebases fail due to dependency drift and context loss. In this work, I introduce TriArchitect, a novel shared-state multi-agent framework designed to bridge the gap between probabilistic reasoning and deterministic structural integrity. TriArchitect introduces three key innovations: (1) the Typed Migration Graph (TMG), a formal directed acyclic graph that serves as a persistent semantic memory of the migration state; (2) a specialized role-based multi-agent architecture comprising an Archeologist (analysis), Architect (synthesis), and Validator (verification); and (3) a rigorous Validator-Veto Protocol, which enforces a "compilation-as-consensus" rule to reject hallucinated proposals before they corrupt the codebase. I evaluate TriArchitect on J8-to-J17-Bench, a comprehensive benchmark of 1,000 method-level and class-level migration tasks. Results demonstrate a System Success Rate (SSR) of 68.4%, statistically outperforming significant baselines including OpenRewrite (62.0%), AgentCoder (59.1%), and raw GPT-5 (64.2%), while reducing token consumption by 40% through state-aware prompting.</w:t>
      </w:r>
    </w:p>
    <w:p>
      <w:r>
        <w:t>Keywords: Software Evolution, Large Language Models, Multi-Agent Systems, Automated Refactoring, Legacy Migration</w:t>
      </w:r>
    </w:p>
    <w:p/>
    <w:p>
      <w:pPr>
        <w:pStyle w:val="Heading1"/>
      </w:pPr>
      <w:r>
        <w:t>1. Introduction</w:t>
      </w:r>
    </w:p>
    <w:p>
      <w:pPr>
        <w:pStyle w:val="Heading2"/>
      </w:pPr>
      <w:r>
        <w:t>1.1 The Legacy Code Crisis</w:t>
      </w:r>
    </w:p>
    <w:p>
      <w:r>
        <w:t>The modernization of enterprise software is one of the most pervasive and expensive challenges in software engineering today. According to the 2024 JVM Ecosystem Report, nearly 35% of enterprise Java applications continue to operate on Java 8, a version released in 2014 that ceased receiving public updates in 2022 [4]. This technical debt is not merely an inconvenience; it represents a significant operational risk. Organizations running legacy runtimes face:</w:t>
      </w:r>
    </w:p>
    <w:p>
      <w:pPr>
        <w:pStyle w:val="ListBullet"/>
      </w:pPr>
      <w:r>
        <w:t>Security Vulnerabilities: Inability to patch underlying libraries (e.g., Log4j variants) that require newer JDKs.</w:t>
      </w:r>
    </w:p>
    <w:p>
      <w:pPr>
        <w:pStyle w:val="ListBullet"/>
      </w:pPr>
      <w:r>
        <w:t>Performance Stagnation: Inability to utilize modern JVM optimizations such as Compact Strings, Garbage Collection improvements (ZGC), and Project Loom's virtual threads.</w:t>
      </w:r>
    </w:p>
    <w:p>
      <w:pPr>
        <w:pStyle w:val="ListBullet"/>
      </w:pPr>
      <w:r>
        <w:t>Talent Attrition: Modern developers are increasingly reluctant to work in stagnant, legacy codebases lacking modern language features like Records, Pattern Matching, and Switch Expressions.</w:t>
      </w:r>
    </w:p>
    <w:p>
      <w:r>
        <w:t>However, migration is rarely a simple "find and replace" operation. It involves complex structural changes: replacing the monolithic javax namespace with jakarta (Jakarta EE migration), updating build systems (Maven/Gradle) to handle module encapsulation (JPMS), and rewriting asynchronous logic to utilize modern reactive or virtual thread paradigms. Manual migration is prohibitively slow and error-prone, while script-based automation (e.g., shell scripts) lacks the semantic understanding to handle refactoring.</w:t>
      </w:r>
    </w:p>
    <w:p>
      <w:pPr>
        <w:pStyle w:val="Heading2"/>
      </w:pPr>
      <w:r>
        <w:t>1.2 The Limits of Probabilistic Intelligence</w:t>
      </w:r>
    </w:p>
    <w:p>
      <w:r>
        <w:t>The advent of Large Language Models (LLMs) like GPT-4, GPT-5, and Claude Opus has sparked hope for "autonomous software engineering." Indeed, on isolated algorithmic challenges like HumanEval or isolated bug fixes like SWE-bench, these models exhibit superhuman performance. However, migration is not a generation task; it is a consistency task.</w:t>
      </w:r>
    </w:p>
    <w:p>
      <w:r>
        <w:t>My research and recent studies (ISSTA 2025) identify a critical failure mode in applying LLMs to large-scale system evolution: Contextual Hallucination. Unlike "factual hallucinations" (inventing a method that doesn't exist), contextual hallucinations occur when the model accurately recalls a library API but applies it inconsistently with the specific project's state. For example:</w:t>
      </w:r>
    </w:p>
    <w:p>
      <w:pPr>
        <w:pStyle w:val="ListBullet"/>
      </w:pPr>
      <w:r>
        <w:t>Dependency Drift: Updating a service class to use Spring Boot 3 annotations while the pom.xml still declares Spring Boot 2 dependencies.</w:t>
      </w:r>
    </w:p>
    <w:p>
      <w:pPr>
        <w:pStyle w:val="ListBullet"/>
      </w:pPr>
      <w:r>
        <w:t>Partial Migration: Migrating a Consumer interface to a functional style in one file, while leaving the Producer interface legacy-style in another, causing integration failures.</w:t>
      </w:r>
    </w:p>
    <w:p>
      <w:pPr>
        <w:pStyle w:val="ListBullet"/>
      </w:pPr>
      <w:r>
        <w:t>Zombie Imports: Re-importing deprecated classes (e.g., sun.misc.Unsafe) because the model's training data strongly associates them with the code pattern, ignoring the project's explicit directive to remove them.</w:t>
      </w:r>
    </w:p>
    <w:p>
      <w:r>
        <w:t>These failures stem from a fundamental architectural limitation: LLMs are stateless inference engines. They do not inherently possess a persistent "memory" of the modifications they made five minutes ago in a different file.</w:t>
      </w:r>
    </w:p>
    <w:p>
      <w:pPr>
        <w:pStyle w:val="Heading2"/>
      </w:pPr>
      <w:r>
        <w:t>1.3 My Solution: TriArchitect</w:t>
      </w:r>
    </w:p>
    <w:p>
      <w:r>
        <w:t>To solve the state problem, I propose TriArchitect, a framework that decouples reasoning (the LLM's job) from state management (the System's job). TriArchitect treats code migration not as a series of text completions, but as a graph transformation problem.</w:t>
      </w:r>
    </w:p>
    <w:p>
      <w:r>
        <w:t>Central to my approach is the Typed Migration Graph (TMG). The TMG acts as the source of truth, tracking the state of every class, method, and dependency in the system. Before an agent touches a file, it queries the TMG to understand the current state of the world ("Has UtilityClassA been migrated yet?"). This allows me to inject state-constraints into the LLM's prompt, effectively grounding its reasoning in reality.</w:t>
      </w:r>
    </w:p>
    <w:p>
      <w:r>
        <w:t>I combine this with a Validator-Veto Protocol. In traditional multi-agent systems, agents "vote" or "debate" on code quality. I argue that for migration, debate is unnecessary when there is a compiler. The Validator agent executes a strict verify-compile-test cycle. If the code fails, the proposal is vetoed immediately, providing the compiler's error message as objective feedback for the Architect's next attempt.</w:t>
      </w:r>
    </w:p>
    <w:p>
      <w:pPr>
        <w:pStyle w:val="Heading2"/>
      </w:pPr>
      <w:r>
        <w:t>1.4 Contributions</w:t>
      </w:r>
    </w:p>
    <w:p>
      <w:r>
        <w:t>I make the following contributions to the field of automated software evolution:</w:t>
      </w:r>
    </w:p>
    <w:p>
      <w:pPr>
        <w:pStyle w:val="ListNumber"/>
      </w:pPr>
      <w:r>
        <w:t>Formalization of the TMG: I define the Typed Migration Graph as a mechanism for enforcing topological consistency in distributed code transformation.</w:t>
      </w:r>
    </w:p>
    <w:p>
      <w:pPr>
        <w:pStyle w:val="ListNumber"/>
      </w:pPr>
      <w:r>
        <w:t>Role-Based Agent Architecture: I describe the Archaeologist-Architect-Validator triad, a design pattern mimicking a high-functioning human engineering team.</w:t>
      </w:r>
    </w:p>
    <w:p>
      <w:pPr>
        <w:pStyle w:val="ListNumber"/>
      </w:pPr>
      <w:r>
        <w:t>Experimental Validation: I present results from J8-to-J17-Bench, evaluating 1,000 tasks and demonstrating that TriArchitect achieves a 68.4% System Success Rate (SSR), surpassing both deterministic tools (OpenRewrite) and unconstrained latent reasoning (GPT-5).</w:t>
      </w:r>
    </w:p>
    <w:p/>
    <w:p>
      <w:pPr>
        <w:pStyle w:val="Heading1"/>
      </w:pPr>
      <w:r>
        <w:t>2. Background: The Evolution of Automated Migration</w:t>
      </w:r>
    </w:p>
    <w:p>
      <w:r>
        <w:t>The pursuit of automated code migration has evolved through three distinct generations, each addressing the limitations of its predecessor while introducing new complexities.</w:t>
      </w:r>
    </w:p>
    <w:p>
      <w:pPr>
        <w:pStyle w:val="Heading2"/>
      </w:pPr>
      <w:r>
        <w:t>2.1 First Generation: Lexical Transformation (Pattern Matching)</w:t>
      </w:r>
    </w:p>
    <w:p>
      <w:r>
        <w:t>The earliest migration tools relied on lexical analysis—formatting scripts, sed commands, and Regular Expressions. These tools treat code as plain text.</w:t>
      </w:r>
    </w:p>
    <w:p>
      <w:pPr>
        <w:pStyle w:val="ListBullet"/>
      </w:pPr>
      <w:r>
        <w:t>Mechanism: Find string javax.servlet and replace with jakarta.servlet.</w:t>
      </w:r>
    </w:p>
    <w:p>
      <w:pPr>
        <w:pStyle w:val="ListBullet"/>
      </w:pPr>
      <w:r>
        <w:t>Limitations: This approach is oblivious to context. It cannot distinguish between a string literal inside a log message and an actual import statement. It fails catastrophically on structural changes (e.g., changing a method signature or handling meaningful whitespace).</w:t>
      </w:r>
    </w:p>
    <w:p>
      <w:pPr>
        <w:pStyle w:val="ListBullet"/>
      </w:pPr>
      <w:r>
        <w:t>Legacy: While primitive, these tools established the baseline for "bulk update" efficiency.</w:t>
      </w:r>
    </w:p>
    <w:p>
      <w:pPr>
        <w:pStyle w:val="Heading2"/>
      </w:pPr>
      <w:r>
        <w:t>2.2 Second Generation: Syntax-Directed Transformation (AST-Based)</w:t>
      </w:r>
    </w:p>
    <w:p>
      <w:r>
        <w:t>Tools like OpenRewrite [7] and JavaParser represent the current industrial standard. They parse source code into an Abstract Syntax Tree (AST), apply modifications to the tree nodes, and print the tree back to text.</w:t>
      </w:r>
    </w:p>
    <w:p>
      <w:pPr>
        <w:pStyle w:val="ListBullet"/>
      </w:pPr>
      <w:r>
        <w:t>Mechanism: Visitor patterns traverse the AST. A "Recipe" defines a precise structural transformation (e.g., "Find all method invocations of A.foo() and replace them with B.bar()").</w:t>
      </w:r>
    </w:p>
    <w:p>
      <w:pPr>
        <w:pStyle w:val="ListBullet"/>
      </w:pPr>
      <w:r>
        <w:t>Strengths: 100% precision. If a recipe exists and matches, the transformation is guaranteed to be syntactically valid.</w:t>
      </w:r>
    </w:p>
    <w:p>
      <w:pPr>
        <w:pStyle w:val="ListBullet"/>
      </w:pPr>
      <w:r>
        <w:t>Weaknesses: The "Recipe Gap". Writing a recipe requires an expert developer to manually encode the transformation logic. If a library has no pre-written recipe, the tool does nothing. My evaluation shows that ~38% of real-world migration tasks involve custom logic or "long-tail" libraries for which no recipes exist.</w:t>
      </w:r>
    </w:p>
    <w:p>
      <w:pPr>
        <w:pStyle w:val="Heading2"/>
      </w:pPr>
      <w:r>
        <w:t>2.3 Third Generation: Probabilistic Large Language Models (LLMs)</w:t>
      </w:r>
    </w:p>
    <w:p>
      <w:r>
        <w:t>The emergence of Transformer-based models (CodeLlama, GPT-4) introduced the ability to generate code based on natural language intent.</w:t>
      </w:r>
    </w:p>
    <w:p>
      <w:pPr>
        <w:pStyle w:val="ListBullet"/>
      </w:pPr>
      <w:r>
        <w:t>Mechanism: Few-shot prompting or RAG retrieval provides the model for "how to migrate." The model predicts the next tokens to rewrite the file.</w:t>
      </w:r>
    </w:p>
    <w:p>
      <w:pPr>
        <w:pStyle w:val="ListBullet"/>
      </w:pPr>
      <w:r>
        <w:t>Strengths: Infinite flexibility. The model can infer how to migrate unknown libraries by reading their documentation or generalizing from patterns.</w:t>
      </w:r>
    </w:p>
    <w:p>
      <w:pPr>
        <w:pStyle w:val="ListBullet"/>
      </w:pPr>
      <w:r>
        <w:t>Weaknesses: Non-determinism and Hallucination. As noted in Section 1.2, LLMs struggle with consistency. They may invent APIs or mix incompatible versions.</w:t>
      </w:r>
    </w:p>
    <w:p>
      <w:pPr>
        <w:pStyle w:val="Heading2"/>
      </w:pPr>
      <w:r>
        <w:t>2.4 The Fourth Generation: Stateful Agentic Systems</w:t>
      </w:r>
    </w:p>
    <w:p>
      <w:r>
        <w:t>TriArchitect represents the emerging "Fourth Generation"—systems that combine the flexibility of LLMs with the reliability of formalized state. By wrapping the LLM in an agentic loop with access to a formal graph (the TMG) and a runtime verifier (the Validator), I aim to achieve the "best of both worlds": the adaptability of GenAI with the correctness guarantees of compilers.</w:t>
      </w:r>
    </w:p>
    <w:p/>
    <w:p>
      <w:pPr>
        <w:pStyle w:val="Heading1"/>
      </w:pPr>
      <w:r>
        <w:t>3. Methodology: Formalizing Migration State</w:t>
      </w:r>
    </w:p>
    <w:p>
      <w:r>
        <w:t>To address the "context loss" problem, I formalize the migration process not as a sequence of file edits, but as a traversal of a state graph.</w:t>
      </w:r>
    </w:p>
    <w:p>
      <w:pPr>
        <w:pStyle w:val="Heading2"/>
      </w:pPr>
      <w:r>
        <w:t>3.1 The Typed Migration Graph (TMG)</w:t>
      </w:r>
    </w:p>
    <w:p>
      <w:r>
        <w:t>Definition 1 (Typed Migration Graph). A TMG is a directed acyclic graph G = (V, E, τ, σ) where:</w:t>
      </w:r>
    </w:p>
    <w:p>
      <w:pPr>
        <w:pStyle w:val="ListBullet"/>
      </w:pPr>
      <w:r>
        <w:t>V is the set of vertices representing code artifacts (Classes, Interfaces, XML Configs, Build Files).</w:t>
      </w:r>
    </w:p>
    <w:p>
      <w:pPr>
        <w:pStyle w:val="ListBullet"/>
      </w:pPr>
      <w:r>
        <w:t>E ⊆ V × V represents dependencies. An edge (u, v) implies that artifact u depends on artifact v.</w:t>
      </w:r>
    </w:p>
    <w:p>
      <w:pPr>
        <w:pStyle w:val="ListBullet"/>
      </w:pPr>
      <w:r>
        <w:t>τ: V → T maps vertices to types T = {CLASS, INTERFACE, TEST, CONFIG, BUILD}.</w:t>
      </w:r>
    </w:p>
    <w:p>
      <w:pPr>
        <w:pStyle w:val="ListBullet"/>
      </w:pPr>
      <w:r>
        <w:t>σ: V → S tracks the migration state S = {UNPROCESSED, ANALYZED, DEPRECATED, MIGRATED, VERIFIED, FAILED}.</w:t>
      </w:r>
    </w:p>
    <w:p>
      <w:r>
        <w:t>Novel Contribution: Unlike standard dependency graphs (which only track structure), the TMG is a state machine. Transitions between states are guarded by strict constraints.</w:t>
      </w: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tmg_schema.png"/>
                    <pic:cNvPicPr/>
                  </pic:nvPicPr>
                  <pic:blipFill>
                    <a:blip r:embed="rId9"/>
                    <a:stretch>
                      <a:fillRect/>
                    </a:stretch>
                  </pic:blipFill>
                  <pic:spPr>
                    <a:xfrm>
                      <a:off x="0" y="0"/>
                      <a:ext cx="5029200" cy="5029200"/>
                    </a:xfrm>
                    <a:prstGeom prst="rect"/>
                  </pic:spPr>
                </pic:pic>
              </a:graphicData>
            </a:graphic>
          </wp:inline>
        </w:drawing>
      </w:r>
    </w:p>
    <w:p>
      <w:pPr>
        <w:jc w:val="center"/>
      </w:pPr>
      <w:r>
        <w:rPr>
          <w:i/>
          <w:sz w:val="20"/>
        </w:rPr>
        <w:t>Figure 1: The Typed Migration Graph (TMG) schema showing node types and state transitions.</w:t>
      </w:r>
    </w:p>
    <w:p>
      <w:pPr>
        <w:pStyle w:val="Heading2"/>
      </w:pPr>
      <w:r>
        <w:t>3.2 State Transition Constraints</w:t>
      </w:r>
    </w:p>
    <w:p>
      <w:r>
        <w:t>To prevent "Dependency Drift," I enforce Topological Integrity: A node v cannot transition to MIGRATED until all its dependencies {u | (v, u) ∈ E} are either MIGRATED or explicitly marked EXTERNAL (safe).</w:t>
      </w:r>
    </w:p>
    <w:p>
      <w:r>
        <w:t>Example: If a Service class depends on a Utility class, the Architect Agent is blocked from migrating the Service until the Utility class is successfully migrated and verified. This forces the agents to work "bottom-up," ensuring that when the Service is modified, its dependencies are already in their final, correct state.</w:t>
      </w:r>
    </w:p>
    <w:p>
      <w:r>
        <w:t>I define the migration process formally as a topological traversal algorithm. The core loop (1) performs topological sorting on the TMG, (2) for each deprecated node, retrieves context including neighbor states, (3) generates a migration proposal via the Architect, (4) validates via the Validator, and (5) updates the TMG state accordingly. Failed nodes after 3 attempts are marked for manual intervention.</w:t>
      </w:r>
    </w:p>
    <w:p>
      <w:r>
        <w:t>This algorithm guarantees that the Architect never attempts to migrate a class before its dependencies are stable, eliminating the "Dependency Drift" hallucination class.</w:t>
      </w:r>
    </w:p>
    <w:p/>
    <w:p>
      <w:pPr>
        <w:pStyle w:val="Heading1"/>
      </w:pPr>
      <w:r>
        <w:t>4. System Architecture</w:t>
      </w:r>
    </w:p>
    <w:p>
      <w:r>
        <w:t>TriArchitect operates through the collaboration of three specialized agents, each designed to handle a specific cognitive load of the migration process. This decomposition mimics a high-reliability engineering team.</w:t>
      </w:r>
    </w:p>
    <w:p>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029200" cy="5029200"/>
                    </a:xfrm>
                    <a:prstGeom prst="rect"/>
                  </pic:spPr>
                </pic:pic>
              </a:graphicData>
            </a:graphic>
          </wp:inline>
        </w:drawing>
      </w:r>
    </w:p>
    <w:p>
      <w:pPr>
        <w:jc w:val="center"/>
      </w:pPr>
      <w:r>
        <w:rPr>
          <w:i/>
          <w:sz w:val="20"/>
        </w:rPr>
        <w:t>Figure 2: TriArchitect system architecture showing the three-agent collaboration pattern.</w:t>
      </w:r>
    </w:p>
    <w:p>
      <w:pPr>
        <w:pStyle w:val="Heading2"/>
      </w:pPr>
      <w:r>
        <w:t>4.1 The Archeologist Agent (Analysis &amp; Discovery)</w:t>
      </w:r>
    </w:p>
    <w:p>
      <w:r>
        <w:t>Role: The Archeologist acts as the "Researcher." It is responsible for initial reconnaissance and graph construction.</w:t>
      </w:r>
    </w:p>
    <w:p>
      <w:pPr>
        <w:pStyle w:val="ListBullet"/>
      </w:pPr>
      <w:r>
        <w:t>Workflow:</w:t>
      </w:r>
    </w:p>
    <w:p>
      <w:pPr>
        <w:pStyle w:val="ListNumber"/>
      </w:pPr>
      <w:r>
        <w:t>Parsing: It parses the legacy codebase to build the initial dependency graph.</w:t>
      </w:r>
    </w:p>
    <w:p>
      <w:pPr>
        <w:pStyle w:val="ListNumber"/>
      </w:pPr>
      <w:r>
        <w:t>Detection: It scans for deprecated APIs (e.g., javax.*, Thread.stop()) using static analysis patterns.</w:t>
      </w:r>
    </w:p>
    <w:p>
      <w:pPr>
        <w:pStyle w:val="ListNumber"/>
      </w:pPr>
      <w:r>
        <w:t>Graph Seeding: It populates the TMG, marking nodes containing deprecated code as DEPRECATED and their dependents as AT_RISK.</w:t>
      </w:r>
    </w:p>
    <w:p>
      <w:pPr>
        <w:pStyle w:val="ListBullet"/>
      </w:pPr>
      <w:r>
        <w:t>Output: A fully populated TMG awaiting transformation.</w:t>
      </w:r>
    </w:p>
    <w:p>
      <w:pPr>
        <w:pStyle w:val="Heading2"/>
      </w:pPr>
      <w:r>
        <w:t>4.2 The Architect Agent (Proposal &amp; Synthesis)</w:t>
      </w:r>
    </w:p>
    <w:p>
      <w:r>
        <w:t>Role: The Architect acts as the "Senior Engineer." It is the intelligent core, backed by an LLM (e.g., GPT-4-Turbo or GPT-5).</w:t>
      </w:r>
    </w:p>
    <w:p>
      <w:pPr>
        <w:pStyle w:val="ListBullet"/>
      </w:pPr>
      <w:r>
        <w:t>Workflow:</w:t>
      </w:r>
    </w:p>
    <w:p>
      <w:pPr>
        <w:pStyle w:val="ListNumber"/>
      </w:pPr>
      <w:r>
        <w:t>Task Selection: It queries the TMG for the next DEPRECATED node whose dependencies are all satisfied (Topological Selection).</w:t>
      </w:r>
    </w:p>
    <w:p>
      <w:pPr>
        <w:pStyle w:val="ListNumber"/>
      </w:pPr>
      <w:r>
        <w:t>Context Retrieval: It retrieves the source code of the node AND the migration signatures of its neighbors.</w:t>
      </w:r>
    </w:p>
    <w:p>
      <w:pPr>
        <w:pStyle w:val="ListNumber"/>
      </w:pPr>
      <w:r>
        <w:t>Prompt Construction: It constructs a Dependency-Injected Prompt. Instead of just sending the file, it injects constraints: "Note: The dependency UserDatabase has already been migrated to use jakarta.persistence. You MUST be consistent with this change."</w:t>
      </w:r>
    </w:p>
    <w:p>
      <w:pPr>
        <w:pStyle w:val="ListNumber"/>
      </w:pPr>
      <w:r>
        <w:t>Generations: It generates the new code.</w:t>
      </w:r>
    </w:p>
    <w:p>
      <w:pPr>
        <w:pStyle w:val="ListBullet"/>
      </w:pPr>
      <w:r>
        <w:t>State Awareness: Unlike stateless agents, the Architect "knows" what happened in previous steps because that history is encoded in the TMG.</w:t>
      </w:r>
    </w:p>
    <w:p>
      <w:pPr>
        <w:pStyle w:val="Heading2"/>
      </w:pPr>
      <w:r>
        <w:t>4.3 The Validator Agent (Verification &amp; Oracle)</w:t>
      </w:r>
    </w:p>
    <w:p>
      <w:r>
        <w:t>Role: The Validator acts as the "QA Engineer." It serves as the hard gatekeeper.</w:t>
      </w:r>
    </w:p>
    <w:p>
      <w:pPr>
        <w:pStyle w:val="ListBullet"/>
      </w:pPr>
      <w:r>
        <w:t>Workflow:</w:t>
      </w:r>
    </w:p>
    <w:p>
      <w:pPr>
        <w:pStyle w:val="ListNumber"/>
      </w:pPr>
      <w:r>
        <w:t>Isolation: It spins up an ephemeral Docker container mimicking the CI/CD environment.</w:t>
      </w:r>
    </w:p>
    <w:p>
      <w:pPr>
        <w:pStyle w:val="ListNumber"/>
      </w:pPr>
      <w:r>
        <w:t>Application: It applies the Architect's proposed patch.</w:t>
      </w:r>
    </w:p>
    <w:p>
      <w:pPr>
        <w:pStyle w:val="ListNumber"/>
      </w:pPr>
      <w:r>
        <w:t>Verification: It runs mvn compiler:compile (syntax check) and mvn test (behavior check).</w:t>
      </w:r>
    </w:p>
    <w:p>
      <w:pPr>
        <w:pStyle w:val="ListNumber"/>
      </w:pPr>
      <w:r>
        <w:t>Adjudication:</w:t>
      </w:r>
    </w:p>
    <w:p>
      <w:r>
        <w:t>*   If PASS: It commits the change to the TMG, updating the node state to MIGRATED.</w:t>
      </w:r>
    </w:p>
    <w:p>
      <w:r>
        <w:t>*   If FAIL: It captures the stderr output (compiler errors) and rejects the proposal, sending the error trace back to the Architect for revision.</w:t>
      </w:r>
    </w:p>
    <w:p>
      <w:pPr>
        <w:pStyle w:val="Heading2"/>
      </w:pPr>
      <w:r>
        <w:t>4.4 Implementation Details</w:t>
      </w:r>
    </w:p>
    <w:p>
      <w:r>
        <w:t>I implemented TriArchitect locally using a robust stack designed for reproducibility.</w:t>
      </w:r>
    </w:p>
    <w:p>
      <w:pPr>
        <w:pStyle w:val="ListBullet"/>
      </w:pPr>
      <w:r>
        <w:t>Graph Database: The TMG is implemented using NetworkX (v3.1) with JSON-based persistence to ensure portability without heavy database dependencies. I map Java classes to Nodes and import statements to relationships (DEPENDS_ON).</w:t>
      </w:r>
    </w:p>
    <w:p>
      <w:pPr>
        <w:pStyle w:val="ListBullet"/>
      </w:pPr>
      <w:r>
        <w:t>Orchestration: Agents are implemented in Python 3.11 using LangChain for prompt management and a custom topological scheduler.</w:t>
      </w:r>
    </w:p>
    <w:p>
      <w:pPr>
        <w:pStyle w:val="ListBullet"/>
      </w:pPr>
      <w:r>
        <w:t>LLM Backend: I utilize the OpenAI API (Tier 5) for GPT-4-Turbo and GPT-5 (Preview). Context windows are managed by a sliding window summarizer.</w:t>
      </w:r>
    </w:p>
    <w:p>
      <w:pPr>
        <w:pStyle w:val="ListBullet"/>
      </w:pPr>
      <w:r>
        <w:t>Verification Sandbox: The Validator uses Docker (v24.0). I maintain a "Warm Pool" of containers to reduce the 500ms spin-up latency to &lt;50ms.</w:t>
      </w:r>
    </w:p>
    <w:p>
      <w:pPr>
        <w:pStyle w:val="ListBullet"/>
      </w:pPr>
      <w:r>
        <w:t>Static Analysis: I use JavaParser to extract the initial AST and seed the graph.</w:t>
      </w:r>
    </w:p>
    <w:p/>
    <w:p>
      <w:pPr>
        <w:pStyle w:val="Heading1"/>
      </w:pPr>
      <w:r>
        <w:t>5. The Validator-Veto Protocol</w:t>
      </w:r>
    </w:p>
    <w:p>
      <w:r>
        <w:t>In traditional multi-agent systems (e.g., ChatDev, MetaGPT), agents often reach consensus through "dialogue" or "voting." I argue that for code migration, dialogue is insufficient. A hallucinated import statement is wrong regardless of how many agents vote for it.</w:t>
      </w:r>
    </w:p>
    <w:p>
      <w:pPr>
        <w:pStyle w:val="Heading2"/>
      </w:pPr>
      <w:r>
        <w:t>5.1 Protocol Logic</w:t>
      </w:r>
    </w:p>
    <w:p>
      <w:r>
        <w:t>The Validator-Veto Protocol enforces Evidence-Based Consensus:</w:t>
      </w:r>
    </w:p>
    <w:p>
      <w:pPr>
        <w:pStyle w:val="ListNumber"/>
      </w:pPr>
      <w:r>
        <w:t>Proposal: The Architect proposes migrated code C.</w:t>
      </w:r>
    </w:p>
    <w:p>
      <w:pPr>
        <w:pStyle w:val="ListNumber"/>
      </w:pPr>
      <w:r>
        <w:t>Verification: The Validator compiles and tests C, returning Pass or Fail.</w:t>
      </w:r>
    </w:p>
    <w:p>
      <w:pPr>
        <w:pStyle w:val="ListNumber"/>
      </w:pPr>
      <w:r>
        <w:t>Decision:</w:t>
      </w:r>
    </w:p>
    <w:p>
      <w:r>
        <w:t>- If Pass: Consensus is achieved, code is committed to TMG.</w:t>
      </w:r>
    </w:p>
    <w:p>
      <w:r>
        <w:t>- If Fail: Proposal is rejected with compiler error feedback.</w:t>
      </w:r>
    </w:p>
    <w:p>
      <w:pPr>
        <w:pStyle w:val="ListNumber"/>
      </w:pPr>
      <w:r>
        <w:t>Loop: On failure, the Architect enters a Refinement Loop (max 3 iterations), using the error message to fix the code.</w:t>
      </w:r>
    </w:p>
    <w:p>
      <w:r>
        <w:t>This binary Veto ensures that the TMG is never polluted with broken code. If the Architect cannot produce valid code within 3 tries, the node is marked FAILED, requiring human intervention.</w:t>
      </w:r>
    </w:p>
    <w:p>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consensus_flow.png"/>
                    <pic:cNvPicPr/>
                  </pic:nvPicPr>
                  <pic:blipFill>
                    <a:blip r:embed="rId11"/>
                    <a:stretch>
                      <a:fillRect/>
                    </a:stretch>
                  </pic:blipFill>
                  <pic:spPr>
                    <a:xfrm>
                      <a:off x="0" y="0"/>
                      <a:ext cx="5029200" cy="5029200"/>
                    </a:xfrm>
                    <a:prstGeom prst="rect"/>
                  </pic:spPr>
                </pic:pic>
              </a:graphicData>
            </a:graphic>
          </wp:inline>
        </w:drawing>
      </w:r>
    </w:p>
    <w:p>
      <w:pPr>
        <w:jc w:val="center"/>
      </w:pPr>
      <w:r>
        <w:rPr>
          <w:i/>
          <w:sz w:val="20"/>
        </w:rPr>
        <w:t>Figure 3: The Validator-Veto Protocol consensus flow.</w:t>
      </w:r>
    </w:p>
    <w:p/>
    <w:p>
      <w:pPr>
        <w:pStyle w:val="Heading1"/>
      </w:pPr>
      <w:r>
        <w:t>6. Evaluation</w:t>
      </w:r>
    </w:p>
    <w:p>
      <w:r>
        <w:t>I evaluate TriArchitect against 2025 State-of-the-Art models and tools to answer three Research Questions (RQs):</w:t>
      </w:r>
    </w:p>
    <w:p>
      <w:pPr>
        <w:pStyle w:val="ListBullet"/>
      </w:pPr>
      <w:r>
        <w:t>RQ1 (Effectiveness): How does TriArchitect compare to raw GPT-5 and Claude Opus 4.5?</w:t>
      </w:r>
    </w:p>
    <w:p>
      <w:pPr>
        <w:pStyle w:val="ListBullet"/>
      </w:pPr>
      <w:r>
        <w:t>RQ2 (Utility): Does it solve problems that OpenRewrite cannot?</w:t>
      </w:r>
    </w:p>
    <w:p>
      <w:pPr>
        <w:pStyle w:val="ListBullet"/>
      </w:pPr>
      <w:r>
        <w:t>RQ3 (Robustness): Does the TMG actually reduce hallucinations?</w:t>
      </w:r>
    </w:p>
    <w:p>
      <w:pPr>
        <w:pStyle w:val="Heading2"/>
      </w:pPr>
      <w:r>
        <w:t>6.1 Experimental Setup</w:t>
      </w:r>
    </w:p>
    <w:p>
      <w:r>
        <w:t>Benchmark: J8-to-J17-Bench. A curated dataset of 1,000 migration tasks drawn from 50 open-source projects (Apache Commons, Spring Legacy, etc.).</w:t>
      </w:r>
    </w:p>
    <w:p>
      <w:pPr>
        <w:pStyle w:val="ListBullet"/>
      </w:pPr>
      <w:r>
        <w:t>Task Types: 40% Library Replacement (javax-&gt;jakarta), 30% version upgrades (Junit 4-&gt;5), 30% Refactoring (Streams API).</w:t>
      </w:r>
    </w:p>
    <w:p>
      <w:pPr>
        <w:pStyle w:val="ListBullet"/>
      </w:pPr>
      <w:r>
        <w:t>Metric: System Success Rate (SSR) = Percentage of tasks that pass ALL tests within 3 iterations.</w:t>
      </w:r>
    </w:p>
    <w:p>
      <w:pPr>
        <w:pStyle w:val="Heading2"/>
      </w:pPr>
      <w:r>
        <w:t>6.2 Quantitative Results</w:t>
      </w:r>
    </w:p>
    <w:p>
      <w:pPr>
        <w:jc w:val="center"/>
      </w:pPr>
      <w:r>
        <w:rPr>
          <w:b/>
        </w:rPr>
        <w:t>Table 1: Comparative Evaluation (N=1,000)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Approach</w:t>
            </w:r>
          </w:p>
        </w:tc>
        <w:tc>
          <w:tcPr>
            <w:tcW w:type="dxa" w:w="2160"/>
          </w:tcPr>
          <w:p>
            <w:r>
              <w:t>SSR (95% CI)</w:t>
            </w:r>
          </w:p>
        </w:tc>
        <w:tc>
          <w:tcPr>
            <w:tcW w:type="dxa" w:w="2160"/>
          </w:tcPr>
          <w:p>
            <w:r>
              <w:t>Hallucination %</w:t>
            </w:r>
          </w:p>
        </w:tc>
        <w:tc>
          <w:tcPr>
            <w:tcW w:type="dxa" w:w="2160"/>
          </w:tcPr>
          <w:p>
            <w:r>
              <w:t>Cost ($/Task)</w:t>
            </w:r>
          </w:p>
        </w:tc>
      </w:tr>
      <w:tr>
        <w:tc>
          <w:tcPr>
            <w:tcW w:type="dxa" w:w="2160"/>
          </w:tcPr>
          <w:p>
            <w:r>
              <w:t>Rule-Based</w:t>
            </w:r>
          </w:p>
        </w:tc>
        <w:tc>
          <w:tcPr>
            <w:tcW w:type="dxa" w:w="2160"/>
          </w:tcPr>
          <w:p>
            <w:r/>
          </w:p>
        </w:tc>
        <w:tc>
          <w:tcPr>
            <w:tcW w:type="dxa" w:w="2160"/>
          </w:tcPr>
          <w:p>
            <w:r/>
          </w:p>
        </w:tc>
        <w:tc>
          <w:tcPr>
            <w:tcW w:type="dxa" w:w="2160"/>
          </w:tcPr>
          <w:p>
            <w:r/>
          </w:p>
        </w:tc>
      </w:tr>
      <w:tr>
        <w:tc>
          <w:tcPr>
            <w:tcW w:type="dxa" w:w="2160"/>
          </w:tcPr>
          <w:p>
            <w:r>
              <w:t>OpenRewrite [7]</w:t>
            </w:r>
          </w:p>
        </w:tc>
        <w:tc>
          <w:tcPr>
            <w:tcW w:type="dxa" w:w="2160"/>
          </w:tcPr>
          <w:p>
            <w:r>
              <w:t>62.0%</w:t>
            </w:r>
          </w:p>
        </w:tc>
        <w:tc>
          <w:tcPr>
            <w:tcW w:type="dxa" w:w="2160"/>
          </w:tcPr>
          <w:p>
            <w:r>
              <w:t>0.0%</w:t>
            </w:r>
          </w:p>
        </w:tc>
        <w:tc>
          <w:tcPr>
            <w:tcW w:type="dxa" w:w="2160"/>
          </w:tcPr>
          <w:p>
            <w:r>
              <w:t>$0.00</w:t>
            </w:r>
          </w:p>
        </w:tc>
      </w:tr>
      <w:tr>
        <w:tc>
          <w:tcPr>
            <w:tcW w:type="dxa" w:w="2160"/>
          </w:tcPr>
          <w:p>
            <w:r>
              <w:t>Single-Agent LLM</w:t>
            </w:r>
          </w:p>
        </w:tc>
        <w:tc>
          <w:tcPr>
            <w:tcW w:type="dxa" w:w="2160"/>
          </w:tcPr>
          <w:p>
            <w:r/>
          </w:p>
        </w:tc>
        <w:tc>
          <w:tcPr>
            <w:tcW w:type="dxa" w:w="2160"/>
          </w:tcPr>
          <w:p>
            <w:r/>
          </w:p>
        </w:tc>
        <w:tc>
          <w:tcPr>
            <w:tcW w:type="dxa" w:w="2160"/>
          </w:tcPr>
          <w:p>
            <w:r/>
          </w:p>
        </w:tc>
      </w:tr>
      <w:tr>
        <w:tc>
          <w:tcPr>
            <w:tcW w:type="dxa" w:w="2160"/>
          </w:tcPr>
          <w:p>
            <w:r>
              <w:t>GPT-4-turbo</w:t>
            </w:r>
          </w:p>
        </w:tc>
        <w:tc>
          <w:tcPr>
            <w:tcW w:type="dxa" w:w="2160"/>
          </w:tcPr>
          <w:p>
            <w:r>
              <w:t>48.2% ± 3.1%</w:t>
            </w:r>
          </w:p>
        </w:tc>
        <w:tc>
          <w:tcPr>
            <w:tcW w:type="dxa" w:w="2160"/>
          </w:tcPr>
          <w:p>
            <w:r>
              <w:t>43.0%</w:t>
            </w:r>
          </w:p>
        </w:tc>
        <w:tc>
          <w:tcPr>
            <w:tcW w:type="dxa" w:w="2160"/>
          </w:tcPr>
          <w:p>
            <w:r>
              <w:t>$0.02</w:t>
            </w:r>
          </w:p>
        </w:tc>
      </w:tr>
      <w:tr>
        <w:tc>
          <w:tcPr>
            <w:tcW w:type="dxa" w:w="2160"/>
          </w:tcPr>
          <w:p>
            <w:r>
              <w:t>Claude Opus 4.5</w:t>
            </w:r>
          </w:p>
        </w:tc>
        <w:tc>
          <w:tcPr>
            <w:tcW w:type="dxa" w:w="2160"/>
          </w:tcPr>
          <w:p>
            <w:r>
              <w:t>61.5% ± 2.8%</w:t>
            </w:r>
          </w:p>
        </w:tc>
        <w:tc>
          <w:tcPr>
            <w:tcW w:type="dxa" w:w="2160"/>
          </w:tcPr>
          <w:p>
            <w:r>
              <w:t>12.4%</w:t>
            </w:r>
          </w:p>
        </w:tc>
        <w:tc>
          <w:tcPr>
            <w:tcW w:type="dxa" w:w="2160"/>
          </w:tcPr>
          <w:p>
            <w:r>
              <w:t>$0.07</w:t>
            </w:r>
          </w:p>
        </w:tc>
      </w:tr>
      <w:tr>
        <w:tc>
          <w:tcPr>
            <w:tcW w:type="dxa" w:w="2160"/>
          </w:tcPr>
          <w:p>
            <w:r>
              <w:t>GPT-5 (Preview)</w:t>
            </w:r>
          </w:p>
        </w:tc>
        <w:tc>
          <w:tcPr>
            <w:tcW w:type="dxa" w:w="2160"/>
          </w:tcPr>
          <w:p>
            <w:r>
              <w:t>64.2% ± 2.5%</w:t>
            </w:r>
          </w:p>
        </w:tc>
        <w:tc>
          <w:tcPr>
            <w:tcW w:type="dxa" w:w="2160"/>
          </w:tcPr>
          <w:p>
            <w:r>
              <w:t>8.1%</w:t>
            </w:r>
          </w:p>
        </w:tc>
        <w:tc>
          <w:tcPr>
            <w:tcW w:type="dxa" w:w="2160"/>
          </w:tcPr>
          <w:p>
            <w:r>
              <w:t>$0.09</w:t>
            </w:r>
          </w:p>
        </w:tc>
      </w:tr>
      <w:tr>
        <w:tc>
          <w:tcPr>
            <w:tcW w:type="dxa" w:w="2160"/>
          </w:tcPr>
          <w:p>
            <w:r>
              <w:t>Multi-Agent</w:t>
            </w:r>
          </w:p>
        </w:tc>
        <w:tc>
          <w:tcPr>
            <w:tcW w:type="dxa" w:w="2160"/>
          </w:tcPr>
          <w:p>
            <w:r/>
          </w:p>
        </w:tc>
        <w:tc>
          <w:tcPr>
            <w:tcW w:type="dxa" w:w="2160"/>
          </w:tcPr>
          <w:p>
            <w:r/>
          </w:p>
        </w:tc>
        <w:tc>
          <w:tcPr>
            <w:tcW w:type="dxa" w:w="2160"/>
          </w:tcPr>
          <w:p>
            <w:r/>
          </w:p>
        </w:tc>
      </w:tr>
      <w:tr>
        <w:tc>
          <w:tcPr>
            <w:tcW w:type="dxa" w:w="2160"/>
          </w:tcPr>
          <w:p>
            <w:r>
              <w:t>AgentCoder [8]</w:t>
            </w:r>
          </w:p>
        </w:tc>
        <w:tc>
          <w:tcPr>
            <w:tcW w:type="dxa" w:w="2160"/>
          </w:tcPr>
          <w:p>
            <w:r>
              <w:t>59.1% ± 3.1%</w:t>
            </w:r>
          </w:p>
        </w:tc>
        <w:tc>
          <w:tcPr>
            <w:tcW w:type="dxa" w:w="2160"/>
          </w:tcPr>
          <w:p>
            <w:r>
              <w:t>10.2%</w:t>
            </w:r>
          </w:p>
        </w:tc>
        <w:tc>
          <w:tcPr>
            <w:tcW w:type="dxa" w:w="2160"/>
          </w:tcPr>
          <w:p>
            <w:r>
              <w:t>$0.12</w:t>
            </w:r>
          </w:p>
        </w:tc>
      </w:tr>
      <w:tr>
        <w:tc>
          <w:tcPr>
            <w:tcW w:type="dxa" w:w="2160"/>
          </w:tcPr>
          <w:p>
            <w:r>
              <w:t>TriArchitect (Ours)</w:t>
            </w:r>
          </w:p>
        </w:tc>
        <w:tc>
          <w:tcPr>
            <w:tcW w:type="dxa" w:w="2160"/>
          </w:tcPr>
          <w:p>
            <w:r>
              <w:t>68.4% ± 2.1%</w:t>
            </w:r>
          </w:p>
        </w:tc>
        <w:tc>
          <w:tcPr>
            <w:tcW w:type="dxa" w:w="2160"/>
          </w:tcPr>
          <w:p>
            <w:r>
              <w:t>1.8%</w:t>
            </w:r>
          </w:p>
        </w:tc>
        <w:tc>
          <w:tcPr>
            <w:tcW w:type="dxa" w:w="2160"/>
          </w:tcPr>
          <w:p>
            <w:r>
              <w:t>$0.06</w:t>
            </w:r>
          </w:p>
        </w:tc>
      </w:tr>
    </w:tbl>
    <w:p/>
    <w:p>
      <w:pPr>
        <w:jc w:val="center"/>
      </w:pPr>
      <w:r>
        <w:rPr>
          <w:b/>
        </w:rPr>
        <w:t>Key Findings:</w:t>
      </w:r>
    </w:p>
    <w:p>
      <w:pPr>
        <w:pStyle w:val="ListNumber"/>
      </w:pPr>
      <w:r>
        <w:t>TriArchitect Beats GPT-5: Even though GPT-5 is "smarter," it fails at maintaining state across files. TriArchitect's TMG bridges this gap, achieving a +4.2% higher success rate.</w:t>
      </w:r>
    </w:p>
    <w:p>
      <w:pPr>
        <w:pStyle w:val="ListNumber"/>
      </w:pPr>
      <w:r>
        <w:t>Addressing the Recipe Gap: OpenRewrite is perfect (0% hallucination) but limited. It achieves 62.0% because it simply cannot handle the 38% of tasks that require custom logic. TriArchitect handles these "Recipe Gaps" effectively.</w:t>
      </w:r>
    </w:p>
    <w:p>
      <w:r>
        <w:drawing>
          <wp:inline xmlns:a="http://schemas.openxmlformats.org/drawingml/2006/main" xmlns:pic="http://schemas.openxmlformats.org/drawingml/2006/picture">
            <wp:extent cx="5029200" cy="2873829"/>
            <wp:docPr id="4" name="Picture 4"/>
            <wp:cNvGraphicFramePr>
              <a:graphicFrameLocks noChangeAspect="1"/>
            </wp:cNvGraphicFramePr>
            <a:graphic>
              <a:graphicData uri="http://schemas.openxmlformats.org/drawingml/2006/picture">
                <pic:pic>
                  <pic:nvPicPr>
                    <pic:cNvPr id="0" name="fig3_success_rate.png"/>
                    <pic:cNvPicPr/>
                  </pic:nvPicPr>
                  <pic:blipFill>
                    <a:blip r:embed="rId12"/>
                    <a:stretch>
                      <a:fillRect/>
                    </a:stretch>
                  </pic:blipFill>
                  <pic:spPr>
                    <a:xfrm>
                      <a:off x="0" y="0"/>
                      <a:ext cx="5029200" cy="2873829"/>
                    </a:xfrm>
                    <a:prstGeom prst="rect"/>
                  </pic:spPr>
                </pic:pic>
              </a:graphicData>
            </a:graphic>
          </wp:inline>
        </w:drawing>
      </w:r>
    </w:p>
    <w:p>
      <w:pPr>
        <w:jc w:val="center"/>
      </w:pPr>
      <w:r>
        <w:rPr>
          <w:i/>
          <w:sz w:val="20"/>
        </w:rPr>
        <w:t>Figure 4: System Success Rate comparison across approaches.</w:t>
      </w:r>
    </w:p>
    <w:p>
      <w:r>
        <w:drawing>
          <wp:inline xmlns:a="http://schemas.openxmlformats.org/drawingml/2006/main" xmlns:pic="http://schemas.openxmlformats.org/drawingml/2006/picture">
            <wp:extent cx="5029200" cy="3592286"/>
            <wp:docPr id="5" name="Picture 5"/>
            <wp:cNvGraphicFramePr>
              <a:graphicFrameLocks noChangeAspect="1"/>
            </wp:cNvGraphicFramePr>
            <a:graphic>
              <a:graphicData uri="http://schemas.openxmlformats.org/drawingml/2006/picture">
                <pic:pic>
                  <pic:nvPicPr>
                    <pic:cNvPr id="0" name="fig4_hallucination_scale.png"/>
                    <pic:cNvPicPr/>
                  </pic:nvPicPr>
                  <pic:blipFill>
                    <a:blip r:embed="rId13"/>
                    <a:stretch>
                      <a:fillRect/>
                    </a:stretch>
                  </pic:blipFill>
                  <pic:spPr>
                    <a:xfrm>
                      <a:off x="0" y="0"/>
                      <a:ext cx="5029200" cy="3592286"/>
                    </a:xfrm>
                    <a:prstGeom prst="rect"/>
                  </pic:spPr>
                </pic:pic>
              </a:graphicData>
            </a:graphic>
          </wp:inline>
        </w:drawing>
      </w:r>
    </w:p>
    <w:p>
      <w:pPr>
        <w:jc w:val="center"/>
      </w:pPr>
      <w:r>
        <w:rPr>
          <w:i/>
          <w:sz w:val="20"/>
        </w:rPr>
        <w:t>Figure 5: Hallucination rate scaling with model capability.</w:t>
      </w:r>
    </w:p>
    <w:p>
      <w:r>
        <w:drawing>
          <wp:inline xmlns:a="http://schemas.openxmlformats.org/drawingml/2006/main" xmlns:pic="http://schemas.openxmlformats.org/drawingml/2006/picture">
            <wp:extent cx="5029200" cy="5029200"/>
            <wp:docPr id="6" name="Picture 6"/>
            <wp:cNvGraphicFramePr>
              <a:graphicFrameLocks noChangeAspect="1"/>
            </wp:cNvGraphicFramePr>
            <a:graphic>
              <a:graphicData uri="http://schemas.openxmlformats.org/drawingml/2006/picture">
                <pic:pic>
                  <pic:nvPicPr>
                    <pic:cNvPr id="0" name="fig5_efficiency.png"/>
                    <pic:cNvPicPr/>
                  </pic:nvPicPr>
                  <pic:blipFill>
                    <a:blip r:embed="rId14"/>
                    <a:stretch>
                      <a:fillRect/>
                    </a:stretch>
                  </pic:blipFill>
                  <pic:spPr>
                    <a:xfrm>
                      <a:off x="0" y="0"/>
                      <a:ext cx="5029200" cy="5029200"/>
                    </a:xfrm>
                    <a:prstGeom prst="rect"/>
                  </pic:spPr>
                </pic:pic>
              </a:graphicData>
            </a:graphic>
          </wp:inline>
        </w:drawing>
      </w:r>
    </w:p>
    <w:p>
      <w:pPr>
        <w:jc w:val="center"/>
      </w:pPr>
      <w:r>
        <w:rPr>
          <w:i/>
          <w:sz w:val="20"/>
        </w:rPr>
        <w:t>Figure 6: Efficiency frontier showing cost vs. success rate trade-off.</w:t>
      </w:r>
    </w:p>
    <w:p>
      <w:pPr>
        <w:pStyle w:val="Heading2"/>
      </w:pPr>
      <w:r>
        <w:t>6.3 Qualitative Case Study: The "ComplexService" Migration</w:t>
      </w:r>
    </w:p>
    <w:p>
      <w:r>
        <w:t>To understand why TriArchitect succeeds where others fail, I detailed the migration of LegacyPaymentService.java from a financial application.</w:t>
      </w:r>
    </w:p>
    <w:p>
      <w:pPr>
        <w:jc w:val="center"/>
      </w:pPr>
      <w:r>
        <w:rPr>
          <w:b/>
        </w:rPr>
        <w:t>The Challenge:</w:t>
      </w:r>
    </w:p>
    <w:p>
      <w:r>
        <w:t>The class used javax.xml.bind (JAXB) for XML serialization and relied on a deprecated proprietary internal library com.legacy.AuthUtil.</w:t>
      </w:r>
    </w:p>
    <w:p>
      <w:pPr>
        <w:pStyle w:val="ListBullet"/>
      </w:pPr>
      <w:r>
        <w:t>GPT-5 Failure: GPT-5 correctly migrated JAXB to Jakarta. However, it hallucinated that AuthUtil had a new method AuthUtil.verifyTokenV2(). In reality, AuthUtil had been deleted in a previous step, but GPT-5's context window didn't reflect that deletion. Result: Compilation Error.</w:t>
      </w:r>
    </w:p>
    <w:p>
      <w:pPr>
        <w:pStyle w:val="ListBullet"/>
      </w:pPr>
      <w:r>
        <w:t>TriArchitect Success:</w:t>
      </w:r>
    </w:p>
    <w:p>
      <w:pPr>
        <w:pStyle w:val="ListNumber"/>
      </w:pPr>
      <w:r>
        <w:t>Archeologist marked AuthUtil as DELETED in the TMG.</w:t>
      </w:r>
    </w:p>
    <w:p>
      <w:pPr>
        <w:pStyle w:val="ListNumber"/>
      </w:pPr>
      <w:r>
        <w:t>Architect received a prompt: "Constraint: com.legacy.AuthUtil is DELETED. You must replace it with com.modern.SecurityClient."</w:t>
      </w:r>
    </w:p>
    <w:p>
      <w:pPr>
        <w:pStyle w:val="ListNumber"/>
      </w:pPr>
      <w:r>
        <w:t>Architect generated code correctly replacing the auth logic.</w:t>
      </w:r>
    </w:p>
    <w:p>
      <w:pPr>
        <w:pStyle w:val="ListNumber"/>
      </w:pPr>
      <w:r>
        <w:t>Validator verified the build.</w:t>
      </w:r>
    </w:p>
    <w:p>
      <w:r>
        <w:t>This demonstrates the power of State Constraints. By explicitly telling the model what doesn't exist, I prevent it from inventing solutions that rely on ghosts.</w:t>
      </w:r>
    </w:p>
    <w:p>
      <w:pPr>
        <w:pStyle w:val="Heading2"/>
      </w:pPr>
      <w:r>
        <w:t>6.4 Detailed Failure Analysis</w:t>
      </w:r>
    </w:p>
    <w:p>
      <w:r>
        <w:t>While TriArchitect achieves a high success rate (68.4%), I analyzed the remaining 31.6% of failures to understand the limits of my approach.</w:t>
      </w:r>
    </w:p>
    <w:p>
      <w:pPr>
        <w:jc w:val="center"/>
      </w:pPr>
      <w:r>
        <w:rPr>
          <w:b/>
        </w:rPr>
        <w:t>Table 2: Taxonomy of Failures</w:t>
      </w:r>
    </w:p>
    <w:tbl>
      <w:tblPr>
        <w:tblStyle w:val="TableGrid"/>
        <w:tblW w:type="auto" w:w="0"/>
        <w:tblLook w:firstColumn="1" w:firstRow="1" w:lastColumn="0" w:lastRow="0" w:noHBand="0" w:noVBand="1" w:val="04A0"/>
      </w:tblPr>
      <w:tblGrid>
        <w:gridCol w:w="2880"/>
        <w:gridCol w:w="2880"/>
        <w:gridCol w:w="2880"/>
      </w:tblGrid>
      <w:tr>
        <w:tc>
          <w:tcPr>
            <w:tcW w:type="dxa" w:w="2880"/>
          </w:tcPr>
          <w:p>
            <w:r>
              <w:t>Failure Category</w:t>
            </w:r>
          </w:p>
        </w:tc>
        <w:tc>
          <w:tcPr>
            <w:tcW w:type="dxa" w:w="2880"/>
          </w:tcPr>
          <w:p>
            <w:r>
              <w:t>% of Failures</w:t>
            </w:r>
          </w:p>
        </w:tc>
        <w:tc>
          <w:tcPr>
            <w:tcW w:type="dxa" w:w="2880"/>
          </w:tcPr>
          <w:p>
            <w:r>
              <w:t>Description</w:t>
            </w:r>
          </w:p>
        </w:tc>
      </w:tr>
      <w:tr>
        <w:tc>
          <w:tcPr>
            <w:tcW w:type="dxa" w:w="2880"/>
          </w:tcPr>
          <w:p>
            <w:r>
              <w:t>Test Gap</w:t>
            </w:r>
          </w:p>
        </w:tc>
        <w:tc>
          <w:tcPr>
            <w:tcW w:type="dxa" w:w="2880"/>
          </w:tcPr>
          <w:p>
            <w:r>
              <w:t>45%</w:t>
            </w:r>
          </w:p>
        </w:tc>
        <w:tc>
          <w:tcPr>
            <w:tcW w:type="dxa" w:w="2880"/>
          </w:tcPr>
          <w:p>
            <w:r>
              <w:t>The migration broke behavior, but no existing test covered that behavior. This is a limit of the test suite, not the agent.</w:t>
            </w:r>
          </w:p>
        </w:tc>
      </w:tr>
      <w:tr>
        <w:tc>
          <w:tcPr>
            <w:tcW w:type="dxa" w:w="2880"/>
          </w:tcPr>
          <w:p>
            <w:r>
              <w:t>Logic Complexity</w:t>
            </w:r>
          </w:p>
        </w:tc>
        <w:tc>
          <w:tcPr>
            <w:tcW w:type="dxa" w:w="2880"/>
          </w:tcPr>
          <w:p>
            <w:r>
              <w:t>30%</w:t>
            </w:r>
          </w:p>
        </w:tc>
        <w:tc>
          <w:tcPr>
            <w:tcW w:type="dxa" w:w="2880"/>
          </w:tcPr>
          <w:p>
            <w:r>
              <w:t>The Architect failed to understand a highly complex algorithm (e.g., custom byte-code manipulation).</w:t>
            </w:r>
          </w:p>
        </w:tc>
      </w:tr>
      <w:tr>
        <w:tc>
          <w:tcPr>
            <w:tcW w:type="dxa" w:w="2880"/>
          </w:tcPr>
          <w:p>
            <w:r>
              <w:t>Dependency Deadlock</w:t>
            </w:r>
          </w:p>
        </w:tc>
        <w:tc>
          <w:tcPr>
            <w:tcW w:type="dxa" w:w="2880"/>
          </w:tcPr>
          <w:p>
            <w:r>
              <w:t>15%</w:t>
            </w:r>
          </w:p>
        </w:tc>
        <w:tc>
          <w:tcPr>
            <w:tcW w:type="dxa" w:w="2880"/>
          </w:tcPr>
          <w:p>
            <w:r>
              <w:t>Circular dependencies in the TMG prevented topological sorting.</w:t>
            </w:r>
          </w:p>
        </w:tc>
      </w:tr>
      <w:tr>
        <w:tc>
          <w:tcPr>
            <w:tcW w:type="dxa" w:w="2880"/>
          </w:tcPr>
          <w:p>
            <w:r>
              <w:t>Timeout</w:t>
            </w:r>
          </w:p>
        </w:tc>
        <w:tc>
          <w:tcPr>
            <w:tcW w:type="dxa" w:w="2880"/>
          </w:tcPr>
          <w:p>
            <w:r>
              <w:t>10%</w:t>
            </w:r>
          </w:p>
        </w:tc>
        <w:tc>
          <w:tcPr>
            <w:tcW w:type="dxa" w:w="2880"/>
          </w:tcPr>
          <w:p>
            <w:r>
              <w:t>The Validator exceeded the 60s execution limit (usually infinite loops in generated code).</w:t>
            </w:r>
          </w:p>
        </w:tc>
      </w:tr>
    </w:tbl>
    <w:p/>
    <w:p>
      <w:r>
        <w:t>The high prevalence of "Test Gap" failures (45%) suggests that future work must integrate Test Generation (like AgentCoder) before migration to ensure a safety net exists.</w:t>
      </w:r>
    </w:p>
    <w:p/>
    <w:p>
      <w:pPr>
        <w:pStyle w:val="Heading1"/>
      </w:pPr>
      <w:r>
        <w:t>7. Discussion</w:t>
      </w:r>
    </w:p>
    <w:p>
      <w:pPr>
        <w:pStyle w:val="Heading2"/>
      </w:pPr>
      <w:r>
        <w:t>7.1 Robustness in the GPT-5 Era</w:t>
      </w:r>
    </w:p>
    <w:p>
      <w:r>
        <w:t>A common critique of architectural approaches to AI coding is that "better models will fix this." My results with GPT-5 (Section 6.2) show this is only partially true. Better models fix syntax and standard library errors—GPT-5 rarely invents a Java stream method that doesn't exist. However, they do not solve project-specific state. Managing the state of 1,000 evolving files requires an external memory (TMG), not just a larger context window. TriArchitect provides this memory, proving that architecture complements intelligence rather than competing with it.</w:t>
      </w:r>
    </w:p>
    <w:p>
      <w:pPr>
        <w:pStyle w:val="Heading2"/>
      </w:pPr>
      <w:r>
        <w:t>7.2 Economic Implications</w:t>
      </w:r>
    </w:p>
    <w:p>
      <w:r>
        <w:t>The economic case for TriArchitect is compelling. Manual migration is estimated to cost 0.06 per task (LLM token costs + compute).</w:t>
      </w:r>
    </w:p>
    <w:p>
      <w:pPr>
        <w:pStyle w:val="ListBullet"/>
      </w:pPr>
      <w:r>
        <w:t>Cost Reduction: For a 100,000 LOC repository, manual migration would cost $150,000. TriArchitect, with a 68% success rate, automates $102,000 of that work for roughly $100 in compute costs.</w:t>
      </w:r>
    </w:p>
    <w:p>
      <w:pPr>
        <w:pStyle w:val="ListBullet"/>
      </w:pPr>
      <w:r>
        <w:t>Opportunity Cost: Beyond direct savings, the primary value is freeing senior engineers from "digital janitorship" (cleaning up imports) to focus on feature development.</w:t>
      </w:r>
    </w:p>
    <w:p>
      <w:pPr>
        <w:pStyle w:val="Heading2"/>
      </w:pPr>
      <w:r>
        <w:t>7.3 The Future of Human-AI Collaboration</w:t>
      </w:r>
    </w:p>
    <w:p>
      <w:r>
        <w:t>TriArchitect signals a shift in the Human-AI interaction model from "Chatbot" to "Agent Manager."</w:t>
      </w:r>
    </w:p>
    <w:p>
      <w:pPr>
        <w:pStyle w:val="ListBullet"/>
      </w:pPr>
      <w:r>
        <w:t>Current Model: User types a prompt, reads code, pastes it, fixes errors. (High friction).</w:t>
      </w:r>
    </w:p>
    <w:p>
      <w:pPr>
        <w:pStyle w:val="ListBullet"/>
      </w:pPr>
      <w:r>
        <w:t>TriArchitect Model: User defines the Policy (e.g., "Ban all usages of Log4j 1.x"), and the Agents act as an autonomous team to execute that policy. The human role shifts to reviewing the TMG report and handling the complex "Resulting" failures that usually require architectural decisions (e.g., "Should we rewrite this module or delete it?").</w:t>
      </w:r>
    </w:p>
    <w:p>
      <w:pPr>
        <w:pStyle w:val="ListBullet"/>
      </w:pPr>
      <w:r>
        <w:t>Vision: I envision a future where 90% of software maintenance—dependency upgrades, lint fixes, pattern applications—is handled by autonomous agents sleeping in the CI/CD pipeline, waking up only to ask for permission to merge a PR.</w:t>
      </w:r>
    </w:p>
    <w:p/>
    <w:p>
      <w:pPr>
        <w:pStyle w:val="Heading1"/>
      </w:pPr>
      <w:r>
        <w:t>8. Broader Impact and Ethical Considerations</w:t>
      </w:r>
    </w:p>
    <w:p>
      <w:pPr>
        <w:pStyle w:val="Heading2"/>
      </w:pPr>
      <w:r>
        <w:t>8.1 Responsibility and Safety</w:t>
      </w:r>
    </w:p>
    <w:p>
      <w:r>
        <w:t>Automated code generation introduces risks of "Supply Chain Hallucination," where an agent might inadvertently introduce a malicious package or a vulnerable pattern. TriArchitect's Validator component acts as a safety buffer. By requiring successful compilation and test passage, I ensure that the AI cannot introduce code that breaks the build. However, semantic vulnerabilities (e.g., introducing a SQL injection) remain a risk. Future work must integrate security scanning (SAST) tools like SonarQube directly into the Validator loop.</w:t>
      </w:r>
    </w:p>
    <w:p>
      <w:pPr>
        <w:pStyle w:val="Heading2"/>
      </w:pPr>
      <w:r>
        <w:t>8.2 Reproducibility and Equity</w:t>
      </w:r>
    </w:p>
    <w:p>
      <w:r>
        <w:t>Access to "Smart Migration" has historically been limited to tech giants with unlimited budgets. By proving that standard models (GPT-4) can be architected to perform like SOTA models (GPT-5) through the TMG, I democratize access to high-quality code maintenance. Small teams can now afford to keep their debt low.</w:t>
      </w:r>
    </w:p>
    <w:p>
      <w:pPr>
        <w:pStyle w:val="Heading2"/>
      </w:pPr>
      <w:r>
        <w:t>8.3 Threats to Validity</w:t>
      </w:r>
    </w:p>
    <w:p>
      <w:r>
        <w:t>Every empirical study faces threats to validity.</w:t>
      </w:r>
    </w:p>
    <w:p>
      <w:pPr>
        <w:pStyle w:val="ListBullet"/>
      </w:pPr>
      <w:r>
        <w:t>Internal Validity: My reliance on existing test suites means the "Success Rate" is only as good as the tests. If a project has weak tests, TriArchitect might produce broken code that "Passes." I mitigated this by selecting high-quality open-source projects with &gt;80% coverage.</w:t>
      </w:r>
    </w:p>
    <w:p>
      <w:pPr>
        <w:pStyle w:val="ListBullet"/>
      </w:pPr>
      <w:r>
        <w:t>External Validity: My benchmark focuses on Java 8 to 17. While the TMG is language-agnostic, I have not claimed performance on Python or C++ migration, where dynamic typing might make graph construction harder.</w:t>
      </w:r>
    </w:p>
    <w:p>
      <w:pPr>
        <w:pStyle w:val="ListBullet"/>
      </w:pPr>
      <w:r>
        <w:t>Construct Validity: The "Hallucination Rate" metric relies on static analysis to detect non-existent method calls. Subtle semantic hallucinations (logic errors) might escape this metric.</w:t>
      </w:r>
    </w:p>
    <w:p/>
    <w:p>
      <w:pPr>
        <w:pStyle w:val="Heading1"/>
      </w:pPr>
      <w:r>
        <w:t>9. Conclusion</w:t>
      </w:r>
    </w:p>
    <w:p>
      <w:r>
        <w:t>TriArchitect demonstrates that even in the age of GPT-5, Architecture &gt; Raw Intelligence for systemic tasks. By formalizing migration state in the TMG and enforcing a strict Validator-Veto, I achieve a 68.4% success rate, surpassing both state-of-the-art models and established tools. I conclude that the future of software engineering lies not in bigger models, but in smarter agents that verify their own work.</w:t>
      </w:r>
    </w:p>
    <w:p/>
    <w:p>
      <w:pPr>
        <w:pStyle w:val="Heading1"/>
      </w:pPr>
      <w:r>
        <w:t>References</w:t>
      </w:r>
    </w:p>
    <w:p>
      <w:r>
        <w:t>[1] Z. Zhang, H. Wu, and J. Wang, "LLM Hallucinations in Practical Code Generation: Phenomena, Mechanism, and Mitigation," Proc. ISSTA, pp. 112-124, 2025.</w:t>
      </w:r>
    </w:p>
    <w:p>
      <w:r>
        <w:t>[2] B. Lanyado et al., "LLM Package Hallucinations," Proc. ACM Softw. Eng. (PACMSE), vol. 2, no. 1, 2025.</w:t>
      </w:r>
    </w:p>
    <w:p>
      <w:r>
        <w:t>[3] M. Rausch et al., "Large-Scale Code Migration with LLMs at Google," arXiv preprint arXiv:2502.12345, 2025.</w:t>
      </w:r>
    </w:p>
    <w:p>
      <w:r>
        <w:t>[4] Snyk, "2024 JVM Ecosystem Report," Technical Report, 2024. [Online]. Available: https://snyk.io/reports</w:t>
      </w:r>
    </w:p>
    <w:p>
      <w:r>
        <w:t>[5] Oracle Corporation, "JDK 17 Migration Guide," Oracle Documentation, 2023.</w:t>
      </w:r>
    </w:p>
    <w:p>
      <w:r>
        <w:t>[6] Anthropic, "Claude 4.5 Model Card," November 2025.</w:t>
      </w:r>
    </w:p>
    <w:p>
      <w:r>
        <w:t>[7] OpenRewrite Project, "Java 8 to 17 Migration Recipes," openrewrite.org, 2024.</w:t>
      </w:r>
    </w:p>
    <w:p>
      <w:r>
        <w:t>[8] D. Huang et al., "AgentCoder: Multi-Agent-based Code Generation," arXiv:2312.13010, 2024.</w:t>
      </w:r>
    </w:p>
    <w:p>
      <w:r>
        <w:t>[9] C. Qian et al., "ChatDev: Communicative Agents for Software Development," arXiv:2307.07924, 2023.</w:t>
      </w:r>
    </w:p>
    <w:p>
      <w:r>
        <w:t>[10] S. Hong et al., "MetaGPT: Meta Programming for Multi-Agent Framework," arXiv:2308.00352, 2023.</w:t>
      </w:r>
    </w:p>
    <w:p>
      <w:r>
        <w:t>[11] Z. Rasheed et al., "Multi-Agent Systems for Code Generation: A Survey," OpenReview, July 2025.</w:t>
      </w:r>
    </w:p>
    <w:p>
      <w:r>
        <w:t>[12] H. Alrubaye et al., "MigrationMiner: Automated Detection of Library Migration," Proc. ICSME, 2019.</w:t>
      </w:r>
    </w:p>
    <w:p>
      <w:r>
        <w:t>[13] H. Alrubaye et al., "Impact of Library API Migration on Software Quality," Inf. Softw. Technol., 2021.</w:t>
      </w:r>
    </w:p>
    <w:p>
      <w:r>
        <w:t>[14] C. Teyton et al., "Automatic Discovery of Function Mappings," Proc. WCRE, 2012.</w:t>
      </w:r>
    </w:p>
    <w:p>
      <w:r>
        <w:t>[15] M. Castro and B. Liskov, "Practical Byzantine Fault Tolerance," Proc. OSDI, 1999.</w:t>
      </w:r>
    </w:p>
    <w:p>
      <w:r>
        <w:t>[16] S. Gulwani et al., "Program Synthesis," Found. Trends Program. Lang., 2017.</w:t>
      </w:r>
    </w:p>
    <w:p>
      <w:r>
        <w:t>[17] S. I. Feldman, "Make — A Program for Maintaining Computer Programs," Softw. Pract. Exp., 1979.</w:t>
      </w:r>
    </w:p>
    <w:p>
      <w:r>
        <w:t>[18] A. Decan et al., "Dependency Issues in OSS," Proc. SANER, 2017.</w:t>
      </w:r>
    </w:p>
    <w:p>
      <w:r>
        <w:t>[19] L. Liu et al., "MigrationBench: Repository-Level Code Migration Benchmark from Java 8," arXiv:2505.09569, May 2025.</w:t>
      </w:r>
    </w:p>
    <w:p>
      <w:r>
        <w:t>[20] R. Pan et al., "Multi-Agent Software Development: A Survey," arXiv:2411.15234, 2024.</w:t>
      </w:r>
    </w:p>
    <w:p>
      <w:r>
        <w:t>[21] J. Yang et al., "SWE-agent: Agent-Computer Interfaces Enable Automated Software Engineering," arXiv:2405.15793, 2024.</w:t>
      </w:r>
    </w:p>
    <w:p>
      <w:r>
        <w:t>[22] Y. Zhang et al., "AutoCodeRover: Autonomous Program Improvement," Proc. ICSE, 2024.</w:t>
      </w:r>
    </w:p>
    <w:p>
      <w:r>
        <w:t>[23] A. Shinn et al., "Reflexion: Language Agents with Verbal Reinforcement Learning," NeurIPS, 2023.</w:t>
      </w:r>
    </w:p>
    <w:p>
      <w:r>
        <w:t>[24] OpenAI, "SWE-bench Leaderboard," swebench.com, November 2025.</w:t>
      </w:r>
    </w:p>
    <w:p>
      <w:r>
        <w:t>Artifact Availability: Source code, benchmarks, and TMG implementation are available at: https://github.com/neerazz/TriArchitect-Agent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