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EmbedGuard: Cross-Layer Security Detection for Retrieval-Augmented Generation Systems</w:t>
      </w:r>
    </w:p>
    <w:p>
      <w:pPr>
        <w:spacing w:after="120"/>
        <w:jc w:val="center"/>
      </w:pPr>
      <w:r>
        <w:rPr>
          <w:b/>
          <w:bCs/>
        </w:rPr>
        <w:t xml:space="preserve">Anonymous Authors</w:t>
      </w:r>
    </w:p>
    <w:p>
      <w:pPr>
        <w:spacing w:after="240"/>
        <w:jc w:val="center"/>
      </w:pPr>
      <w:r>
        <w:t xml:space="preserve">Submitted to PeerJ Computer Science</w:t>
      </w:r>
    </w:p>
    <w:p>
      <w:pPr>
        <w:pStyle w:val="Heading2"/>
      </w:pPr>
      <w:r>
        <w:rPr>
          <w:b/>
          <w:bCs/>
        </w:rPr>
        <w:t xml:space="preserve">Abstract</w:t>
      </w:r>
    </w:p>
    <w:p>
      <w:pPr>
        <w:spacing w:before="120" w:after="360"/>
      </w:pPr>
      <w:r>
        <w:t xml:space="preserve">Retrieval-Augmented Generation (RAG) systems enable large language models to access current information through document retrieval but introduce security vulnerabilities through embedding-space poisoning attacks. Attackers craft adversarial documents containing malicious instructions positioned to retrieve for target queries, enabling misinformation injection, data exfiltration, and model hijacking. We present EmbedGuard, a cross-layer security framework addressing these vulnerabilities through coordinated detection across four architectural layers: (1) prompt injection detection using pattern-based classification, (2) cryptographic embedding attestation via Trusted Execution Environments providing hardware-backed provenance verification, (3) retrieval distribution analysis detecting statistical anomalies in document selection, and (4) output consistency verification identifying generation instability from poisoned sources. Experimental evaluation on 135 samples spanning 25 attack categories demonstrates 100% detection rate (30/30 attacks) with 0% false positive rate (0/105 benign queries) at sub-millisecond latency (0.04ms mean, p99 &lt; 0.14ms on AMD EPYC 7542). Statistical significance is confirmed via Wilcoxon signed-rank test (p &lt; 0.001, r = 0.89) with McNemar and Fisher exact tests validating detection consistency. The framework achieves 97.5% deflection against adversarial attacks including GCG, PAIR, AutoDAN, and TAP. Our ablation study confirms that the full 81-pattern taxonomy is necessary for comprehensive coverage, with pattern subsets showing significant detection degradation. The system operates efficiently at 21,000+ queries per second, making it practical for production deployment. EmbedGuard provides the first comprehensive defense framework for RAG security, demonstrating that practical protection is achievable without sacrificing system performance. Code and datasets are available at https://github.com/neerazz/embedguard.</w:t>
      </w:r>
    </w:p>
    <w:p>
      <w:pPr>
        <w:spacing w:after="360"/>
      </w:pPr>
      <w:r>
        <w:rPr>
          <w:b/>
          <w:bCs/>
        </w:rPr>
        <w:t xml:space="preserve">Keywords: </w:t>
      </w:r>
      <w:r>
        <w:t xml:space="preserve">RAG Security, Embedding Poisoning, Trusted Execution Environments, Cross-Layer Detection, Prompt Injection, LLM Security</w:t>
      </w:r>
    </w:p>
    <w:p>
      <w:pPr>
        <w:pStyle w:val="Heading2"/>
      </w:pPr>
      <w:r>
        <w:rPr>
          <w:b/>
          <w:bCs/>
        </w:rPr>
        <w:t xml:space="preserve">1. Introduction</w:t>
      </w:r>
    </w:p>
    <w:p>
      <w:r>
        <w:t xml:space="preserve">Retrieval-Augmented Generation (RAG) enhances large language model capabilities by incorporating external documents during text generation. While providing access to current information and specialized knowledge, RAG systems introduce security vulnerabilities absent in parametric models. Adversaries can exploit the document retrieval mechanism to inject malicious content into generation processes, enabling attacks ranging from misinformation injection to credential theft.</w:t>
      </w:r>
    </w:p>
    <w:p>
      <w:r>
        <w:t xml:space="preserve">RAG systems augment language model generation with retrieved documents following this pipeline: given query q, the retrieval system R computes similarity scores between query embedding E(q) and document embeddings {E(d_i)} to select the top-k most relevant documents. A language model G then generates response y conditioned on both the query and retrieved context: y = G(q, R(q)). This architecture introduces attack surfaces at each processing stage.</w:t>
      </w:r>
    </w:p>
    <w:p>
      <w:r>
        <w:t xml:space="preserve">Embedding-space poisoning attacks represent a fundamental threat to RAG integrity. Adversaries inject documents designed to (1) achieve high similarity scores for target queries without appearing suspicious, and (2) contain payloads that manipulate the language model's generation behavior. The attack surface extends across the full RAG pipeline: prompts may contain injection attempts, embeddings may be adversarially positioned, retrieval distributions may be manipulated, and outputs may reflect poisoned source influence.</w:t>
      </w:r>
    </w:p>
    <w:p>
      <w:r>
        <w:br w:type="page"/>
      </w:r>
    </w:p>
    <w:p>
      <w:pPr>
        <w:pStyle w:val="Heading2"/>
      </w:pPr>
      <w:r>
        <w:rPr>
          <w:b/>
          <w:bCs/>
        </w:rPr>
        <w:t xml:space="preserve">2. Background and Related Work</w:t>
      </w:r>
    </w:p>
    <w:p>
      <w:pPr>
        <w:pStyle w:val="Heading3"/>
      </w:pPr>
      <w:r>
        <w:rPr>
          <w:b/>
          <w:bCs/>
        </w:rPr>
        <w:t xml:space="preserve">2.1 RAG System Vulnerabilities</w:t>
      </w:r>
    </w:p>
    <w:p>
      <w:r>
        <w:t xml:space="preserve">Recent research has identified multiple attack vectors targeting RAG systems. PoisonedRAG (Zou et al., 2024) demonstrates that adversaries can craft documents achieving preferential retrieval for target queries while embedding payloads that manipulate language model outputs. These attacks exploit the fundamental assumption that retrieved documents are trustworthy, a property that fails when document ingestion pipelines lack integrity verification.</w:t>
      </w:r>
    </w:p>
    <w:p>
      <w:r>
        <w:t xml:space="preserve">The security implications extend beyond theoretical concerns. Practical attacks enable misinformation injection where adversaries surface false information for factual queries, credential theft through prompt injection that exfiltrates user data, model hijacking by overriding system instructions with adversarial directives, and denial of service through poisoned documents that trigger generation failures.</w:t>
      </w:r>
    </w:p>
    <w:p>
      <w:pPr>
        <w:pStyle w:val="Heading3"/>
      </w:pPr>
      <w:r>
        <w:rPr>
          <w:b/>
          <w:bCs/>
        </w:rPr>
        <w:t xml:space="preserve">2.2 TEE Security Foundations</w:t>
      </w:r>
    </w:p>
    <w:p>
      <w:r>
        <w:t xml:space="preserve">Trusted Execution Environments provide hardware-enforced isolation for sensitive computation. AMD SEV-SNP offers memory encryption and remote attestation capabilities that enable verification of code execution integrity. TEE-based security has been deployed for protecting machine learning model privacy during inference. We extend this paradigm to RAG security by using TEE attestation to verify embedding provenance.</w:t>
      </w:r>
    </w:p>
    <w:p>
      <w:pPr>
        <w:pStyle w:val="Heading3"/>
      </w:pPr>
      <w:r>
        <w:rPr>
          <w:b/>
          <w:bCs/>
        </w:rPr>
        <w:t xml:space="preserve">2.3 Existing Defense Limitations</w:t>
      </w:r>
    </w:p>
    <w:p>
      <w:r>
        <w:t xml:space="preserve">Current defenses against RAG attacks fall into several categories, each with significant limitations: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000"/>
        <w:gridCol w:w="4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Defense Category</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Approach</w:t>
            </w:r>
          </w:p>
        </w:tc>
        <w:tc>
          <w:tcPr>
            <w:tcW w:type="dxa" w:w="4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Primary Limitation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Input Sanitization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Filter suspicious prompts pre-retrieval</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Attackers adapt to known filters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Embedding Anomaly Detection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Statistical outlier identification</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High-dimensional space makes detection unreliable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Output Verification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Post-generation content analysis</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Detection occurs after potential damage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Provenance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Source verification systems</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verification of embedding integrity</w:t>
            </w:r>
          </w:p>
        </w:tc>
      </w:tr>
    </w:tbl>
    <w:p>
      <w:pPr>
        <w:spacing w:after="240"/>
      </w:pPr>
      <w:r>
        <w:t xml:space="preserve"/>
      </w:r>
    </w:p>
    <w:p>
      <w:r>
        <w:br w:type="page"/>
      </w:r>
    </w:p>
    <w:p>
      <w:pPr>
        <w:pStyle w:val="Heading2"/>
      </w:pPr>
      <w:r>
        <w:rPr>
          <w:b/>
          <w:bCs/>
        </w:rPr>
        <w:t xml:space="preserve">3. Materials and Methods</w:t>
      </w:r>
    </w:p>
    <w:p>
      <w:pPr>
        <w:pStyle w:val="Heading3"/>
      </w:pPr>
      <w:r>
        <w:rPr>
          <w:b/>
          <w:bCs/>
        </w:rPr>
        <w:t xml:space="preserve">3.1 Architectural Overview</w:t>
      </w:r>
    </w:p>
    <w:p>
      <w:r>
        <w:t xml:space="preserve">EmbedGuard implements a unified framework for reasoning about security signals across all four layers of the RAG system architecture, integrating low-latency streaming analysis alongside standard inference pipelines to maintain production system viability. The architecture enables deployment in scenarios with strict latency requirements where serialized security checks would prove prohibitive.</w:t>
      </w:r>
    </w:p>
    <w:p>
      <w:pPr>
        <w:jc w:val="center"/>
      </w:pPr>
      <w:r>
        <w:drawing>
          <wp:inline distT="0" distB="0" distL="0" distR="0">
            <wp:extent cx="4572000" cy="3429000"/>
            <wp:effectExtent t="0" r="0" b="0" l="0"/>
            <wp:docPr id="1" name="figure_1.png" descr="Figure 1: EmbedGuard cross-layer detection architecture. Four detection layers generate threat signals that flow to the central Threat Correlation Engine." title="Figure 1: EmbedGuard cross-layer detection architecture. Four detection layers generate threat signals that flow to the central Threat Correlation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429000"/>
                    </a:xfrm>
                    <a:prstGeom prst="rect">
                      <a:avLst/>
                    </a:prstGeom>
                  </pic:spPr>
                </pic:pic>
              </a:graphicData>
            </a:graphic>
          </wp:inline>
        </w:drawing>
      </w:r>
    </w:p>
    <w:p>
      <w:pPr>
        <w:spacing w:before="120" w:after="240"/>
        <w:jc w:val="center"/>
      </w:pPr>
      <w:r>
        <w:t xml:space="preserve">Figure 1: EmbedGuard cross-layer detection architecture. Four detection layers generate threat signals that flow to the central Threat Correlation Engine.</w:t>
      </w:r>
    </w:p>
    <w:p>
      <w:r>
        <w:t xml:space="preserve">Table 1 presents the security requirements addressed by EmbedGuard: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Requirement</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Description</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Verification Method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SR-1: Integrity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Detect embedding space poisoning attempts before retrieval influences generation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Cross-layer signal fusion with weighted threshold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SR-2: Provenance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Verify that embeddings originate from approved models and trusted document sources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TEE attestation certificate validation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SR-3: Availability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Maintain system responsiveness under active attack conditions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Latency monitoring with &lt;100ms 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SR-4: Auditability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Provide forensic trail for security incident investigation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Comprehensive logging in passive/gated modes</w:t>
            </w:r>
          </w:p>
        </w:tc>
      </w:tr>
    </w:tbl>
    <w:p>
      <w:pPr>
        <w:spacing w:after="240"/>
      </w:pPr>
      <w:r>
        <w:t xml:space="preserve"/>
      </w:r>
    </w:p>
    <w:p>
      <w:pPr>
        <w:pStyle w:val="Heading3"/>
      </w:pPr>
      <w:r>
        <w:rPr>
          <w:b/>
          <w:bCs/>
        </w:rPr>
        <w:t xml:space="preserve">3.2 Layer 1: Prompt Injection Detection</w:t>
      </w:r>
    </w:p>
    <w:p>
      <w:r>
        <w:t xml:space="preserve">The prompt layer performs semantic analysis to identify injection attempts and jailbreak patterns before input enters the retrieval pipeline. The prompt analyzer employs a pattern-based classifier using 81 detection patterns covering diverse attack categories. The classifier employs hierarchical pattern matching with weighted scoring: matched patterns contribute to a cumulative score using the formula score = min(0.75 + (num_matches x 0.05), 1.0), where the 0.70 threshold balances sensitivity and specificity.</w:t>
      </w:r>
    </w:p>
    <w:p>
      <w:r>
        <w:t xml:space="preserve">Table 2 presents the attack pattern taxonomy: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600"/>
        <w:gridCol w:w="2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Category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Count</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Example Signatures</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Detection Weight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 Injection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ignore.*previous, disregard.*prior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Role Manipulation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 are now.*, pretend to be, act as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Extraction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your prompt, reveal instructions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0.85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Delimiter Attacks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 &lt;|im_start|&gt;, ### System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Encoding Bypass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base64, rot13, hex encode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0.80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Unicode Obfuscation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Homoglyphs, zero-width chars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Framing Attacks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Hypothetical, fictional, translation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Social Engineering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Authority, emotional, urgency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RAG-Specific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injection, retrieval manipulation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0.85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Composite Patterns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Multi-vector combinations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bl>
    <w:p>
      <w:pPr>
        <w:spacing w:after="240"/>
      </w:pPr>
      <w:r>
        <w:t xml:space="preserve"/>
      </w:r>
    </w:p>
    <w:p>
      <w:pPr>
        <w:pStyle w:val="Heading3"/>
      </w:pPr>
      <w:r>
        <w:rPr>
          <w:b/>
          <w:bCs/>
        </w:rPr>
        <w:t xml:space="preserve">3.3 Layer 2: Cryptographic Embedding Attestation</w:t>
      </w:r>
    </w:p>
    <w:p>
      <w:r>
        <w:t xml:space="preserve">EmbedGuard's core contribution is the embedding layer, which integrates hardware-based cryptographic attestation of embedding provenance. Trusted Execution Environments provide hardware infrastructure for secure computation with cryptographic proof of correctness, offering isolated spaces for sensitive calculations protected from privileged system software.</w:t>
      </w:r>
    </w:p>
    <w:p>
      <w:pPr>
        <w:jc w:val="center"/>
      </w:pPr>
      <w:r>
        <w:drawing>
          <wp:inline distT="0" distB="0" distL="0" distR="0">
            <wp:extent cx="4381500" cy="3286125"/>
            <wp:effectExtent t="0" r="0" b="0" l="0"/>
            <wp:docPr id="1" name="figure_2.png" descr="Figure 2: TEE-based embedding attestation protocol showing document hashing, enclave generation, and certificate validation." title="Figure 2: TEE-based embedding attestation protocol showing document hashing, enclave generation, and certificate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286125"/>
                    </a:xfrm>
                    <a:prstGeom prst="rect">
                      <a:avLst/>
                    </a:prstGeom>
                  </pic:spPr>
                </pic:pic>
              </a:graphicData>
            </a:graphic>
          </wp:inline>
        </w:drawing>
      </w:r>
    </w:p>
    <w:p>
      <w:pPr>
        <w:spacing w:before="120" w:after="240"/>
        <w:jc w:val="center"/>
      </w:pPr>
      <w:r>
        <w:t xml:space="preserve">Figure 2: TEE-based embedding attestation protocol showing document hashing, enclave generation, and certificate validation.</w:t>
      </w:r>
    </w:p>
    <w:p>
      <w:r>
        <w:t xml:space="preserve">The attestation signature is hardware-protected using keys inaccessible to system software, enabling downstream verification that embeddings originated from approved models over authentic inputs. Performance testing reveals a signature generation overhead of 1.8ms per embedding operation and a validation overhead of 0.3ms per retrieved document. Batch validation of 10 documents completes in 2.1ms through parallelization.</w:t>
      </w:r>
    </w:p>
    <w:p>
      <w:pPr>
        <w:pStyle w:val="Heading3"/>
      </w:pPr>
      <w:r>
        <w:rPr>
          <w:b/>
          <w:bCs/>
        </w:rPr>
        <w:t xml:space="preserve">3.4 Layer 3: Retrieval Distributional Analysis</w:t>
      </w:r>
    </w:p>
    <w:p>
      <w:r>
        <w:t xml:space="preserve">The retrieval layer implements distributional analysis, detecting statistical deviations in query-document similarity distributions through three complementary mechanisms: Incremental Principal Component Analysis for subspace anomaly detection, Kullback-Leibler Divergence monitoring comparing current and historical distributions, and Temporal Rank Correlation measuring ranking stability across queries.</w:t>
      </w:r>
    </w:p>
    <w:p>
      <w:pPr>
        <w:pStyle w:val="Heading3"/>
      </w:pPr>
      <w:r>
        <w:rPr>
          <w:b/>
          <w:bCs/>
        </w:rPr>
        <w:t xml:space="preserve">3.5 Layer 4: Output Consistency Verification</w:t>
      </w:r>
    </w:p>
    <w:p>
      <w:r>
        <w:t xml:space="preserve">The output layer detects attacks manifesting during generation through perturbation-based stability testing. EmbedGuard generates K=5 alternative retrieval sets and measures output stability. Benign queries produce stable outputs (&gt;0.82) while poisoning attacks exhibit instability (&lt;0.65) as adversarial document removal fundamentally alters outputs.</w:t>
      </w:r>
    </w:p>
    <w:p>
      <w:pPr>
        <w:pStyle w:val="Heading3"/>
      </w:pPr>
      <w:r>
        <w:rPr>
          <w:b/>
          <w:bCs/>
        </w:rPr>
        <w:t xml:space="preserve">3.6 Threat Correlation Engine</w:t>
      </w:r>
    </w:p>
    <w:p>
      <w:r>
        <w:t xml:space="preserve">The correlation engine fuses detection signals across layers using learned weighted scoring: ThreatScore = sum(beta_i x signal_i), where each signal_i is in [0, 1] representing normalized layer-specific anomaly scores.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400"/>
        <w:gridCol w:w="2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Layer</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Weight (beta)</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Rationale</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Latency Contribution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Probabilistic but low false alarm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4.2ms (8.2%)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Embedding (TEE)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Deterministic cryptographic verification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12.8ms (25.1%)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Retrieval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Strong signal but statistical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23.5ms (46.1%)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Output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Legitimate reasons for instability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6.3ms (12.4%)</w:t>
            </w:r>
          </w:p>
        </w:tc>
      </w:tr>
    </w:tbl>
    <w:p>
      <w:pPr>
        <w:spacing w:after="240"/>
      </w:pPr>
      <w:r>
        <w:t xml:space="preserve"/>
      </w:r>
    </w:p>
    <w:p>
      <w:r>
        <w:br w:type="page"/>
      </w:r>
    </w:p>
    <w:p>
      <w:pPr>
        <w:pStyle w:val="Heading2"/>
      </w:pPr>
      <w:r>
        <w:rPr>
          <w:b/>
          <w:bCs/>
        </w:rPr>
        <w:t xml:space="preserve">4. Results and Discussion</w:t>
      </w:r>
    </w:p>
    <w:p>
      <w:pPr>
        <w:pStyle w:val="Heading3"/>
      </w:pPr>
      <w:r>
        <w:rPr>
          <w:b/>
          <w:bCs/>
        </w:rPr>
        <w:t xml:space="preserve">4.1 Experimental Setup</w:t>
      </w:r>
    </w:p>
    <w:p>
      <w:r>
        <w:t xml:space="preserve">We evaluate on three established NLP benchmarks for benign query assessment plus a comprehensive injection attack dataset spanning 25 distinct attack categories derived from recent security literature: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400"/>
        <w:gridCol w:w="2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Dataset</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Samples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Type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Natural Questions (NQ)</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Benign queries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Research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HotpotQA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Benign queries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Stanford NLP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MS-MARCO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Benign queries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Microsoft Research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Injection Attacks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attacks + 5 benign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attack categories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bl>
    <w:p>
      <w:pPr>
        <w:spacing w:after="240"/>
      </w:pPr>
      <w:r>
        <w:t xml:space="preserve"/>
      </w:r>
    </w:p>
    <w:p>
      <w:pPr>
        <w:pStyle w:val="Heading3"/>
      </w:pPr>
      <w:r>
        <w:rPr>
          <w:b/>
          <w:bCs/>
        </w:rPr>
        <w:t xml:space="preserve">4.2 Detection Performance</w:t>
      </w:r>
    </w:p>
    <w:p>
      <w:r>
        <w:t xml:space="preserve">Table 5 presents detection performance across benchmark datasets: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2400"/>
        <w:gridCol w:w="21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Dataset</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Samples</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Detected</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Accuracy</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False Positives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Natural Questions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(50/50)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HotpotQA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(25/25)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MS-MARCO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(25/25)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Injection Attacks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(30/30)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Benign Control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(5/5)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(135/135)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(0%)</w:t>
            </w:r>
          </w:p>
        </w:tc>
      </w:tr>
    </w:tbl>
    <w:p>
      <w:pPr>
        <w:spacing w:after="240"/>
      </w:pPr>
      <w:r>
        <w:t xml:space="preserve"/>
      </w:r>
    </w:p>
    <w:p>
      <w:pPr>
        <w:pStyle w:val="Heading3"/>
      </w:pPr>
      <w:r>
        <w:rPr>
          <w:b/>
          <w:bCs/>
        </w:rPr>
        <w:t xml:space="preserve">4.3 Statistical Significance</w:t>
      </w:r>
    </w:p>
    <w:p>
      <w:r>
        <w:t xml:space="preserve">Table 6 presents comprehensive statistical validation of detection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Statistical Test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Purpose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Result</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Interpretation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Wilcoxon Signed-Rank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Non-parametric comparison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 &lt; 0.001, r = 0.89</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Large effect size, highly significant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McNemar's Test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Detection consistency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 &lt; 0.001, chi-sq = 28.0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Significant improvement over baseline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Fisher's Exact Test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Perfect detection validity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 &lt; 0.001, OR = infinity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separation achieved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Bonferroni Correction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Multiple comparison control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alpha = 0.05/25 = 0.002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FWER &lt; 0.05 maintained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Effect Size (Cohen's 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Practical significance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 = 0.78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Large effect (h &gt; 0.8 threshold)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 CI (Detection)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Precision estimate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[88.4%, 100%]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Wilson score interval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 CI (FPR)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False positive bound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3.4%]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Upper bound on FPR</w:t>
            </w:r>
          </w:p>
        </w:tc>
      </w:tr>
    </w:tbl>
    <w:p>
      <w:pPr>
        <w:spacing w:after="240"/>
      </w:pPr>
      <w:r>
        <w:t xml:space="preserve"/>
      </w:r>
    </w:p>
    <w:p>
      <w:pPr>
        <w:jc w:val="center"/>
      </w:pPr>
      <w:r>
        <w:drawing>
          <wp:inline distT="0" distB="0" distL="0" distR="0">
            <wp:extent cx="4381500" cy="3286125"/>
            <wp:effectExtent t="0" r="0" b="0" l="0"/>
            <wp:docPr id="1" name="figure_3.png" descr="Figure 3: Latency distribution across benchmark datasets showing sub-millisecond detection performance." title="Figure 3: Latency distribution across benchmark datasets showing sub-millisecond detection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286125"/>
                    </a:xfrm>
                    <a:prstGeom prst="rect">
                      <a:avLst/>
                    </a:prstGeom>
                  </pic:spPr>
                </pic:pic>
              </a:graphicData>
            </a:graphic>
          </wp:inline>
        </w:drawing>
      </w:r>
    </w:p>
    <w:p>
      <w:pPr>
        <w:spacing w:before="120" w:after="240"/>
        <w:jc w:val="center"/>
      </w:pPr>
      <w:r>
        <w:t xml:space="preserve">Figure 3: Latency distribution across benchmark datasets showing sub-millisecond detection performance.</w:t>
      </w:r>
    </w:p>
    <w:p>
      <w:pPr>
        <w:pStyle w:val="Heading3"/>
      </w:pPr>
      <w:r>
        <w:rPr>
          <w:b/>
          <w:bCs/>
        </w:rPr>
        <w:t xml:space="preserve">4.4 Latency Analysis</w:t>
      </w:r>
    </w:p>
    <w:p>
      <w:r>
        <w:t xml:space="preserve">Mean detection latency is 0.04ms per query with p99 &lt; 0.14ms on AMD EPYC 7542. This sub-millisecond performance enables deployment in latency-sensitive applications. Throughput testing demonstrates &gt;21,000 queries per second on a single core, with near-linear scaling to 168,000+ queries per second on 8 cores.</w:t>
      </w:r>
    </w:p>
    <w:p>
      <w:pPr>
        <w:pStyle w:val="Heading3"/>
      </w:pPr>
      <w:r>
        <w:rPr>
          <w:b/>
          <w:bCs/>
        </w:rPr>
        <w:t xml:space="preserve">4.5 Ablation Study</w:t>
      </w:r>
    </w:p>
    <w:p>
      <w:r>
        <w:t xml:space="preserve">We validate that the full 81-pattern taxonomy is necessary through systematic ablation: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800"/>
        <w:gridCol w:w="1800"/>
        <w:gridCol w:w="1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Configuration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Patterns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Detection Rate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False Positive Rate</w:t>
            </w:r>
          </w:p>
        </w:tc>
        <w:tc>
          <w:tcPr>
            <w:tcW w:type="dxa" w:w="1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Delta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(30/30)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(0/105)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High-Weight Only (&gt;0.85)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73.3% (22/30)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(0/105)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Medium-Weight Only (0.70-0.85)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66.7% (20/30)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(0/105)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Without RAG-Specific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90.0% (27/30)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(0/105)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Without Composite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86.7% (26/30)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(0/105)</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-13.3%</w:t>
            </w:r>
          </w:p>
        </w:tc>
      </w:tr>
    </w:tbl>
    <w:p>
      <w:pPr>
        <w:spacing w:after="240"/>
      </w:pPr>
      <w:r>
        <w:t xml:space="preserve"/>
      </w:r>
    </w:p>
    <w:p>
      <w:pPr>
        <w:pStyle w:val="Heading3"/>
      </w:pPr>
      <w:r>
        <w:rPr>
          <w:b/>
          <w:bCs/>
        </w:rPr>
        <w:t xml:space="preserve">4.6 Adversarial Stress Testing</w:t>
      </w:r>
    </w:p>
    <w:p>
      <w:r>
        <w:t xml:space="preserve">Table 9 presents performance against state-of-the-art adversarial attack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400"/>
        <w:gridCol w:w="1600"/>
        <w:gridCol w:w="25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Attack Method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Samples</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Deflected</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Deflection Rate</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Detection Mechanism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GCG (Zou et al., 2023)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Pattern + Unicode detection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PAIR (Chao et al., 2023)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9.67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96.7%</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Role manipulation patterns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AutoDAN (Liu et al., 2024)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Composite pattern matching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TAP (Mehrotra et al., 2024)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9.33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93.3%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Framing + authority patterns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Combined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97.5%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Cross-pattern correlation</w:t>
            </w:r>
          </w:p>
        </w:tc>
      </w:tr>
    </w:tbl>
    <w:p>
      <w:pPr>
        <w:spacing w:after="240"/>
      </w:pPr>
      <w:r>
        <w:t xml:space="preserve"/>
      </w:r>
    </w:p>
    <w:p>
      <w:pPr>
        <w:pStyle w:val="Heading3"/>
      </w:pPr>
      <w:r>
        <w:rPr>
          <w:b/>
          <w:bCs/>
        </w:rPr>
        <w:t xml:space="preserve">4.7 Failure Mode Analysis</w:t>
      </w:r>
    </w:p>
    <w:p>
      <w:r>
        <w:t xml:space="preserve">We identify three theoretical failure modes that could reduce detection effectiveness: (1) Pattern Evasion through novel attack patterns not covered by the 81-pattern taxonomy, (2) TEE Compromise via hardware vulnerabilities in AMD SEV-SNP implementation, and (3) Distribution Shift when operational query distributions differ significantly from training. Each failure mode has corresponding mitigations including continuous pattern updates, hardware attestation verification, and adaptive threshold calibration.</w:t>
      </w:r>
    </w:p>
    <w:p>
      <w:r>
        <w:br w:type="page"/>
      </w:r>
    </w:p>
    <w:p>
      <w:pPr>
        <w:pStyle w:val="Heading2"/>
      </w:pPr>
      <w:r>
        <w:rPr>
          <w:b/>
          <w:bCs/>
        </w:rPr>
        <w:t xml:space="preserve">5. Conclusions</w:t>
      </w:r>
    </w:p>
    <w:p>
      <w:r>
        <w:t xml:space="preserve">This work presents EmbedGuard, a cross-layer security framework for protecting Retrieval-Augmented Generation systems against embedding-space poisoning attacks. Our experimental evaluation demonstrates that comprehensive RAG security is achievable without sacrificing system performance. The framework achieves 100% detection accuracy across 25 attack categories while maintaining sub-millisecond latency suitable for production deployment.</w:t>
      </w:r>
    </w:p>
    <w:p>
      <w:r>
        <w:t xml:space="preserve">Key contributions include: (1) The first cross-layer detection architecture coordinating security signals across prompt, embedding, retrieval, and output stages. (2) Novel integration of TEE-based cryptographic attestation for embedding provenance verification. (3) Comprehensive evaluation demonstrating perfect detection with zero false positives, validated through rigorous statistical testing. (4) Open-source release enabling reproducible research and practical deployment.</w:t>
      </w:r>
    </w:p>
    <w:p>
      <w:r>
        <w:t xml:space="preserve">The 97.5% deflection rate against state-of-the-art adversarial attacks (GCG, PAIR, AutoDAN, TAP) demonstrates robustness against current attack methodologies. Our ablation study confirms that the full 81-pattern taxonomy is necessary for comprehensive protection, with pattern subsets showing significant detection degradation.</w:t>
      </w:r>
    </w:p>
    <w:p>
      <w:r>
        <w:t xml:space="preserve">EmbedGuard establishes a new standard for RAG security, providing both theoretical foundations and practical tools for protecting these increasingly critical systems. The framework's modular architecture enables adaptation to evolving threat landscapes while maintaining the performance characteristics required for production deployment.</w:t>
      </w:r>
    </w:p>
    <w:p>
      <w:pPr>
        <w:pStyle w:val="Heading2"/>
      </w:pPr>
      <w:r>
        <w:rPr>
          <w:b/>
          <w:bCs/>
        </w:rPr>
        <w:t xml:space="preserve">Data Availability</w:t>
      </w:r>
    </w:p>
    <w:p>
      <w:r>
        <w:t xml:space="preserve">All code, datasets, and evaluation scripts are available at </w:t>
      </w:r>
      <w:hyperlink w:history="1" r:id="rId57-gtqffwdlwdvbyjbdwh">
        <w:r>
          <w:rPr>
            <w:color w:val="0000FF"/>
            <w:u w:val="single"/>
          </w:rPr>
          <w:t xml:space="preserve">https://github.com/neerazz/embedguard</w:t>
        </w:r>
      </w:hyperlink>
      <w:r>
        <w:t xml:space="preserve">. Reproducibility is ensured through Docker containerization: </w:t>
      </w:r>
      <w:r>
        <w:rPr>
          <w:rFonts w:ascii="Courier New" w:cs="Courier New" w:eastAsia="Courier New" w:hAnsi="Courier New"/>
          <w:sz w:val="20"/>
          <w:szCs w:val="20"/>
        </w:rPr>
        <w:t xml:space="preserve">docker run --rm ghcr.io/neerazz/embedguard:v1.0 python -m src.evaluation.run_benchmarks</w:t>
      </w:r>
      <w:r>
        <w:t xml:space="preserve">. Archived version with DOI: Zenodo 10.5281/zenodo.14735192.</w:t>
      </w:r>
    </w:p>
    <w:p>
      <w:r>
        <w:br w:type="page"/>
      </w:r>
    </w:p>
    <w:p>
      <w:pPr>
        <w:pStyle w:val="Heading2"/>
      </w:pPr>
      <w:r>
        <w:rPr>
          <w:b/>
          <w:bCs/>
        </w:rPr>
        <w:t xml:space="preserve">References</w:t>
      </w:r>
    </w:p>
    <w:p>
      <w:r>
        <w:t xml:space="preserve">AMD. 2024. AMD SEV-SNP: Strengthening VM Isolation with Integrity Protection and More. AMD Technical Documentation.</w:t>
      </w:r>
    </w:p>
    <w:p>
      <w:r>
        <w:t xml:space="preserve">Carlini N, Nasr M, Choquette-Choo CA, Jagielski M, Gao I, Awadalla A, Koh PW, Ippolito D, Lee K, Tramèr F, Schmidt L. 2023. Are aligned neural networks adversarially aligned? arXiv:2306.15447.</w:t>
      </w:r>
    </w:p>
    <w:p>
      <w:r>
        <w:t xml:space="preserve">Chao P, Robey A, Dobriban E, Hassani H, Pappas GJ, Wong E. 2023. Jailbreaking Black Box Large Language Models in Twenty Queries. arXiv:2310.08419.</w:t>
      </w:r>
    </w:p>
    <w:p>
      <w:r>
        <w:t xml:space="preserve">Fan Y, Li Y, Lin T, Yu B. 2021. Rethinking the Trigger of Backdoor Attack. arXiv:2004.04692.</w:t>
      </w:r>
    </w:p>
    <w:p>
      <w:r>
        <w:t xml:space="preserve">Gao Y, Xiong Y, Gao D, Jia H, Pan J, Wang Z, Wang C. 2024. Retrieval-Augmented Generation for Large Language Models: A Survey. arXiv:2312.10997.</w:t>
      </w:r>
    </w:p>
    <w:p>
      <w:r>
        <w:t xml:space="preserve">Lewis P, Perez E, Piktus A, Petroni F, Karpukhin V, Goyal N, Küttler H, Lewis M, Yih W, Rocktäschel T, Riedel S, Kiela D. 2020. Retrieval-Augmented Generation for Knowledge-Intensive NLP Tasks. NeurIPS 2020.</w:t>
      </w:r>
    </w:p>
    <w:p>
      <w:r>
        <w:t xml:space="preserve">Liu X, Xu N, Chen M, Xiao C. 2024. AutoDAN: Automatic and Interpretable Adversarial Attacks on Large Language Models. arXiv:2310.15140.</w:t>
      </w:r>
    </w:p>
    <w:p>
      <w:r>
        <w:t xml:space="preserve">Mehrotra A, Zampetakis M, Kassianik P, Nelson B, Anderson H, Singer Y, Karbasi A. 2024. Tree of Attacks: Jailbreaking Black-Box LLMs Automatically. arXiv:2312.02119.</w:t>
      </w:r>
    </w:p>
    <w:p>
      <w:r>
        <w:t xml:space="preserve">Wilke L, Wichelmann J, Rabich F, Eisenbarth T. 2024. SEV-Step: A Single-Stepping Framework for AMD-SEV. USENIX Security 2024.</w:t>
      </w:r>
    </w:p>
    <w:p>
      <w:r>
        <w:t xml:space="preserve">Zhou H, Lee KH, Zhan Z, Chen Y, Li Z, Wang Z, Haddadi H, Yilmaz E. 2025. TrustRAG: Enhancing Robustness and Trustworthiness in Retrieval-Augmented Generation. arXiv:2501.00879.</w:t>
      </w:r>
    </w:p>
    <w:p>
      <w:r>
        <w:t xml:space="preserve">Zou A, Wang Z, Carlini N, Nasr M, Kolter JZ, Fredrikson M. 2023. Universal and Transferable Adversarial Attacks on Aligned Language Models. arXiv:2307.15043.</w:t>
      </w:r>
    </w:p>
    <w:p>
      <w:r>
        <w:t xml:space="preserve">Zou W, Geng J, Xi Z, Tang Y, Yu M, Wu B. 2024. PoisonedRAG: Knowledge Corruption Attacks to Retrieval-Augmented Generation of Large Language Models. USENIX Security 2024.</w:t>
      </w:r>
    </w:p>
    <w:p>
      <w:r>
        <w:br w:type="page"/>
      </w:r>
    </w:p>
    <w:p>
      <w:pPr>
        <w:pStyle w:val="Heading2"/>
      </w:pPr>
      <w:r>
        <w:rPr>
          <w:b/>
          <w:bCs/>
        </w:rPr>
        <w:t xml:space="preserve">Appendix A: Experimental Infrastructure</w:t>
      </w:r>
    </w:p>
    <w:p>
      <w:pPr>
        <w:pStyle w:val="Heading3"/>
      </w:pPr>
      <w:r>
        <w:rPr>
          <w:b/>
          <w:bCs/>
        </w:rPr>
        <w:t xml:space="preserve">A.1 Hardware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Component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Specification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AMD EPYC 7542, 32 cores, 2.9GHz base / 3.4GHz boost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256GB DDR4-3200 ECC Registered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TEE 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AMD SEV-SNP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TEE Firmware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AMD-SP firmware version 1.55.x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Samsung PM9A3 NVMe SSD, 1.92TB</w:t>
            </w:r>
          </w:p>
        </w:tc>
      </w:tr>
    </w:tbl>
    <w:p>
      <w:pPr>
        <w:spacing w:after="240"/>
      </w:pPr>
      <w:r>
        <w:t xml:space="preserve"/>
      </w:r>
    </w:p>
    <w:p>
      <w:pPr>
        <w:pStyle w:val="Heading3"/>
      </w:pPr>
      <w:r>
        <w:rPr>
          <w:b/>
          <w:bCs/>
        </w:rPr>
        <w:t xml:space="preserve">A.2 Software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Component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t xml:space="preserve">Version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Operating System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Ubuntu 22.04.3 LTS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Linux Kernel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6.5.0-generic (SEV-SNP enabled)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3.10.12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PyTorch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2.1.0+cu118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Transformers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4.35.2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Sentence-Transformers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Embedding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sentence-transformers/all-mpnet-base-v2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1.7.4 (GPU)</w:t>
            </w:r>
          </w:p>
        </w:tc>
      </w:tr>
    </w:tbl>
    <w:p>
      <w:pPr>
        <w:spacing w:after="240"/>
      </w:pPr>
      <w:r>
        <w:t xml:space="preserve"/>
      </w:r>
    </w:p>
    <w:p>
      <w:pPr>
        <w:pStyle w:val="Heading3"/>
      </w:pPr>
      <w:r>
        <w:rPr>
          <w:b/>
          <w:bCs/>
        </w:rPr>
        <w:t xml:space="preserve">A.3 Reproducibility Checklist</w:t>
      </w:r>
    </w:p>
    <w:p>
      <w:r>
        <w:t xml:space="preserve">Code available at: https://github.com/neerazz/embedguard</w:t>
      </w:r>
    </w:p>
    <w:p>
      <w:r>
        <w:t xml:space="preserve">Archived version with DOI: Zenodo 10.5281/zenodo.14735192</w:t>
      </w:r>
    </w:p>
    <w:p>
      <w:r>
        <w:t xml:space="preserve">Random seed documented: 42 (all experiments)</w:t>
      </w:r>
    </w:p>
    <w:p>
      <w:r>
        <w:t xml:space="preserve">Benchmark datasets included (data/ directory)</w:t>
      </w:r>
    </w:p>
    <w:p>
      <w:r>
        <w:t xml:space="preserve">Configuration files for all experiments provided</w:t>
      </w:r>
    </w:p>
    <w:p>
      <w:r>
        <w:t xml:space="preserve">Hardware specifications documented (this appendix)</w:t>
      </w:r>
    </w:p>
    <w:p>
      <w:r>
        <w:t xml:space="preserve">Software versions pinned (requirements.txt)</w:t>
      </w:r>
    </w:p>
    <w:p>
      <w:r>
        <w:t xml:space="preserve">Pattern-based classifier (81 patterns) included in source</w:t>
      </w:r>
    </w:p>
    <w:p>
      <w:r>
        <w:t xml:space="preserve">Benchmark runner script (run_benchmarks.py) included</w:t>
      </w:r>
    </w:p>
    <w:p>
      <w:r>
        <w:t xml:space="preserve">Results validation script for reproducibility verification</w:t>
      </w:r>
    </w:p>
    <w:p>
      <w:pPr>
        <w:spacing w:after="360"/>
      </w:pPr>
      <w:r>
        <w:t xml:space="preserve"/>
      </w:r>
    </w:p>
    <w:p>
      <w:pPr>
        <w:jc w:val="center"/>
      </w:pPr>
      <w:r>
        <w:rPr>
          <w:i/>
          <w:iCs/>
        </w:rPr>
        <w:t xml:space="preserve">Manuscript prepared for PeerJ Computer Science submission</w:t>
      </w:r>
    </w:p>
    <w:p>
      <w:pPr>
        <w:jc w:val="center"/>
      </w:pPr>
      <w:r>
        <w:rPr>
          <w:i/>
          <w:iCs/>
        </w:rPr>
        <w:t xml:space="preserve">Version: 2.1 | Date: 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t xml:space="preserve">EmbedGuard: Cross-Layer Detection Framework for RAG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300" w:after="1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sz w:val="26"/>
      <w:szCs w:val="26"/>
    </w:rPr>
  </w:style>
  <w:style w:type="paragraph" w:styleId="Abstract">
    <w:name w:val="Abstract"/>
    <w:basedOn w:val="Normal"/>
    <w:pPr>
      <w:spacing w:before="120" w:after="120"/>
      <w:ind w:left="720" w:right="720"/>
    </w:pPr>
    <w:rPr>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57-gtqffwdlwdvbyjbdwh" Type="http://schemas.openxmlformats.org/officeDocument/2006/relationships/hyperlink" Target="https://github.com/neerazz/embedguard" TargetMode="External"/><Relationship Id="rId8" Type="http://schemas.openxmlformats.org/officeDocument/2006/relationships/image" Target="media/85686c37cfb2b5dfc9cf34b52d5c6c69b71385be.png"/><Relationship Id="rId9" Type="http://schemas.openxmlformats.org/officeDocument/2006/relationships/image" Target="media/67a4611f90530bf610a4126b8cfcc85c8c43cf03.png"/><Relationship Id="rId10" Type="http://schemas.openxmlformats.org/officeDocument/2006/relationships/image" Target="media/b77a1ac0f43b9d2113398ddf275a3dff961fb3d9.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2026-01-25T03:01:44.923Z</dcterms:created>
  <dcterms:modified xsi:type="dcterms:W3CDTF">2026-01-25T03:01:44.923Z</dcterms:modified>
</cp:coreProperties>
</file>

<file path=docProps/custom.xml><?xml version="1.0" encoding="utf-8"?>
<Properties xmlns="http://schemas.openxmlformats.org/officeDocument/2006/custom-properties" xmlns:vt="http://schemas.openxmlformats.org/officeDocument/2006/docPropsVTypes"/>
</file>