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i w:val="false"/>
          <w:iCs w:val="false"/>
          <w:color w:val="000000"/>
          <w:sz w:val="26"/>
          <w:szCs w:val="26"/>
        </w:rPr>
        <w:t xml:space="preserve">Kotak Mahindra Prime Limited</w:t>
      </w:r>
    </w:p>
    <w:p>
      <w:pPr>
        <w:spacing w:after="120" w:before="0"/>
        <w:jc w:val="center"/>
      </w:pPr>
      <w:r>
        <w:rPr>
          <w:rFonts w:ascii="Calibri" w:cs="Calibri" w:eastAsia="Calibri" w:hAnsi="Calibri"/>
          <w:b/>
          <w:bCs/>
          <w:i w:val="false"/>
          <w:iCs w:val="false"/>
          <w:color w:val="000000"/>
          <w:sz w:val="26"/>
          <w:szCs w:val="26"/>
        </w:rPr>
        <w:t xml:space="preserve">Credit Review &amp; Analysis</w:t>
      </w:r>
    </w:p>
    <w:p>
      <w:pPr>
        <w:spacing w:after="120" w:before="0"/>
        <w:jc w:val="both"/>
      </w:pPr>
      <w:r>
        <w:rPr>
          <w:rFonts w:ascii="Calibri" w:cs="Calibri" w:eastAsia="Calibri" w:hAnsi="Calibri"/>
          <w:b/>
          <w:bCs/>
          <w:i w:val="false"/>
          <w:iCs w:val="false"/>
          <w:color w:val="000000"/>
          <w:sz w:val="20"/>
          <w:szCs w:val="20"/>
        </w:rPr>
        <w:t xml:space="preserve">Company Profile:</w:t>
      </w:r>
      <w:r>
        <w:rPr>
          <w:rFonts w:ascii="Calibri" w:cs="Calibri" w:eastAsia="Calibri" w:hAnsi="Calibri"/>
          <w:b w:val="false"/>
          <w:bCs w:val="false"/>
          <w:i w:val="false"/>
          <w:iCs w:val="false"/>
          <w:color w:val="000000"/>
          <w:sz w:val="20"/>
          <w:szCs w:val="20"/>
        </w:rPr>
        <w:t xml:space="preserve">  Kotak Mahindra Prime Limited (KMP / KMPL) is a Non-Banking Financial Company (NBFC) and a wholly-owned subsidiary of Kotak Mahindra Bank Limited (KMB), one of India's leading private sector banks. Incorporated in 1996 and headquartered in Mumbai, KMP is primarily engaged in vehicle financing — providing retail financing solutions for passenger cars, two-wheelers, and multi-utility vehicles through a nationwide network of 163 branches. In addition to vehicle finance, KMP undertakes other lending activities including financing against securities and commercial real estate, as well as treasury and investment activities. KMP is rated CRISIL AAA/Stable and [ICRA]AAA(Stable) for its long-term debt instruments, reflecting the highest level of credit quality and strong parental support from KMB. As at 31st March 2025, KMP had total assets of ₹48,123 crore and net worth of ₹13,027 crore (standalone). Customer assets stood at ₹42,274 crore as at 30th September 2025 (investor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Issuer</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Kotak Mahindra Prime Limited</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Industry as per NIC code</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Financial and insurance activities</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Sector</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Finance – NBFC</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Review Period</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Half year ended September 30, 2025</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Prepared By</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Reviewed By</w:t>
            </w:r>
          </w:p>
        </w:tc>
        <w:tc>
          <w:tcPr>
            <w:tcW w:type="dxa" w:w="7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w:r>
          </w:p>
        </w:tc>
      </w:tr>
    </w:tbl>
    <w:p>
      <w:pPr>
        <w:spacing w:after="80" w:before="120"/>
        <w:jc w:val="left"/>
      </w:pPr>
    </w:p>
    <w:p>
      <w:pPr>
        <w:spacing w:after="60" w:before="0"/>
        <w:jc w:val="left"/>
      </w:pPr>
      <w:r>
        <w:rPr>
          <w:rFonts w:ascii="Calibri" w:cs="Calibri" w:eastAsia="Calibri" w:hAnsi="Calibri"/>
          <w:b/>
          <w:bCs/>
          <w:i w:val="false"/>
          <w:iCs w:val="false"/>
          <w:color w:val="000000"/>
          <w:sz w:val="20"/>
          <w:szCs w:val="20"/>
        </w:rPr>
        <w:t xml:space="preserve">Brief Detail of Investment under Review:</w:t>
      </w:r>
      <w:r>
        <w:rPr>
          <w:rFonts w:ascii="Calibri" w:cs="Calibri" w:eastAsia="Calibri" w:hAnsi="Calibri"/>
          <w:b w:val="false"/>
          <w:bCs w:val="false"/>
          <w:i w:val="false"/>
          <w:iCs w:val="false"/>
          <w:color w:val="000000"/>
          <w:sz w:val="20"/>
          <w:szCs w:val="20"/>
        </w:rPr>
        <w:t xml:space="preserve">                                                                                    (Rs. in crores)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200"/>
        <w:gridCol w:w="1400"/>
        <w:gridCol w:w="1200"/>
        <w:gridCol w:w="1200"/>
        <w:gridCol w:w="1120"/>
        <w:gridCol w:w="920"/>
        <w:gridCol w:w="1000"/>
      </w:tblGrid>
      <w:tr>
        <w:tc>
          <w:tcPr>
            <w:tcW w:type="dxa" w:w="13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Date of Maturity</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Purchase Yield</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Credit Rating Agency</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Credit Rating</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Business House</w:t>
            </w:r>
          </w:p>
        </w:tc>
        <w:tc>
          <w:tcPr>
            <w:tcW w:type="dxa" w:w="1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Total Nominal Value (F.V)</w:t>
            </w:r>
          </w:p>
        </w:tc>
        <w:tc>
          <w:tcPr>
            <w:tcW w:type="dxa" w:w="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SH</w:t>
            </w:r>
          </w:p>
        </w:tc>
        <w:tc>
          <w:tcPr>
            <w:tcW w:type="dxa" w:w="1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PH</w:t>
            </w:r>
          </w:p>
        </w:tc>
      </w:tr>
      <w:tr>
        <w:tc>
          <w:tcPr>
            <w:tcW w:type="dxa" w:w="13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w:r>
          </w:p>
        </w:tc>
        <w:tc>
          <w:tcPr>
            <w:tcW w:type="dxa" w:w="1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w:r>
          </w:p>
        </w:tc>
        <w:tc>
          <w:tcPr>
            <w:tcW w:type="dxa" w:w="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w:r>
          </w:p>
        </w:tc>
        <w:tc>
          <w:tcPr>
            <w:tcW w:type="dxa" w:w="1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w:r>
          </w:p>
        </w:tc>
      </w:tr>
    </w:tbl>
    <w:p>
      <w:pPr>
        <w:spacing w:after="80" w:before="120"/>
        <w:jc w:val="left"/>
      </w:pPr>
    </w:p>
    <w:p>
      <w:pPr>
        <w:spacing w:after="60" w:before="0"/>
        <w:jc w:val="left"/>
      </w:pPr>
      <w:r>
        <w:rPr>
          <w:rFonts w:ascii="Calibri" w:cs="Calibri" w:eastAsia="Calibri" w:hAnsi="Calibri"/>
          <w:b/>
          <w:bCs/>
          <w:i w:val="false"/>
          <w:iCs w:val="false"/>
          <w:color w:val="000000"/>
          <w:sz w:val="20"/>
          <w:szCs w:val="20"/>
        </w:rPr>
        <w:t xml:space="preserve">Financial Strength:                                                                                                                             (Rs. in crores)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Particulars</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bCs/>
                <w:i w:val="false"/>
                <w:iCs w:val="false"/>
                <w:color w:val="000000"/>
                <w:sz w:val="20"/>
                <w:szCs w:val="20"/>
              </w:rPr>
              <w:t xml:space="preserve">31.03.2025</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bCs/>
                <w:i w:val="false"/>
                <w:iCs w:val="false"/>
                <w:color w:val="000000"/>
                <w:sz w:val="20"/>
                <w:szCs w:val="20"/>
              </w:rPr>
              <w:t xml:space="preserve">31.03.2024</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bCs/>
                <w:i w:val="false"/>
                <w:iCs w:val="false"/>
                <w:color w:val="000000"/>
                <w:sz w:val="20"/>
                <w:szCs w:val="20"/>
              </w:rPr>
              <w:t xml:space="preserve">31.03.2023</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Total Income</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4,904.43</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3,920.49</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2,994.46</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NII</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2,132.36</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1,856.49</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1,641.04</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PAT</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999.97</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867.70</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947.53</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Total Assets</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48,123.28</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41,607.00</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34,107.76</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Borrowings</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34,046.39</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28,363.44</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22,639.27</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Investments</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6,523.61</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6,665.77</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6,594.47</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Customer Financial Assets</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40,228.27</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34,428.04</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26,741.38</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Net Worth</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13,026.92</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11,821.75</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10,239.24</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CRAR (%)</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23.62</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25.22</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28.50</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CRAR – Tier I (%)</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23.12</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24.66</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27.80</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GNPA (%)</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2.74</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2.56</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2.45</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NNPA (%)</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1.10</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1.09</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1.05</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ROA (%)</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2.23</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2.29</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2.78^</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ROE (%)</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8.05</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7.87</w:t>
            </w:r>
          </w:p>
        </w:tc>
        <w:tc>
          <w:tcPr>
            <w:tcW w:type="dxa" w:w="19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9.25^</w:t>
            </w:r>
          </w:p>
        </w:tc>
      </w:tr>
    </w:tbl>
    <w:p>
      <w:pPr>
        <w:spacing w:after="120" w:before="60"/>
        <w:jc w:val="left"/>
      </w:pPr>
      <w:r>
        <w:rPr>
          <w:rFonts w:ascii="Calibri" w:cs="Calibri" w:eastAsia="Calibri" w:hAnsi="Calibri"/>
          <w:b w:val="false"/>
          <w:bCs w:val="false"/>
          <w:i/>
          <w:iCs/>
          <w:color w:val="000000"/>
          <w:sz w:val="16"/>
          <w:szCs w:val="16"/>
        </w:rPr>
        <w:t xml:space="preserve">Note: NII computed as interest income (amortised cost + FVTOCI + dividend + rental) less finance costs. Borrowings = Debt securities + Borrowings (other than debt securities) + Subordinated liabilities. GNPA % = Gross NPA / Gross Loans (Note 46.19). ROA = PAT / average total assets; ROE = PAT / average net worth. ^ FY23 ROA and ROE use year-end balance sheet as FY22 closing balance is unavailable.</w:t>
      </w:r>
    </w:p>
    <w:p>
      <w:pPr>
        <w:spacing w:after="60" w:before="0"/>
        <w:jc w:val="left"/>
      </w:pPr>
      <w:r>
        <w:rPr>
          <w:rFonts w:ascii="Calibri" w:cs="Calibri" w:eastAsia="Calibri" w:hAnsi="Calibri"/>
          <w:b/>
          <w:bCs/>
          <w:i w:val="false"/>
          <w:iCs w:val="false"/>
          <w:color w:val="000000"/>
          <w:sz w:val="20"/>
          <w:szCs w:val="20"/>
        </w:rPr>
        <w:t xml:space="preserve">Financial Strength (Half-Yearly):                                                                                                       (Rs. in crores)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Particulars</w:t>
            </w:r>
          </w:p>
        </w:tc>
        <w:tc>
          <w:tcPr>
            <w:tcW w:type="dxa" w:w="28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bCs/>
                <w:i w:val="false"/>
                <w:iCs w:val="false"/>
                <w:color w:val="000000"/>
                <w:sz w:val="20"/>
                <w:szCs w:val="20"/>
              </w:rPr>
              <w:t xml:space="preserve">H1FY26</w:t>
            </w:r>
          </w:p>
        </w:tc>
        <w:tc>
          <w:tcPr>
            <w:tcW w:type="dxa" w:w="28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bCs/>
                <w:i w:val="false"/>
                <w:iCs w:val="false"/>
                <w:color w:val="000000"/>
                <w:sz w:val="20"/>
                <w:szCs w:val="20"/>
              </w:rPr>
              <w:t xml:space="preserve">H1FY25</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PAT</w:t>
            </w:r>
          </w:p>
        </w:tc>
        <w:tc>
          <w:tcPr>
            <w:tcW w:type="dxa" w:w="28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518</w:t>
            </w:r>
          </w:p>
        </w:tc>
        <w:tc>
          <w:tcPr>
            <w:tcW w:type="dxa" w:w="28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501</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NNPA (%)</w:t>
            </w:r>
          </w:p>
        </w:tc>
        <w:tc>
          <w:tcPr>
            <w:tcW w:type="dxa" w:w="28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1.2</w:t>
            </w:r>
          </w:p>
        </w:tc>
        <w:tc>
          <w:tcPr>
            <w:tcW w:type="dxa" w:w="28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0.9</w:t>
            </w:r>
          </w:p>
        </w:tc>
      </w:tr>
      <w:tr>
        <w:tc>
          <w:tcPr>
            <w:tcW w:type="dxa" w:w="3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CAR (%)*</w:t>
            </w:r>
          </w:p>
        </w:tc>
        <w:tc>
          <w:tcPr>
            <w:tcW w:type="dxa" w:w="28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23.3</w:t>
            </w:r>
          </w:p>
        </w:tc>
        <w:tc>
          <w:tcPr>
            <w:tcW w:type="dxa" w:w="28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24.2</w:t>
            </w:r>
          </w:p>
        </w:tc>
      </w:tr>
    </w:tbl>
    <w:p>
      <w:pPr>
        <w:spacing w:after="120" w:before="60"/>
        <w:jc w:val="left"/>
      </w:pPr>
      <w:r>
        <w:rPr>
          <w:rFonts w:ascii="Calibri" w:cs="Calibri" w:eastAsia="Calibri" w:hAnsi="Calibri"/>
          <w:b w:val="false"/>
          <w:bCs w:val="false"/>
          <w:i/>
          <w:iCs/>
          <w:color w:val="000000"/>
          <w:sz w:val="16"/>
          <w:szCs w:val="16"/>
        </w:rPr>
        <w:t xml:space="preserve">Note: H1FY26 PAT = Q1FY26 (₹272 cr) + Q2FY26 (₹246 cr). H1FY25 PAT directly disclosed. NNPA and CAR are as-at period-end (Sep-25 and Sep-24 respectively). * CAR includes unaudited profits. Rows removed per sourcing discipline: NII (Q1FY25 not available), Total Income, and balance sheet averages (Jun-24 KMP data not disclosed). Sources: Kotak Group Q2FY26 Investor Presentation, slides 4 and 15.</w:t>
      </w:r>
    </w:p>
    <w:p>
      <w:pPr>
        <w:spacing w:after="60" w:before="0"/>
        <w:jc w:val="left"/>
      </w:pPr>
      <w:r>
        <w:rPr>
          <w:rFonts w:ascii="Calibri" w:cs="Calibri" w:eastAsia="Calibri" w:hAnsi="Calibri"/>
          <w:b/>
          <w:bCs/>
          <w:i w:val="false"/>
          <w:iCs w:val="false"/>
          <w:color w:val="000000"/>
          <w:sz w:val="20"/>
          <w:szCs w:val="20"/>
        </w:rPr>
        <w:t xml:space="preserve">Comments:</w:t>
      </w:r>
    </w:p>
    <w:p>
      <w:pPr>
        <w:spacing w:after="80" w:before="0"/>
        <w:jc w:val="both"/>
      </w:pPr>
      <w:r>
        <w:rPr>
          <w:rFonts w:ascii="Calibri" w:cs="Calibri" w:eastAsia="Calibri" w:hAnsi="Calibri"/>
          <w:b/>
          <w:bCs/>
          <w:i w:val="false"/>
          <w:iCs w:val="false"/>
          <w:color w:val="000000"/>
          <w:sz w:val="20"/>
          <w:szCs w:val="20"/>
        </w:rPr>
        <w:t xml:space="preserve">Asset Quality: </w:t>
      </w:r>
      <w:r>
        <w:rPr>
          <w:rFonts w:ascii="Calibri" w:cs="Calibri" w:eastAsia="Calibri" w:hAnsi="Calibri"/>
          <w:b w:val="false"/>
          <w:bCs w:val="false"/>
          <w:i w:val="false"/>
          <w:iCs w:val="false"/>
          <w:color w:val="000000"/>
          <w:sz w:val="20"/>
          <w:szCs w:val="20"/>
        </w:rPr>
        <w:t xml:space="preserve">KMP's asset quality has shown a gradual increase in gross NPA over the review period, with GNPA rising from 2.45% in FY23 to 2.56% in FY24 and 2.74% in FY25, reflecting portfolio growth primarily in vehicle finance and some stress in the unsecured segment (unsecured personal loan NPA: 4.53%, auto loan NPA: 2.73% as per Note 46.18.4, FY24 AR). Net NPA, however, remained largely stable at 1.05% (FY23), 1.09% (FY24), and 1.10% (FY25), underpinned by adequate provisioning. As at 30th September 2025, the NNPA stood at 1.2%, marginally higher than 0.9% in the prior period, reflecting normalisation in the vehicle finance segment post-pandemic. Concentration of credit to the top 20 borrowers improved from 4.36% (FY24) to 3.86% (FY25), indicating a more granular portfolio. Provision coverage remains adequate, and there were no instances of divergence in asset classification or breach of covenant during FY25 (Note 46.10, FY25 AR).</w:t>
      </w:r>
    </w:p>
    <w:p>
      <w:pPr>
        <w:spacing w:after="80" w:before="0"/>
        <w:jc w:val="both"/>
      </w:pPr>
      <w:r>
        <w:rPr>
          <w:rFonts w:ascii="Calibri" w:cs="Calibri" w:eastAsia="Calibri" w:hAnsi="Calibri"/>
          <w:b/>
          <w:bCs/>
          <w:i w:val="false"/>
          <w:iCs w:val="false"/>
          <w:color w:val="000000"/>
          <w:sz w:val="20"/>
          <w:szCs w:val="20"/>
        </w:rPr>
        <w:t xml:space="preserve">Capitalisation: </w:t>
      </w:r>
      <w:r>
        <w:rPr>
          <w:rFonts w:ascii="Calibri" w:cs="Calibri" w:eastAsia="Calibri" w:hAnsi="Calibri"/>
          <w:b w:val="false"/>
          <w:bCs w:val="false"/>
          <w:i w:val="false"/>
          <w:iCs w:val="false"/>
          <w:color w:val="000000"/>
          <w:sz w:val="20"/>
          <w:szCs w:val="20"/>
        </w:rPr>
        <w:t xml:space="preserve">KMP is well-capitalised with a CRAR of 23.62% and Tier I CRAR of 23.12% as at 31st March 2025 (Note 46.01, FY25 AR), significantly above the regulatory minimum of 15%. CRAR has moderated from 28.50% (FY23) to 23.62% (FY25) as the loan book has grown rapidly (CAGR ~22% over two years), though it remains comfortably above the regulatory floor. Net worth has grown from ₹10,239 crore (FY23) to ₹13,027 crore (FY25), supported by retained earnings and unrealised gains on FVTOCI equity investments (group company shares). Reported ROE of 8.05% (FY25) reflects the elevated equity base partly due to these unrealised OCI reserves; the operating return on the loan book is captured more accurately by the 2.23% ROA. As a wholly-owned subsidiary of KMB, KMP can access capital support from its parent if required. CAR as at 30th September 2025 stood at 23.3% (including unaudited profits).</w:t>
      </w:r>
    </w:p>
    <w:p>
      <w:pPr>
        <w:spacing w:after="120" w:before="0"/>
        <w:jc w:val="both"/>
      </w:pPr>
      <w:r>
        <w:rPr>
          <w:rFonts w:ascii="Calibri" w:cs="Calibri" w:eastAsia="Calibri" w:hAnsi="Calibri"/>
          <w:b/>
          <w:bCs/>
          <w:i w:val="false"/>
          <w:iCs w:val="false"/>
          <w:color w:val="000000"/>
          <w:sz w:val="20"/>
          <w:szCs w:val="20"/>
        </w:rPr>
        <w:t xml:space="preserve">Liquidity: </w:t>
      </w:r>
      <w:r>
        <w:rPr>
          <w:rFonts w:ascii="Calibri" w:cs="Calibri" w:eastAsia="Calibri" w:hAnsi="Calibri"/>
          <w:b w:val="false"/>
          <w:bCs w:val="false"/>
          <w:i w:val="false"/>
          <w:iCs w:val="false"/>
          <w:color w:val="000000"/>
          <w:sz w:val="20"/>
          <w:szCs w:val="20"/>
        </w:rPr>
        <w:t xml:space="preserve">KMP's liquidity profile is robust. The Liquidity Coverage Ratio (LCR) stood at 122.47% as at 31st March 2025 (Average Q4FY25), above the regulatory requirement of 100%, improving from 98.00% in FY24 (Note 46.31, FY25 AR). KMP funds its loan book primarily through a mix of listed NCDs, bank borrowings, and subordinated debt, with a well-laddered maturity profile. Total borrowings grew from ₹22,639 crore (FY23) to ₹34,046 crore (FY25) as the book expanded. As a subsidiary of KMB, KMP benefits from implicit parental liquidity backstop and access to interbank funding lines. There were no defaults or instances of breach of covenant in respect of borrowings during FY25 (Note 46.10.02, FY25 AR). The ratings of CRISIL AAA/Stable and [ICRA]AAA(Stable) ensure uninterrupted market access for refinancing.</w:t>
      </w:r>
    </w:p>
    <w:p>
      <w:pPr>
        <w:spacing w:after="120" w:before="0"/>
        <w:jc w:val="both"/>
      </w:pPr>
      <w:r>
        <w:rPr>
          <w:rFonts w:ascii="Calibri" w:cs="Calibri" w:eastAsia="Calibri" w:hAnsi="Calibri"/>
          <w:b/>
          <w:bCs/>
          <w:i w:val="false"/>
          <w:iCs w:val="false"/>
          <w:color w:val="000000"/>
          <w:sz w:val="20"/>
          <w:szCs w:val="20"/>
        </w:rPr>
        <w:t xml:space="preserve">Recommendation:</w:t>
      </w:r>
      <w:r>
        <w:rPr>
          <w:rFonts w:ascii="Calibri" w:cs="Calibri" w:eastAsia="Calibri" w:hAnsi="Calibri"/>
          <w:b w:val="false"/>
          <w:bCs w:val="false"/>
          <w:i w:val="false"/>
          <w:iCs w:val="false"/>
          <w:color w:val="000000"/>
          <w:sz w:val="20"/>
          <w:szCs w:val="20"/>
        </w:rPr>
        <w:t xml:space="preserve">  Keeping in view the strong parentage of Kotak Mahindra Bank, AAA credit ratings, adequate capitalisation, comfortable liquidity, and stable overall financial profile, it is recommended to continue with the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Fund Manager</w:t>
            </w:r>
          </w:p>
        </w:tc>
        <w:tc>
          <w:tcPr>
            <w:tcW w:type="dxa" w:w="4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i w:val="false"/>
                <w:iCs w:val="false"/>
                <w:color w:val="000000"/>
                <w:sz w:val="20"/>
                <w:szCs w:val="20"/>
              </w:rPr>
              <w:t xml:space="preserve">CIO</w:t>
            </w:r>
          </w:p>
        </w:tc>
      </w:tr>
      <w:tr>
        <w:tc>
          <w:tcPr>
            <w:tcW w:type="dxa" w:w="4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Harshal Shah</w:t>
            </w:r>
          </w:p>
        </w:tc>
        <w:tc>
          <w:tcPr>
            <w:tcW w:type="dxa" w:w="4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Dheeraj Agarwal</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2026-06-01T07:06:55.898Z</dcterms:created>
  <dcterms:modified xsi:type="dcterms:W3CDTF">2026-06-01T07:06:55.898Z</dcterms:modified>
</cp:coreProperties>
</file>

<file path=docProps/custom.xml><?xml version="1.0" encoding="utf-8"?>
<Properties xmlns="http://schemas.openxmlformats.org/officeDocument/2006/custom-properties" xmlns:vt="http://schemas.openxmlformats.org/officeDocument/2006/docPropsVTypes"/>
</file>