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00000"/>
          <w:sz w:val="28"/>
          <w:szCs w:val="28"/>
        </w:rPr>
        <w:t xml:space="preserve">KOTAK MAHINDRA BANK LTD.</w:t>
      </w:r>
    </w:p>
    <w:p>
      <w:pPr>
        <w:jc w:val="center"/>
      </w:pPr>
      <w:r>
        <w:rPr>
          <w:rFonts w:ascii="Arial" w:cs="Arial" w:eastAsia="Arial" w:hAnsi="Arial"/>
          <w:b/>
          <w:bCs/>
          <w:color w:val="000000"/>
          <w:sz w:val="24"/>
          <w:szCs w:val="24"/>
        </w:rPr>
        <w:t xml:space="preserve">Credit Review &amp; Analysis</w:t>
      </w:r>
    </w:p>
    <w:p>
      <w:r>
        <w:rPr>
          <w:sz w:val="8"/>
          <w:szCs w:val="8"/>
        </w:rPr>
        <w:t xml:space="preserve"/>
      </w:r>
    </w:p>
    <w:p>
      <w:r>
        <w:rPr>
          <w:rFonts w:ascii="Arial" w:cs="Arial" w:eastAsia="Arial" w:hAnsi="Arial"/>
          <w:b/>
          <w:bCs/>
          <w:color w:val="000000"/>
          <w:sz w:val="20"/>
          <w:szCs w:val="20"/>
        </w:rPr>
        <w:t xml:space="preserve">Company Profile:</w:t>
      </w:r>
    </w:p>
    <w:p>
      <w:r>
        <w:rPr>
          <w:sz w:val="4"/>
          <w:szCs w:val="4"/>
        </w:rPr>
        <w:t xml:space="preserve"/>
      </w:r>
    </w:p>
    <w:p>
      <w:r>
        <w:rPr>
          <w:rFonts w:ascii="Arial" w:cs="Arial" w:eastAsia="Arial" w:hAnsi="Arial"/>
          <w:color w:val="000000"/>
          <w:sz w:val="18"/>
          <w:szCs w:val="18"/>
        </w:rPr>
        <w:t xml:space="preserve">Kotak Mahindra Bank Limited (KMB) is a scheduled commercial bank and the 4th largest private sector bank in India by balance sheet size. Incorporated in 1985 and receiving its banking licence in 2003, Kotak has evolved into a diversified financial conglomerate with four engines of growth: Banking &amp; Lending, Capital Markets, Asset Management, and Protection (Insurance). The Bank serves four focus customer segments – Core India, High Networth, SME, and Institutional – through curated propositions across its digital platforms (Kotak Bank App, Kotak811, Kotak Neo, and Kotak fyn). As of September 30, 2025, the Bank has a network of 2,198 branches and 2,758 ATMs across India, with international offices in Dubai (DIFC), GIFT City, New York, London, Mauritius, Singapore, and Abu Dhabi. The group's consolidated AUM stood at ₹7,60,598 crore and consolidated customer assets at ₹5,76,339 crore.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Issuer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Kotak Mahindra Bank Ltd.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Industry as per NIC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Financial and insurance activities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 Period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Half Year period ended September 30, 2025</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Prepared By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Pradnyapti Jain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Reviewed By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Dheeraj Agarwal</w:t>
            </w:r>
          </w:p>
        </w:tc>
      </w:tr>
    </w:tbl>
    <w:p>
      <w:r>
        <w:rPr>
          <w:sz w:val="10"/>
          <w:szCs w:val="10"/>
        </w:rPr>
        <w:t xml:space="preserve"/>
      </w:r>
    </w:p>
    <w:p>
      <w:r>
        <w:rPr>
          <w:rFonts w:ascii="Arial" w:cs="Arial" w:eastAsia="Arial" w:hAnsi="Arial"/>
          <w:b/>
          <w:bCs/>
          <w:color w:val="000000"/>
          <w:sz w:val="20"/>
          <w:szCs w:val="20"/>
        </w:rPr>
        <w:t xml:space="preserve">Financial Strength:</w:t>
      </w:r>
    </w:p>
    <w:p>
      <w:r>
        <w:rPr>
          <w:sz w:val="4"/>
          <w:szCs w:val="4"/>
        </w:rPr>
        <w:t xml:space="preserve"/>
      </w:r>
    </w:p>
    <w:p>
      <w:r>
        <w:rPr>
          <w:rFonts w:ascii="Arial" w:cs="Arial" w:eastAsia="Arial" w:hAnsi="Arial"/>
          <w:i/>
          <w:iCs/>
          <w:color w:val="555555"/>
          <w:sz w:val="16"/>
          <w:szCs w:val="16"/>
        </w:rPr>
        <w:t xml:space="preserve">(Rs. in crores)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Particulars</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31.03.2025</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31.03.2024</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31.03.2023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Income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39,760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33,520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27,390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28,342</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24,690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20,070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13,720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12,091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10,939</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Assets</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6,89,009</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6,23,208</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5,21,750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Borrowings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21,148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26,512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25,360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Investments</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1,82,292</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1,75,532</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1,55,810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Advances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4,44,823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3,99,522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3,20,100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Deposits</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5,12,838</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4,61,454</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3,83,950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Capital Adequacy ratio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22.7</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Capital Adequacy ratio (Tier – 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21.5</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21.5</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GNPA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1.49</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1.72</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NNPA</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0.34</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0.43</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0.37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1.94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2.17</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2.21</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ROE</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10.94</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12.23</w:t>
            </w:r>
          </w:p>
        </w:tc>
        <w:tc>
          <w:tcPr>
            <w:tcW w:type="dxa" w:w="1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13.90</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Particulars</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H1FY26</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H1FY25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Income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20,239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19,475</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NII</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14,570</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13,862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6,535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6,864</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Assets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7,06,967</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6,23,208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Borrowings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23,911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26,512</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Investments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1,72,994</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1,75,532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Advances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4,62,688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3,99,522</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Deposits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5,28,776</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4,61,454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Capital Adequacy ratio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22.6</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Capital Adequacy ratio (Tier – I)</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20.9</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GNPA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1.39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1.49</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NNPA</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0.32</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0.43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2.17</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ROE</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10.38</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12.23</w:t>
            </w:r>
          </w:p>
        </w:tc>
      </w:tr>
    </w:tbl>
    <w:p>
      <w:r>
        <w:rPr>
          <w:sz w:val="10"/>
          <w:szCs w:val="10"/>
        </w:rPr>
        <w:t xml:space="preserve"/>
      </w:r>
    </w:p>
    <w:p>
      <w:r>
        <w:rPr>
          <w:rFonts w:ascii="Arial" w:cs="Arial" w:eastAsia="Arial" w:hAnsi="Arial"/>
          <w:b/>
          <w:bCs/>
          <w:color w:val="000000"/>
          <w:sz w:val="20"/>
          <w:szCs w:val="20"/>
        </w:rPr>
        <w:t xml:space="preserve">Comments:</w:t>
      </w:r>
    </w:p>
    <w:p>
      <w:r>
        <w:rPr>
          <w:sz w:val="4"/>
          <w:szCs w:val="4"/>
        </w:rPr>
        <w:t xml:space="preserve"/>
      </w:r>
    </w:p>
    <w:p>
      <w:r>
        <w:rPr>
          <w:rFonts w:ascii="Arial" w:cs="Arial" w:eastAsia="Arial" w:hAnsi="Arial"/>
          <w:b/>
          <w:bCs/>
          <w:color w:val="000000"/>
          <w:sz w:val="18"/>
          <w:szCs w:val="18"/>
        </w:rPr>
        <w:t xml:space="preserve">Asset Quality: </w:t>
      </w:r>
      <w:r>
        <w:rPr>
          <w:rFonts w:ascii="Arial" w:cs="Arial" w:eastAsia="Arial" w:hAnsi="Arial"/>
          <w:b w:val="false"/>
          <w:bCs w:val="false"/>
          <w:color w:val="000000"/>
          <w:sz w:val="18"/>
          <w:szCs w:val="18"/>
        </w:rPr>
        <w:t xml:space="preserve">The bank's asset quality remains healthy. Gross NPA ratio improved to 1.39% as on September 30, 2025 from 1.49% in the corresponding period of the previous year, reflecting lower fresh slippages which declined to ₹1,629 crore in Q2FY26 from ₹1,875 crore in Q2FY25. Net NPA of 0.32% as on September 30, 2025 also remains comfortable and is among the lowest in the private banking sector. Provision Coverage Ratio (PCR) strengthened to 77% as on September 30, 2025 versus 71% in the corresponding period last year, indicating adequate provisioning buffers. Unsecured retail advances (including Retail Microcredit) as a percentage of net advances have declined sequentially to 9.2% as on September 30, 2025 from 11.3% a year ago, reflecting a conscious calibration of the unsecured book.</w:t>
      </w:r>
    </w:p>
    <w:p>
      <w:r>
        <w:rPr>
          <w:sz w:val="6"/>
          <w:szCs w:val="6"/>
        </w:rPr>
        <w:t xml:space="preserve"/>
      </w:r>
    </w:p>
    <w:p>
      <w:r>
        <w:rPr>
          <w:rFonts w:ascii="Arial" w:cs="Arial" w:eastAsia="Arial" w:hAnsi="Arial"/>
          <w:b/>
          <w:bCs/>
          <w:color w:val="000000"/>
          <w:sz w:val="18"/>
          <w:szCs w:val="18"/>
        </w:rPr>
        <w:t xml:space="preserve">Capitalisation: </w:t>
      </w:r>
      <w:r>
        <w:rPr>
          <w:rFonts w:ascii="Arial" w:cs="Arial" w:eastAsia="Arial" w:hAnsi="Arial"/>
          <w:b w:val="false"/>
          <w:bCs w:val="false"/>
          <w:color w:val="000000"/>
          <w:sz w:val="18"/>
          <w:szCs w:val="18"/>
        </w:rPr>
        <w:t xml:space="preserve">Capitalisation remains robust and well in excess of regulatory requirements. On September 30, 2025, the bank's reported Capital Adequacy Ratio (CAR) stood at 22.1% and Tier 1 (CET-I) at 20.9%, both comfortably above the regulatory minimum. The bank's consolidated net worth stood at ₹1,25,157 crore as on September 30, 2025, up 14% year-on-year. Book value per share (consolidated) grew to ₹844, a 14% increase year-on-year, reflecting healthy internal capital generation. At a consolidated level, CRAR including unaudited profits stood at 22.8% and CET-I at 21.8%, providing ample headroom for balance sheet growth.</w:t>
      </w:r>
    </w:p>
    <w:p>
      <w:r>
        <w:rPr>
          <w:sz w:val="6"/>
          <w:szCs w:val="6"/>
        </w:rPr>
        <w:t xml:space="preserve"/>
      </w:r>
    </w:p>
    <w:p>
      <w:r>
        <w:rPr>
          <w:rFonts w:ascii="Arial" w:cs="Arial" w:eastAsia="Arial" w:hAnsi="Arial"/>
          <w:b/>
          <w:bCs/>
          <w:color w:val="000000"/>
          <w:sz w:val="18"/>
          <w:szCs w:val="18"/>
        </w:rPr>
        <w:t xml:space="preserve">Liquidity: </w:t>
      </w:r>
      <w:r>
        <w:rPr>
          <w:rFonts w:ascii="Arial" w:cs="Arial" w:eastAsia="Arial" w:hAnsi="Arial"/>
          <w:b w:val="false"/>
          <w:bCs w:val="false"/>
          <w:color w:val="000000"/>
          <w:sz w:val="18"/>
          <w:szCs w:val="18"/>
        </w:rPr>
        <w:t xml:space="preserve">Kotak Mahindra Bank's liquidity profile is strong. The bank has maintained a healthy CASA ratio of 42.3% as on September 30, 2025 (Q2FY25: 43.6%), providing a stable and low-cost funding base, though costs of savings deposits have moderated to 2.89% (Q2FY25: 4.12%) and overall cost of funds declined to 4.70% (Q2FY25: 5.15%). Total deposits grew 15% year-on-year to ₹5,28,776 crore with the CD ratio at 87.5%. The bank has access to a diversified set of funding sources including certificate of deposits, inter-bank borrowings, and refinance from financial institutions, in addition to LAF/MSF facilities. LCR compliance remains well above the regulatory minimum of 100%.</w:t>
      </w:r>
    </w:p>
    <w:p>
      <w:r>
        <w:rPr>
          <w:sz w:val="10"/>
          <w:szCs w:val="10"/>
        </w:rPr>
        <w:t xml:space="preserve"/>
      </w:r>
    </w:p>
    <w:p>
      <w:r>
        <w:rPr>
          <w:rFonts w:ascii="Arial" w:cs="Arial" w:eastAsia="Arial" w:hAnsi="Arial"/>
          <w:b/>
          <w:bCs/>
          <w:color w:val="000000"/>
          <w:sz w:val="20"/>
          <w:szCs w:val="20"/>
        </w:rPr>
        <w:t xml:space="preserve">Recommendation:</w:t>
      </w:r>
    </w:p>
    <w:p>
      <w:r>
        <w:rPr>
          <w:sz w:val="4"/>
          <w:szCs w:val="4"/>
        </w:rPr>
        <w:t xml:space="preserve"/>
      </w:r>
    </w:p>
    <w:p>
      <w:r>
        <w:rPr>
          <w:rFonts w:ascii="Arial" w:cs="Arial" w:eastAsia="Arial" w:hAnsi="Arial"/>
          <w:color w:val="000000"/>
          <w:sz w:val="18"/>
          <w:szCs w:val="18"/>
        </w:rPr>
        <w:t xml:space="preserve">Keeping in view the financial track record and good reputation of the company and satisfactory financial trend above, it is recommended to continue with the investment.</w:t>
      </w:r>
    </w:p>
    <w:p>
      <w:r>
        <w:rPr>
          <w:sz w:val="16"/>
          <w:szCs w:val="16"/>
        </w:rPr>
        <w:t xml:space="preserve"/>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Fund Manager</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Harshal Shah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Dheeraj Agarwal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2026-05-12T10:34:21.293Z</dcterms:created>
  <dcterms:modified xsi:type="dcterms:W3CDTF">2026-05-12T10:34:21.293Z</dcterms:modified>
</cp:coreProperties>
</file>

<file path=docProps/custom.xml><?xml version="1.0" encoding="utf-8"?>
<Properties xmlns="http://schemas.openxmlformats.org/officeDocument/2006/custom-properties" xmlns:vt="http://schemas.openxmlformats.org/officeDocument/2006/docPropsVTypes"/>
</file>