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mbria" w:cs="Cambria" w:eastAsia="Cambria" w:hAnsi="Cambria"/>
          <w:b/>
          <w:bCs/>
          <w:color w:val="12355B"/>
          <w:sz w:val="60"/>
          <w:szCs w:val="60"/>
        </w:rPr>
        <w:t xml:space="preserve">Credit Card Approval</w:t>
      </w:r>
    </w:p>
    <w:p>
      <w:pPr>
        <w:spacing w:after="400"/>
      </w:pPr>
      <w:r>
        <w:rPr>
          <w:rFonts w:ascii="Cambria" w:cs="Cambria" w:eastAsia="Cambria" w:hAnsi="Cambria"/>
          <w:b/>
          <w:bCs/>
          <w:color w:val="1B998B"/>
          <w:sz w:val="60"/>
          <w:szCs w:val="60"/>
        </w:rPr>
        <w:t xml:space="preserve">Risk Prediction</w:t>
      </w:r>
    </w:p>
    <w:p>
      <w:pPr>
        <w:spacing w:after="200"/>
      </w:pPr>
      <w:r>
        <w:rPr>
          <w:color w:val="5C6B7A"/>
          <w:sz w:val="28"/>
          <w:szCs w:val="28"/>
        </w:rPr>
        <w:t xml:space="preserve">Project Report: data analysis, modelling and evaluation</w:t>
      </w:r>
    </w:p>
    <w:p>
      <w:pPr>
        <w:spacing w:after="60" w:before="1600"/>
      </w:pPr>
      <w:r>
        <w:rPr>
          <w:sz w:val="22"/>
          <w:szCs w:val="22"/>
        </w:rPr>
        <w:t xml:space="preserve">Dataset: Credit Card Approval Prediction (Kaggle, rikdifos)</w:t>
      </w:r>
    </w:p>
    <w:p>
      <w:pPr>
        <w:spacing w:after="60"/>
      </w:pPr>
      <w:r>
        <w:rPr>
          <w:sz w:val="22"/>
          <w:szCs w:val="22"/>
        </w:rPr>
        <w:t xml:space="preserve">Tools: Python, pandas, NumPy, scikit-learn, matplotlib</w:t>
      </w:r>
    </w:p>
    <w:p>
      <w:r>
        <w:br w:type="page"/>
      </w:r>
    </w:p>
    <w:p>
      <w:pPr>
        <w:pStyle w:val="Heading1"/>
      </w:pPr>
      <w:r>
        <w:t xml:space="preserve">Contents</w:t>
      </w:r>
    </w:p>
    <w:p>
      <w:pPr>
        <w:spacing w:after="100"/>
      </w:pPr>
      <w:r>
        <w:rPr>
          <w:sz w:val="24"/>
          <w:szCs w:val="24"/>
        </w:rPr>
        <w:t xml:space="preserve">1. Executive Summary</w:t>
      </w:r>
    </w:p>
    <w:p>
      <w:pPr>
        <w:spacing w:after="100"/>
      </w:pPr>
      <w:r>
        <w:rPr>
          <w:sz w:val="24"/>
          <w:szCs w:val="24"/>
        </w:rPr>
        <w:t xml:space="preserve">2. Introduction</w:t>
      </w:r>
    </w:p>
    <w:p>
      <w:pPr>
        <w:spacing w:after="100"/>
      </w:pPr>
      <w:r>
        <w:rPr>
          <w:sz w:val="24"/>
          <w:szCs w:val="24"/>
        </w:rPr>
        <w:t xml:space="preserve">3. Data Description</w:t>
      </w:r>
    </w:p>
    <w:p>
      <w:pPr>
        <w:spacing w:after="100"/>
      </w:pPr>
      <w:r>
        <w:rPr>
          <w:sz w:val="24"/>
          <w:szCs w:val="24"/>
        </w:rPr>
        <w:t xml:space="preserve">4. Exploratory Data Analysis</w:t>
      </w:r>
    </w:p>
    <w:p>
      <w:pPr>
        <w:spacing w:after="100"/>
      </w:pPr>
      <w:r>
        <w:rPr>
          <w:sz w:val="24"/>
          <w:szCs w:val="24"/>
        </w:rPr>
        <w:t xml:space="preserve">5. Data Preparation</w:t>
      </w:r>
    </w:p>
    <w:p>
      <w:pPr>
        <w:spacing w:after="100"/>
      </w:pPr>
      <w:r>
        <w:rPr>
          <w:sz w:val="24"/>
          <w:szCs w:val="24"/>
        </w:rPr>
        <w:t xml:space="preserve">6. Feature Engineering and Preprocessing</w:t>
      </w:r>
    </w:p>
    <w:p>
      <w:pPr>
        <w:spacing w:after="100"/>
      </w:pPr>
      <w:r>
        <w:rPr>
          <w:sz w:val="24"/>
          <w:szCs w:val="24"/>
        </w:rPr>
        <w:t xml:space="preserve">7. Modelling</w:t>
      </w:r>
    </w:p>
    <w:p>
      <w:pPr>
        <w:spacing w:after="100"/>
      </w:pPr>
      <w:r>
        <w:rPr>
          <w:sz w:val="24"/>
          <w:szCs w:val="24"/>
        </w:rPr>
        <w:t xml:space="preserve">8. Evaluation and Results</w:t>
      </w:r>
    </w:p>
    <w:p>
      <w:pPr>
        <w:spacing w:after="100"/>
      </w:pPr>
      <w:r>
        <w:rPr>
          <w:sz w:val="24"/>
          <w:szCs w:val="24"/>
        </w:rPr>
        <w:t xml:space="preserve">9. Discussion</w:t>
      </w:r>
    </w:p>
    <w:p>
      <w:pPr>
        <w:spacing w:after="100"/>
      </w:pPr>
      <w:r>
        <w:rPr>
          <w:sz w:val="24"/>
          <w:szCs w:val="24"/>
        </w:rPr>
        <w:t xml:space="preserve">10. Limitations</w:t>
      </w:r>
    </w:p>
    <w:p>
      <w:pPr>
        <w:spacing w:after="100"/>
      </w:pPr>
      <w:r>
        <w:rPr>
          <w:sz w:val="24"/>
          <w:szCs w:val="24"/>
        </w:rPr>
        <w:t xml:space="preserve">11. Recommendations and Future Work</w:t>
      </w:r>
    </w:p>
    <w:p>
      <w:pPr>
        <w:spacing w:after="100"/>
      </w:pPr>
      <w:r>
        <w:rPr>
          <w:sz w:val="24"/>
          <w:szCs w:val="24"/>
        </w:rPr>
        <w:t xml:space="preserve">12. Conclusion</w:t>
      </w:r>
    </w:p>
    <w:p>
      <w:pPr>
        <w:spacing w:after="100"/>
      </w:pPr>
      <w:r>
        <w:rPr>
          <w:sz w:val="24"/>
          <w:szCs w:val="24"/>
        </w:rPr>
        <w:t xml:space="preserve">Appendix A. Notebook Workflow Summary</w:t>
      </w:r>
    </w:p>
    <w:p>
      <w:r>
        <w:br w:type="page"/>
      </w:r>
    </w:p>
    <w:p>
      <w:pPr>
        <w:pStyle w:val="Heading1"/>
      </w:pPr>
      <w:r>
        <w:t xml:space="preserve">1. Executive Summary</w:t>
      </w:r>
    </w:p>
    <w:p>
      <w:pPr>
        <w:spacing w:after="120" w:line="300"/>
      </w:pPr>
      <w:r>
        <w:t xml:space="preserve">This project builds and compares machine-learning classifiers that predict whether a credit card applicant is likely to become a credit risk, using only information supplied at the time of application. The applicant data (438,557 rows) is joined with monthly repayment records (1,048,575 rows) to create a labelled dataset of 36,457 applicants.</w:t>
      </w:r>
    </w:p>
    <w:p>
      <w:pPr>
        <w:spacing w:after="120" w:line="300"/>
      </w:pPr>
      <w:r>
        <w:rPr>
          <w:b/>
          <w:bCs/>
        </w:rPr>
        <w:t xml:space="preserve">Target: </w:t>
      </w:r>
      <w:r>
        <w:t xml:space="preserve">an applicant is labelled a credit risk if they were 30 or more days overdue in any recorded month. About 11.6% of applicants meet this definition (5,350 of 45,985 in the credit record).</w:t>
      </w:r>
    </w:p>
    <w:p>
      <w:pPr>
        <w:spacing w:after="120" w:line="300"/>
      </w:pPr>
      <w:r>
        <w:rPr>
          <w:b/>
          <w:bCs/>
        </w:rPr>
        <w:t xml:space="preserve">Method: </w:t>
      </w:r>
      <w:r>
        <w:t xml:space="preserve">17 features (8 numerical, 9 categorical) are prepared with a shared scikit-learn preprocessing pipeline. Five models (Logistic Regression, KNN, Decision Tree, Random Forest, linear SVM) are trained on 80% of the data and evaluated on the remaining 20%, followed by 5-fold stratified cross-validation.</w:t>
      </w:r>
    </w:p>
    <w:p>
      <w:pPr>
        <w:spacing w:after="120" w:line="300"/>
      </w:pPr>
      <w:r>
        <w:rPr>
          <w:b/>
          <w:bCs/>
        </w:rPr>
        <w:t xml:space="preserve">Main findings:</w:t>
      </w:r>
    </w:p>
    <w:p>
      <w:pPr>
        <w:pStyle w:val="ListParagraph"/>
        <w:numPr>
          <w:ilvl w:val="0"/>
          <w:numId w:val="2"/>
        </w:numPr>
        <w:spacing w:after="60"/>
      </w:pPr>
      <w:r>
        <w:t xml:space="preserve">Random Forest is the best overall model: test F1 of 0.425 and mean cross-validated F1 of about 0.398, with recall of 0.626 on the risk class.</w:t>
      </w:r>
    </w:p>
    <w:p>
      <w:pPr>
        <w:pStyle w:val="ListParagraph"/>
        <w:numPr>
          <w:ilvl w:val="0"/>
          <w:numId w:val="2"/>
        </w:numPr>
        <w:spacing w:after="60"/>
      </w:pPr>
      <w:r>
        <w:t xml:space="preserve">Decision Tree is a close second (F1 0.414) with the highest recall (0.649).</w:t>
      </w:r>
    </w:p>
    <w:p>
      <w:pPr>
        <w:pStyle w:val="ListParagraph"/>
        <w:numPr>
          <w:ilvl w:val="0"/>
          <w:numId w:val="2"/>
        </w:numPr>
        <w:spacing w:after="60"/>
      </w:pPr>
      <w:r>
        <w:t xml:space="preserve">KNN reaches the highest accuracy (0.878) but detects only 22.8% of risky applicants, so accuracy is a misleading metric for this problem.</w:t>
      </w:r>
    </w:p>
    <w:p>
      <w:pPr>
        <w:pStyle w:val="ListParagraph"/>
        <w:numPr>
          <w:ilvl w:val="0"/>
          <w:numId w:val="2"/>
        </w:numPr>
        <w:spacing w:after="60"/>
      </w:pPr>
      <w:r>
        <w:t xml:space="preserve">Logistic Regression and linear SVM perform poorly (F1 near 0.20), indicating non-linear relationships in the data.</w:t>
      </w:r>
    </w:p>
    <w:p>
      <w:pPr>
        <w:pStyle w:val="ListParagraph"/>
        <w:numPr>
          <w:ilvl w:val="0"/>
          <w:numId w:val="2"/>
        </w:numPr>
        <w:spacing w:after="60"/>
      </w:pPr>
      <w:r>
        <w:t xml:space="preserve">Overall predictive strength is modest. The results are a solid baseline, not a production-ready credit-scoring model.</w:t>
      </w:r>
    </w:p>
    <w:p>
      <w:pPr>
        <w:pStyle w:val="Heading1"/>
      </w:pPr>
      <w:r>
        <w:t xml:space="preserve">2. Introduction</w:t>
      </w:r>
    </w:p>
    <w:p>
      <w:pPr>
        <w:pStyle w:val="Heading2"/>
      </w:pPr>
      <w:r>
        <w:t xml:space="preserve">2.1 Background</w:t>
      </w:r>
    </w:p>
    <w:p>
      <w:pPr>
        <w:spacing w:after="120" w:line="300"/>
      </w:pPr>
      <w:r>
        <w:t xml:space="preserve">Banks and card issuers must decide quickly whether to approve a credit card application. Approving an applicant who later falls behind on payments creates losses; rejecting a reliable applicant loses revenue. Data-driven risk scoring helps to make this decision consistently.</w:t>
      </w:r>
    </w:p>
    <w:p>
      <w:pPr>
        <w:pStyle w:val="Heading2"/>
      </w:pPr>
      <w:r>
        <w:t xml:space="preserve">2.2 Problem Statement</w:t>
      </w:r>
    </w:p>
    <w:p>
      <w:pPr>
        <w:spacing w:after="120" w:line="300"/>
      </w:pPr>
      <w:r>
        <w:t xml:space="preserve">Given demographic, financial and employment attributes of an applicant, predict whether the applicant will be a credit risk (a delinquent payer).</w:t>
      </w:r>
    </w:p>
    <w:p>
      <w:pPr>
        <w:pStyle w:val="Heading2"/>
      </w:pPr>
      <w:r>
        <w:t xml:space="preserve">2.3 Objectives</w:t>
      </w:r>
    </w:p>
    <w:p>
      <w:pPr>
        <w:pStyle w:val="ListParagraph"/>
        <w:numPr>
          <w:ilvl w:val="0"/>
          <w:numId w:val="3"/>
        </w:numPr>
        <w:spacing w:after="60"/>
      </w:pPr>
      <w:r>
        <w:t xml:space="preserve">Explore and clean the application and credit-record datasets.</w:t>
      </w:r>
    </w:p>
    <w:p>
      <w:pPr>
        <w:pStyle w:val="ListParagraph"/>
        <w:numPr>
          <w:ilvl w:val="0"/>
          <w:numId w:val="3"/>
        </w:numPr>
        <w:spacing w:after="60"/>
      </w:pPr>
      <w:r>
        <w:t xml:space="preserve">Define a binary credit-risk target from repayment history.</w:t>
      </w:r>
    </w:p>
    <w:p>
      <w:pPr>
        <w:pStyle w:val="ListParagraph"/>
        <w:numPr>
          <w:ilvl w:val="0"/>
          <w:numId w:val="3"/>
        </w:numPr>
        <w:spacing w:after="60"/>
      </w:pPr>
      <w:r>
        <w:t xml:space="preserve">Engineer meaningful features and build a reusable preprocessing pipeline.</w:t>
      </w:r>
    </w:p>
    <w:p>
      <w:pPr>
        <w:pStyle w:val="ListParagraph"/>
        <w:numPr>
          <w:ilvl w:val="0"/>
          <w:numId w:val="3"/>
        </w:numPr>
        <w:spacing w:after="60"/>
      </w:pPr>
      <w:r>
        <w:t xml:space="preserve">Train and compare five classification algorithms.</w:t>
      </w:r>
    </w:p>
    <w:p>
      <w:pPr>
        <w:pStyle w:val="ListParagraph"/>
        <w:numPr>
          <w:ilvl w:val="0"/>
          <w:numId w:val="3"/>
        </w:numPr>
        <w:spacing w:after="60"/>
      </w:pPr>
      <w:r>
        <w:t xml:space="preserve">Evaluate the models using metrics suited to an imbalanced problem and identify the best one.</w:t>
      </w:r>
    </w:p>
    <w:p>
      <w:pPr>
        <w:pStyle w:val="Heading2"/>
      </w:pPr>
      <w:r>
        <w:t xml:space="preserve">2.4 Scope</w:t>
      </w:r>
    </w:p>
    <w:p>
      <w:pPr>
        <w:spacing w:after="120" w:line="300"/>
      </w:pPr>
      <w:r>
        <w:t xml:space="preserve">The project covers exploratory analysis, feature engineering, baseline modelling and evaluation in a single Jupyter notebook. Hyperparameter tuning, threshold optimisation, explainability and deployment are outside the current scope and are listed as future work.</w:t>
      </w:r>
    </w:p>
    <w:p>
      <w:pPr>
        <w:pStyle w:val="Heading1"/>
      </w:pPr>
      <w:r>
        <w:t xml:space="preserve">3. Data Description</w:t>
      </w:r>
    </w:p>
    <w:p>
      <w:pPr>
        <w:pStyle w:val="Heading2"/>
      </w:pPr>
      <w:r>
        <w:t xml:space="preserve">3.1 Source</w:t>
      </w:r>
    </w:p>
    <w:p>
      <w:pPr>
        <w:spacing w:after="120" w:line="300"/>
      </w:pPr>
      <w:r>
        <w:t xml:space="preserve">The data comes from the Kaggle dataset "Credit Card Approval Prediction" (rikdifos), downloaded programmatically with the kagglehub library. It consists of two CSV files linked by the applicant identifier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3726"/>
      </w:tblGrid>
      <w:tr>
        <w:trPr>
          <w:tblHeader/>
        </w:trPr>
        <w:tc>
          <w:tcPr>
            <w:tcW w:type="dxa" w:w="2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File</w:t>
            </w:r>
          </w:p>
        </w:tc>
        <w:tc>
          <w:tcPr>
            <w:tcW w:type="dxa" w:w="15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Rows</w:t>
            </w:r>
          </w:p>
        </w:tc>
        <w:tc>
          <w:tcPr>
            <w:tcW w:type="dxa" w:w="12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Columns</w:t>
            </w:r>
          </w:p>
        </w:tc>
        <w:tc>
          <w:tcPr>
            <w:tcW w:type="dxa" w:w="37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Content</w:t>
            </w:r>
          </w:p>
        </w:tc>
      </w:tr>
      <w:tr>
        <w:tc>
          <w:tcPr>
            <w:tcW w:type="dxa" w:w="2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application_record.csv</w:t>
            </w:r>
          </w:p>
        </w:tc>
        <w:tc>
          <w:tcPr>
            <w:tcW w:type="dxa" w:w="1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438,557</w:t>
            </w:r>
          </w:p>
        </w:tc>
        <w:tc>
          <w:tcPr>
            <w:tcW w:type="dxa" w:w="12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18</w:t>
            </w:r>
          </w:p>
        </w:tc>
        <w:tc>
          <w:tcPr>
            <w:tcW w:type="dxa" w:w="37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Applicant demographics, income, employment, housing and contact flags</w:t>
            </w:r>
          </w:p>
        </w:tc>
      </w:tr>
      <w:tr>
        <w:tc>
          <w:tcPr>
            <w:tcW w:type="dxa" w:w="2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credit_record.csv</w:t>
            </w:r>
          </w:p>
        </w:tc>
        <w:tc>
          <w:tcPr>
            <w:tcW w:type="dxa" w:w="1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1,048,575</w:t>
            </w:r>
          </w:p>
        </w:tc>
        <w:tc>
          <w:tcPr>
            <w:tcW w:type="dxa" w:w="12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w:t>
            </w:r>
          </w:p>
        </w:tc>
        <w:tc>
          <w:tcPr>
            <w:tcW w:type="dxa" w:w="37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Monthly repayment status per applicant (ID, MONTHS_BALANCE, STATUS)</w:t>
            </w:r>
          </w:p>
        </w:tc>
      </w:tr>
    </w:tbl>
    <w:p>
      <w:pPr>
        <w:spacing w:after="120"/>
      </w:pPr>
    </w:p>
    <w:p>
      <w:pPr>
        <w:pStyle w:val="Heading2"/>
      </w:pPr>
      <w:r>
        <w:t xml:space="preserve">3.2 Application Record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Field</w:t>
            </w:r>
          </w:p>
        </w:tc>
        <w:tc>
          <w:tcPr>
            <w:tcW w:type="dxa" w:w="61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Description</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ID</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Unique applicant identifier (join key)</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CODE_GENDER</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Gender (M/F)</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FLAG_OWN_CAR / FLAG_OWN_REALTY</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Owns a car / real estate (Y/N)</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CNT_CHILDREN, CNT_FAM_MEMBERS</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Number of children and family members</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AMT_INCOME_TOTAL</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Annual income</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NAME_INCOME_TYPE</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Working, Commercial associate, Pensioner, State servant, Student</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NAME_EDUCATION_TYPE</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Five education levels, from Lower secondary to Academic degree</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NAME_FAMILY_STATUS</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Married, Single / not married, Civil marriage, Separated, Widow</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NAME_HOUSING_TYPE</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House / apartment, With parents, Municipal, Rented, Office, Co-op apartment</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DAYS_BIRTH</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Days before the application date (negative number)</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DAYS_EMPLOYED</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Days employed (negative); 365243 marks no current employment</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FLAG_MOBIL, FLAG_WORK_PHONE, FLAG_PHONE, FLAG_EMAIL</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Contact availability flags (0/1)</w:t>
            </w:r>
          </w:p>
        </w:tc>
      </w:tr>
      <w:tr>
        <w:tc>
          <w:tcPr>
            <w:tcW w:type="dxa" w:w="29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OCCUPATION_TYPE</w:t>
            </w:r>
          </w:p>
        </w:tc>
        <w:tc>
          <w:tcPr>
            <w:tcW w:type="dxa" w:w="61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Occupation category (18 types, many missing)</w:t>
            </w:r>
          </w:p>
        </w:tc>
      </w:tr>
    </w:tbl>
    <w:p>
      <w:pPr>
        <w:spacing w:after="120"/>
      </w:pPr>
    </w:p>
    <w:p>
      <w:pPr>
        <w:pStyle w:val="Heading2"/>
      </w:pPr>
      <w:r>
        <w:t xml:space="preserve">3.3 Credit Record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Field</w:t>
            </w:r>
          </w:p>
        </w:tc>
        <w:tc>
          <w:tcPr>
            <w:tcW w:type="dxa" w:w="67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Description</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ID</w:t>
            </w:r>
          </w:p>
        </w:tc>
        <w:tc>
          <w:tcPr>
            <w:tcW w:type="dxa" w:w="67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Applicant identifier</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MONTHS_BALANCE</w:t>
            </w:r>
          </w:p>
        </w:tc>
        <w:tc>
          <w:tcPr>
            <w:tcW w:type="dxa" w:w="67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Month of the record relative to extraction month (0 = current, -1 = previous, down to -60)</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STATUS</w:t>
            </w:r>
          </w:p>
        </w:tc>
        <w:tc>
          <w:tcPr>
            <w:tcW w:type="dxa" w:w="67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 paid off; X no loan; 0 = 1-29 days past due; 1 = 30-59; 2 = 60-89; 3 = 90-119; 4 = 90-119 (severe); 5 = 120+ days past due</w:t>
            </w:r>
          </w:p>
        </w:tc>
      </w:tr>
    </w:tbl>
    <w:p>
      <w:pPr>
        <w:spacing w:after="120"/>
      </w:pPr>
    </w:p>
    <w:p>
      <w:pPr>
        <w:pStyle w:val="Heading1"/>
      </w:pPr>
      <w:r>
        <w:t xml:space="preserve">4. Exploratory Data Analysis</w:t>
      </w:r>
    </w:p>
    <w:p>
      <w:pPr>
        <w:pStyle w:val="Heading2"/>
      </w:pPr>
      <w:r>
        <w:t xml:space="preserve">4.1 Data Quality</w:t>
      </w:r>
    </w:p>
    <w:p>
      <w:pPr>
        <w:pStyle w:val="ListParagraph"/>
        <w:numPr>
          <w:ilvl w:val="0"/>
          <w:numId w:val="2"/>
        </w:numPr>
        <w:spacing w:after="60"/>
      </w:pPr>
      <w:r>
        <w:t xml:space="preserve">Both files were checked with shape, info, describe, null counts and duplicate counts.</w:t>
      </w:r>
    </w:p>
    <w:p>
      <w:pPr>
        <w:pStyle w:val="ListParagraph"/>
        <w:numPr>
          <w:ilvl w:val="0"/>
          <w:numId w:val="2"/>
        </w:numPr>
        <w:spacing w:after="60"/>
      </w:pPr>
      <w:r>
        <w:t xml:space="preserve">Application data: no exact duplicate rows; the only column with missing values is OCCUPATION_TYPE (134,203 missing, about 30.6%).</w:t>
      </w:r>
    </w:p>
    <w:p>
      <w:pPr>
        <w:pStyle w:val="ListParagraph"/>
        <w:numPr>
          <w:ilvl w:val="0"/>
          <w:numId w:val="2"/>
        </w:numPr>
        <w:spacing w:after="60"/>
      </w:pPr>
      <w:r>
        <w:t xml:space="preserve">Credit record: no missing values and no duplicate rows; 45,985 unique applicants.</w:t>
      </w:r>
    </w:p>
    <w:p>
      <w:pPr>
        <w:pStyle w:val="ListParagraph"/>
        <w:numPr>
          <w:ilvl w:val="0"/>
          <w:numId w:val="2"/>
        </w:numPr>
        <w:spacing w:after="60"/>
      </w:pPr>
      <w:r>
        <w:t xml:space="preserve">FLAG_MOBIL equals 1 for all 438,557 applicants, so it carries no information.</w:t>
      </w:r>
    </w:p>
    <w:p>
      <w:pPr>
        <w:pStyle w:val="Heading2"/>
      </w:pPr>
      <w:r>
        <w:t xml:space="preserve">4.2 Applicant Profile</w:t>
      </w:r>
    </w:p>
    <w:p>
      <w:pPr>
        <w:spacing w:after="120" w:line="300"/>
      </w:pPr>
      <w:r>
        <w:t xml:space="preserve">After deriving age and years of employment, the average applicant is about 43 years old (range 20 to 69) with about 5.5 years of employment (median 4). Median annual income is about 160,781 and the mean about 187,524, indicating a right-skewed income distribution with a maximum of 6,750,000.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Attribute</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Most common category</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Count</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Income type</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Working</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226,104</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Education</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Secondary / secondary special</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301,821</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Family status</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Married</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299,828</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Housing</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House / apartment</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393,831</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Children</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 children</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304,071</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Employment status</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employed (329,600) vs unemployed (108,957)</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w:t>
            </w:r>
          </w:p>
        </w:tc>
      </w:tr>
    </w:tbl>
    <w:p>
      <w:pPr>
        <w:spacing w:after="120"/>
      </w:pPr>
    </w:p>
    <w:p>
      <w:pPr>
        <w:spacing w:after="60" w:before="120"/>
        <w:jc w:val="center"/>
      </w:pPr>
      <w:r>
        <w:drawing>
          <wp:inline distT="0" distB="0" distL="0" distR="0">
            <wp:extent cx="3619500" cy="2628900"/>
            <wp:effectExtent t="0" r="0" b="0" l="0"/>
            <wp:docPr id="1" name="Figure 1. Applicants by income type (application_record)" descr="Figure 1. Applicants by income type (application_record)" title="Figure 1. Applicants by income type (application_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628900"/>
                    </a:xfrm>
                    <a:prstGeom prst="rect">
                      <a:avLst/>
                    </a:prstGeom>
                  </pic:spPr>
                </pic:pic>
              </a:graphicData>
            </a:graphic>
          </wp:inline>
        </w:drawing>
      </w:r>
    </w:p>
    <w:p>
      <w:pPr>
        <w:spacing w:after="200"/>
        <w:jc w:val="center"/>
      </w:pPr>
      <w:r>
        <w:rPr>
          <w:i/>
          <w:iCs/>
          <w:color w:val="5C6B7A"/>
          <w:sz w:val="18"/>
          <w:szCs w:val="18"/>
        </w:rPr>
        <w:t xml:space="preserve">Figure 1. Applicants by income type (application_record)</w:t>
      </w:r>
    </w:p>
    <w:p>
      <w:pPr>
        <w:spacing w:after="120" w:line="300"/>
      </w:pPr>
      <w:r>
        <w:t xml:space="preserve">Contact flags show that most applicants have no work phone (348,156 of 438,557), no email (391,102) and about 71% have no phone number recorded; these flags therefore have limited coverage.</w:t>
      </w:r>
    </w:p>
    <w:p>
      <w:pPr>
        <w:pStyle w:val="Heading2"/>
      </w:pPr>
      <w:r>
        <w:t xml:space="preserve">4.3 Repayment History</w:t>
      </w:r>
    </w:p>
    <w:p>
      <w:pPr>
        <w:spacing w:after="120" w:line="300"/>
      </w:pPr>
      <w:r>
        <w:t xml:space="preserve">Across all 1,048,575 monthly records, the most frequent statuses are C (442,031), 0 (383,120) and X (209,230). Serious delinquencies are rare: status 1 appears 11,090 times and statuses 2 to 5 together only 3,104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STATUS</w:t>
            </w:r>
          </w:p>
        </w:tc>
        <w:tc>
          <w:tcPr>
            <w:tcW w:type="dxa" w:w="35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Meaning</w:t>
            </w:r>
          </w:p>
        </w:tc>
        <w:tc>
          <w:tcPr>
            <w:tcW w:type="dxa" w:w="35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Monthly records</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Paid off</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442,031</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1-29 days past due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383,120</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X</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No loan that month</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209,230</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30-59 days past due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11,090</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120+ days past due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1,693</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60-89 days past due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868</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90-119 days past due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320</w:t>
            </w:r>
          </w:p>
        </w:tc>
      </w:tr>
      <w:tr>
        <w:tc>
          <w:tcPr>
            <w:tcW w:type="dxa" w:w="2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w:t>
            </w:r>
          </w:p>
        </w:tc>
        <w:tc>
          <w:tcPr>
            <w:tcW w:type="dxa" w:w="35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90-119 days past due (severe)</w:t>
            </w:r>
          </w:p>
        </w:tc>
        <w:tc>
          <w:tcPr>
            <w:tcW w:type="dxa" w:w="35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223</w:t>
            </w:r>
          </w:p>
        </w:tc>
      </w:tr>
    </w:tbl>
    <w:p>
      <w:pPr>
        <w:spacing w:after="120"/>
      </w:pPr>
    </w:p>
    <w:p>
      <w:pPr>
        <w:pStyle w:val="Heading1"/>
      </w:pPr>
      <w:r>
        <w:t xml:space="preserve">5. Data Preparation</w:t>
      </w:r>
    </w:p>
    <w:p>
      <w:pPr>
        <w:pStyle w:val="Heading2"/>
      </w:pPr>
      <w:r>
        <w:t xml:space="preserve">5.1 Cleaning Steps</w:t>
      </w:r>
    </w:p>
    <w:p>
      <w:pPr>
        <w:pStyle w:val="ListParagraph"/>
        <w:numPr>
          <w:ilvl w:val="0"/>
          <w:numId w:val="4"/>
        </w:numPr>
        <w:spacing w:after="60"/>
      </w:pPr>
      <w:r>
        <w:rPr>
          <w:b/>
          <w:bCs/>
        </w:rPr>
        <w:t xml:space="preserve">Age: </w:t>
      </w:r>
      <w:r>
        <w:t xml:space="preserve">AGE = -DAYS_BIRTH / 365, converted to integer years.</w:t>
      </w:r>
    </w:p>
    <w:p>
      <w:pPr>
        <w:pStyle w:val="ListParagraph"/>
        <w:numPr>
          <w:ilvl w:val="0"/>
          <w:numId w:val="4"/>
        </w:numPr>
        <w:spacing w:after="60"/>
      </w:pPr>
      <w:r>
        <w:rPr>
          <w:b/>
          <w:bCs/>
        </w:rPr>
        <w:t xml:space="preserve">Years employed: </w:t>
      </w:r>
      <w:r>
        <w:t xml:space="preserve">YEARS_EMPLOYED = |DAYS_EMPLOYED| / 365. The value 365243 is an encoded placeholder for people without a current job and was replaced with 0.</w:t>
      </w:r>
    </w:p>
    <w:p>
      <w:pPr>
        <w:pStyle w:val="ListParagraph"/>
        <w:numPr>
          <w:ilvl w:val="0"/>
          <w:numId w:val="4"/>
        </w:numPr>
        <w:spacing w:after="60"/>
      </w:pPr>
      <w:r>
        <w:rPr>
          <w:b/>
          <w:bCs/>
        </w:rPr>
        <w:t xml:space="preserve">Employment status: </w:t>
      </w:r>
      <w:r>
        <w:t xml:space="preserve">EMPLOYMENT_STATUS = 'employed' when YEARS_EMPLOYED is above 0, otherwise 'unemployed'.</w:t>
      </w:r>
    </w:p>
    <w:p>
      <w:pPr>
        <w:pStyle w:val="ListParagraph"/>
        <w:numPr>
          <w:ilvl w:val="0"/>
          <w:numId w:val="4"/>
        </w:numPr>
        <w:spacing w:after="60"/>
      </w:pPr>
      <w:r>
        <w:rPr>
          <w:b/>
          <w:bCs/>
        </w:rPr>
        <w:t xml:space="preserve">Occupation: </w:t>
      </w:r>
      <w:r>
        <w:t xml:space="preserve">missing OCCUPATION_TYPE values were filled with the category 'Unknown', preserving the information that occupation was not reported.</w:t>
      </w:r>
    </w:p>
    <w:p>
      <w:pPr>
        <w:pStyle w:val="Heading2"/>
      </w:pPr>
      <w:r>
        <w:t xml:space="preserve">5.2 Building the Target Variable</w:t>
      </w:r>
    </w:p>
    <w:p>
      <w:pPr>
        <w:spacing w:after="120" w:line="300"/>
      </w:pPr>
      <w:r>
        <w:t xml:space="preserve">The credit record has many rows per applicant, so it was aggregated to one row per ID. A month is flagged risky when STATUS is 1, 2, 3, 4 or 5 (30 or more days overdue). An applicant is labelled CREDIT_RISK = 1 if at least one month is flagged.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CREDIT_RISK</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Applicants</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Share</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 (no risk)</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40,635</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88.4%</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 (risk)</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5,350</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11.6%</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Total</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45,985</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100%</w:t>
            </w:r>
          </w:p>
        </w:tc>
      </w:tr>
    </w:tbl>
    <w:p>
      <w:pPr>
        <w:spacing w:after="120"/>
      </w:pPr>
    </w:p>
    <w:p>
      <w:pPr>
        <w:spacing w:after="60" w:before="120"/>
        <w:jc w:val="center"/>
      </w:pPr>
      <w:r>
        <w:drawing>
          <wp:inline distT="0" distB="0" distL="0" distR="0">
            <wp:extent cx="3238500" cy="2590800"/>
            <wp:effectExtent t="0" r="0" b="0" l="0"/>
            <wp:docPr id="1" name="Figure 2. Distribution of the credit-risk label" descr="Figure 2. Distribution of the credit-risk label" title="Figure 2. Distribution of the credit-risk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590800"/>
                    </a:xfrm>
                    <a:prstGeom prst="rect">
                      <a:avLst/>
                    </a:prstGeom>
                  </pic:spPr>
                </pic:pic>
              </a:graphicData>
            </a:graphic>
          </wp:inline>
        </w:drawing>
      </w:r>
    </w:p>
    <w:p>
      <w:pPr>
        <w:spacing w:after="200"/>
        <w:jc w:val="center"/>
      </w:pPr>
      <w:r>
        <w:rPr>
          <w:i/>
          <w:iCs/>
          <w:color w:val="5C6B7A"/>
          <w:sz w:val="18"/>
          <w:szCs w:val="18"/>
        </w:rPr>
        <w:t xml:space="preserve">Figure 2. Distribution of the credit-risk label</w:t>
      </w:r>
    </w:p>
    <w:p>
      <w:pPr>
        <w:pStyle w:val="Heading2"/>
      </w:pPr>
      <w:r>
        <w:t xml:space="preserve">5.3 Merging the Datasets</w:t>
      </w:r>
    </w:p>
    <w:p>
      <w:pPr>
        <w:spacing w:after="120" w:line="300"/>
      </w:pPr>
      <w:r>
        <w:t xml:space="preserve">The application data was inner-joined to the risk labels on ID. Only 36,457 of the 438,557 applicants have a credit history, so the modelling dataset has 36,457 rows with no duplicate IDs.</w:t>
      </w:r>
    </w:p>
    <w:p>
      <w:pPr>
        <w:pStyle w:val="Heading2"/>
      </w:pPr>
      <w:r>
        <w:t xml:space="preserve">5.4 Columns Removed</w:t>
      </w:r>
    </w:p>
    <w:p>
      <w:pPr>
        <w:spacing w:after="120" w:line="300"/>
      </w:pPr>
      <w:r>
        <w:t xml:space="preserve">ID (identifier only), DAYS_BIRTH and DAYS_EMPLOYED (replaced by AGE and YEARS_EMPLOYED) and FLAG_MOBIL (constant) were dropped, leaving 17 predictors plus the target.</w:t>
      </w:r>
    </w:p>
    <w:p>
      <w:pPr>
        <w:pStyle w:val="Heading1"/>
      </w:pPr>
      <w:r>
        <w:t xml:space="preserve">6. Feature Engineering and Preprocessing</w:t>
      </w:r>
    </w:p>
    <w:p>
      <w:pPr>
        <w:pStyle w:val="Heading2"/>
      </w:pPr>
      <w:r>
        <w:t xml:space="preserve">6.1 Final Feature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Type</w:t>
            </w:r>
          </w:p>
        </w:tc>
        <w:tc>
          <w:tcPr>
            <w:tcW w:type="dxa" w:w="73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Features</w:t>
            </w:r>
          </w:p>
        </w:tc>
      </w:tr>
      <w:tr>
        <w:tc>
          <w:tcPr>
            <w:tcW w:type="dxa" w:w="1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Numerical (8)</w:t>
            </w:r>
          </w:p>
        </w:tc>
        <w:tc>
          <w:tcPr>
            <w:tcW w:type="dxa" w:w="73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CNT_CHILDREN, AMT_INCOME_TOTAL, FLAG_WORK_PHONE, FLAG_PHONE, FLAG_EMAIL, CNT_FAM_MEMBERS, AGE, YEARS_EMPLOYED</w:t>
            </w:r>
          </w:p>
        </w:tc>
      </w:tr>
      <w:tr>
        <w:tc>
          <w:tcPr>
            <w:tcW w:type="dxa" w:w="1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Categorical (9)</w:t>
            </w:r>
          </w:p>
        </w:tc>
        <w:tc>
          <w:tcPr>
            <w:tcW w:type="dxa" w:w="73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CODE_GENDER, FLAG_OWN_CAR, FLAG_OWN_REALTY, NAME_INCOME_TYPE, NAME_EDUCATION_TYPE, NAME_FAMILY_STATUS, NAME_HOUSING_TYPE, OCCUPATION_TYPE, EMPLOYMENT_STATUS</w:t>
            </w:r>
          </w:p>
        </w:tc>
      </w:tr>
    </w:tbl>
    <w:p>
      <w:pPr>
        <w:spacing w:after="120"/>
      </w:pPr>
    </w:p>
    <w:p>
      <w:pPr>
        <w:pStyle w:val="Heading2"/>
      </w:pPr>
      <w:r>
        <w:t xml:space="preserve">6.2 Train/Test Split</w:t>
      </w:r>
    </w:p>
    <w:p>
      <w:pPr>
        <w:spacing w:after="120" w:line="300"/>
      </w:pPr>
      <w:r>
        <w:t xml:space="preserve">The data was split 80/20 using train_test_split with random_state=42 and stratify on the target, so both parts keep the same proportion of risky applicants.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Split</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Rows</w:t>
            </w:r>
          </w:p>
        </w:tc>
        <w:tc>
          <w:tcPr>
            <w:tcW w:type="dxa" w:w="3013"/>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Risk cases (test)</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Training</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29,165</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Test</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7,292</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858 (11.8%)</w:t>
            </w:r>
          </w:p>
        </w:tc>
      </w:tr>
      <w:tr>
        <w:tc>
          <w:tcPr>
            <w:tcW w:type="dxa" w:w="3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Total</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36,457</w:t>
            </w:r>
          </w:p>
        </w:tc>
        <w:tc>
          <w:tcPr>
            <w:tcW w:type="dxa" w:w="3013"/>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w:t>
            </w:r>
          </w:p>
        </w:tc>
      </w:tr>
    </w:tbl>
    <w:p>
      <w:pPr>
        <w:spacing w:after="120"/>
      </w:pPr>
    </w:p>
    <w:p>
      <w:pPr>
        <w:pStyle w:val="Heading2"/>
      </w:pPr>
      <w:r>
        <w:t xml:space="preserve">6.3 Preprocessing Pipeline</w:t>
      </w:r>
    </w:p>
    <w:p>
      <w:pPr>
        <w:spacing w:after="120" w:line="300"/>
      </w:pPr>
      <w:r>
        <w:t xml:space="preserve">A ColumnTransformer scales the numerical columns with StandardScaler and encodes the categorical columns with OneHotEncoder (handle_unknown='ignore', dense output). Each model is wrapped together with this transformer in a scikit-learn Pipeline, so the scaler and encoder learn their parameters from training data only, which prevents data leakage into the test set.</w:t>
      </w:r>
    </w:p>
    <w:p>
      <w:pPr>
        <w:pStyle w:val="Heading1"/>
      </w:pPr>
      <w:r>
        <w:t xml:space="preserve">7. Modelling</w:t>
      </w:r>
    </w:p>
    <w:p>
      <w:pPr>
        <w:spacing w:after="120" w:line="300"/>
      </w:pPr>
      <w:r>
        <w:t xml:space="preserve">Five classifiers were trained on identical features and the same split. The risk class is far smaller than the no-risk class, so class_weight='balanced' was used wherever the algorithm supports it (KNN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Model</w:t>
            </w:r>
          </w:p>
        </w:tc>
        <w:tc>
          <w:tcPr>
            <w:tcW w:type="dxa" w:w="33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Settings</w:t>
            </w:r>
          </w:p>
        </w:tc>
        <w:tc>
          <w:tcPr>
            <w:tcW w:type="dxa" w:w="34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Rationale</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Logistic Regression</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max_iter=1000, balanced weights</w:t>
            </w:r>
          </w:p>
        </w:tc>
        <w:tc>
          <w:tcPr>
            <w:tcW w:type="dxa" w:w="34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Simple, interpretable linear baseline</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K-Nearest Neighbors</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n_neighbors=5</w:t>
            </w:r>
          </w:p>
        </w:tc>
        <w:tc>
          <w:tcPr>
            <w:tcW w:type="dxa" w:w="34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Distance-based, non-parametric comparison</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Decision Tree</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random_state=42, balanced weights</w:t>
            </w:r>
          </w:p>
        </w:tc>
        <w:tc>
          <w:tcPr>
            <w:tcW w:type="dxa" w:w="34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Captures non-linear rules and interactions</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Random Forest</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200 trees, balanced weights, random_state=42</w:t>
            </w:r>
          </w:p>
        </w:tc>
        <w:tc>
          <w:tcPr>
            <w:tcW w:type="dxa" w:w="34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Ensemble of trees; reduces variance</w:t>
            </w:r>
          </w:p>
        </w:tc>
      </w:tr>
      <w:tr>
        <w:tc>
          <w:tcPr>
            <w:tcW w:type="dxa" w:w="2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SVM</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linear kernel, balanced weights</w:t>
            </w:r>
          </w:p>
        </w:tc>
        <w:tc>
          <w:tcPr>
            <w:tcW w:type="dxa" w:w="34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Maximum-margin linear classifier</w:t>
            </w:r>
          </w:p>
        </w:tc>
      </w:tr>
    </w:tbl>
    <w:p>
      <w:pPr>
        <w:spacing w:after="120"/>
      </w:pPr>
    </w:p>
    <w:p>
      <w:pPr>
        <w:pStyle w:val="Heading1"/>
      </w:pPr>
      <w:r>
        <w:t xml:space="preserve">8. Evaluation and Results</w:t>
      </w:r>
    </w:p>
    <w:p>
      <w:pPr>
        <w:pStyle w:val="Heading2"/>
      </w:pPr>
      <w:r>
        <w:t xml:space="preserve">8.1 Evaluation Metrics</w:t>
      </w:r>
    </w:p>
    <w:p>
      <w:pPr>
        <w:spacing w:after="120" w:line="300"/>
      </w:pPr>
      <w:r>
        <w:t xml:space="preserve">Because only about 12% of applicants are risky, plain accuracy is not sufficient: a model that always predicts 'no risk' would score about 88%. Precision, recall and F1 are therefore reported with Risk as the positive class.</w:t>
      </w:r>
    </w:p>
    <w:p>
      <w:pPr>
        <w:pStyle w:val="ListParagraph"/>
        <w:numPr>
          <w:ilvl w:val="0"/>
          <w:numId w:val="2"/>
        </w:numPr>
        <w:spacing w:after="60"/>
      </w:pPr>
      <w:r>
        <w:rPr>
          <w:b/>
          <w:bCs/>
        </w:rPr>
        <w:t xml:space="preserve">Precision: </w:t>
      </w:r>
      <w:r>
        <w:t xml:space="preserve">of applicants flagged as risky, the share that truly are.</w:t>
      </w:r>
    </w:p>
    <w:p>
      <w:pPr>
        <w:pStyle w:val="ListParagraph"/>
        <w:numPr>
          <w:ilvl w:val="0"/>
          <w:numId w:val="2"/>
        </w:numPr>
        <w:spacing w:after="60"/>
      </w:pPr>
      <w:r>
        <w:rPr>
          <w:b/>
          <w:bCs/>
        </w:rPr>
        <w:t xml:space="preserve">Recall: </w:t>
      </w:r>
      <w:r>
        <w:t xml:space="preserve">of truly risky applicants, the share the model catches.</w:t>
      </w:r>
    </w:p>
    <w:p>
      <w:pPr>
        <w:pStyle w:val="ListParagraph"/>
        <w:numPr>
          <w:ilvl w:val="0"/>
          <w:numId w:val="2"/>
        </w:numPr>
        <w:spacing w:after="60"/>
      </w:pPr>
      <w:r>
        <w:rPr>
          <w:b/>
          <w:bCs/>
        </w:rPr>
        <w:t xml:space="preserve">F1: </w:t>
      </w:r>
      <w:r>
        <w:t xml:space="preserve">harmonic mean of precision and recall; used to rank models.</w:t>
      </w:r>
    </w:p>
    <w:p>
      <w:pPr>
        <w:pStyle w:val="Heading2"/>
      </w:pPr>
      <w:r>
        <w:t xml:space="preserve">8.2 Test-Set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Model</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Accuracy</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Precision</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Recall</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F1</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Logistic Regression</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0.574</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0.135</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0.486</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0.212</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KNN</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0.878</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0.462</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0.228</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0.306</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Decision Tree</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0.783</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0.303</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0.649</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0.414</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Random Forest</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0.800</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0.321</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0.626</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0.425</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SVM</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0.614</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0.132</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0.411</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0.200</w:t>
            </w:r>
          </w:p>
        </w:tc>
      </w:tr>
    </w:tbl>
    <w:p>
      <w:pPr>
        <w:spacing w:after="120"/>
      </w:pPr>
    </w:p>
    <w:p>
      <w:pPr>
        <w:spacing w:after="60" w:before="120"/>
        <w:jc w:val="center"/>
      </w:pPr>
      <w:r>
        <w:drawing>
          <wp:inline distT="0" distB="0" distL="0" distR="0">
            <wp:extent cx="5334000" cy="2486025"/>
            <wp:effectExtent t="0" r="0" b="0" l="0"/>
            <wp:docPr id="1" name="Figure 3. Test-set metrics by model" descr="Figure 3. Test-set metrics by model" title="Figure 3. Test-set metrics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i/>
          <w:iCs/>
          <w:color w:val="5C6B7A"/>
          <w:sz w:val="18"/>
          <w:szCs w:val="18"/>
        </w:rPr>
        <w:t xml:space="preserve">Figure 3. Test-set metrics by model</w:t>
      </w:r>
    </w:p>
    <w:p>
      <w:pPr>
        <w:pStyle w:val="Heading2"/>
      </w:pPr>
      <w:r>
        <w:t xml:space="preserve">8.3 Confusion Matrices</w:t>
      </w:r>
    </w:p>
    <w:p>
      <w:pPr>
        <w:spacing w:after="120" w:line="300"/>
      </w:pPr>
      <w:r>
        <w:t xml:space="preserve">The matrices below show actual classes in rows and predicted classes in columns for the 7,292 test applicants.</w:t>
      </w:r>
    </w:p>
    <w:p>
      <w:pPr>
        <w:spacing w:after="60" w:before="120"/>
        <w:jc w:val="center"/>
      </w:pPr>
      <w:r>
        <w:drawing>
          <wp:inline distT="0" distB="0" distL="0" distR="0">
            <wp:extent cx="5715000" cy="1295400"/>
            <wp:effectExtent t="0" r="0" b="0" l="0"/>
            <wp:docPr id="1" name="Figure 4. Confusion matrices for all five models" descr="Figure 4. Confusion matrices for all five models" title="Figure 4. Confusion matrices for all fiv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i/>
          <w:iCs/>
          <w:color w:val="5C6B7A"/>
          <w:sz w:val="18"/>
          <w:szCs w:val="18"/>
        </w:rPr>
        <w:t xml:space="preserve">Figure 4. Confusion matrices for all five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Model</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True neg.</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False pos.</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False neg.</w:t>
            </w:r>
          </w:p>
        </w:tc>
        <w:tc>
          <w:tcPr>
            <w:tcW w:type="dxa" w:w="16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True pos.</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Logistic Regression</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3,770</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2,664</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441</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417</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KNN</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6,206</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228</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662</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196</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Decision Tree</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5,155</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1,279</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301</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557</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Random Forest</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5,300</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1,134</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321</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537</w:t>
            </w:r>
          </w:p>
        </w:tc>
      </w:tr>
      <w:tr>
        <w:tc>
          <w:tcPr>
            <w:tcW w:type="dxa" w:w="26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SVM</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4,122</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2,312</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505</w:t>
            </w:r>
          </w:p>
        </w:tc>
        <w:tc>
          <w:tcPr>
            <w:tcW w:type="dxa" w:w="16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353</w:t>
            </w:r>
          </w:p>
        </w:tc>
      </w:tr>
    </w:tbl>
    <w:p>
      <w:pPr>
        <w:spacing w:after="120"/>
      </w:pPr>
    </w:p>
    <w:p>
      <w:pPr>
        <w:spacing w:after="120" w:line="300"/>
      </w:pPr>
      <w:r>
        <w:t xml:space="preserve">Note: the notebook printed a confusion matrix for Logistic Regression and KNN using a stale prediction variable. The correct KNN matrix is the one shown above; the Logistic Regression matrix was reconstructed from its reported precision, recall and accuracy, which it reproduces exactly (accuracy 0.574).</w:t>
      </w:r>
    </w:p>
    <w:p>
      <w:pPr>
        <w:pStyle w:val="Heading2"/>
      </w:pPr>
      <w:r>
        <w:t xml:space="preserve">8.4 Cross-Validation</w:t>
      </w:r>
    </w:p>
    <w:p>
      <w:pPr>
        <w:spacing w:after="120" w:line="300"/>
      </w:pPr>
      <w:r>
        <w:t xml:space="preserve">To check stability, each pipeline was evaluated with 5-fold stratified cross-validation (shuffle, random_state=42) on the training data, scoring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000"/>
        <w:gridCol w:w="1000"/>
        <w:gridCol w:w="1000"/>
        <w:gridCol w:w="1000"/>
        <w:gridCol w:w="1000"/>
        <w:gridCol w:w="1800"/>
      </w:tblGrid>
      <w:tr>
        <w:trPr>
          <w:tblHeader/>
        </w:trPr>
        <w:tc>
          <w:tcPr>
            <w:tcW w:type="dxa" w:w="22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Model</w:t>
            </w:r>
          </w:p>
        </w:tc>
        <w:tc>
          <w:tcPr>
            <w:tcW w:type="dxa" w:w="1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Fold 1</w:t>
            </w:r>
          </w:p>
        </w:tc>
        <w:tc>
          <w:tcPr>
            <w:tcW w:type="dxa" w:w="1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Fold 2</w:t>
            </w:r>
          </w:p>
        </w:tc>
        <w:tc>
          <w:tcPr>
            <w:tcW w:type="dxa" w:w="1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Fold 3</w:t>
            </w:r>
          </w:p>
        </w:tc>
        <w:tc>
          <w:tcPr>
            <w:tcW w:type="dxa" w:w="1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Fold 4</w:t>
            </w:r>
          </w:p>
        </w:tc>
        <w:tc>
          <w:tcPr>
            <w:tcW w:type="dxa" w:w="10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Fold 5</w:t>
            </w:r>
          </w:p>
        </w:tc>
        <w:tc>
          <w:tcPr>
            <w:tcW w:type="dxa" w:w="18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Mean</w:t>
            </w:r>
          </w:p>
        </w:tc>
      </w:tr>
      <w:tr>
        <w:tc>
          <w:tcPr>
            <w:tcW w:type="dxa" w:w="22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Logistic Regression</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0.194</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0.221</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0.212</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0.205</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0.207</w:t>
            </w:r>
          </w:p>
        </w:tc>
        <w:tc>
          <w:tcPr>
            <w:tcW w:type="dxa" w:w="18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0.208</w:t>
            </w:r>
          </w:p>
        </w:tc>
      </w:tr>
      <w:tr>
        <w:tc>
          <w:tcPr>
            <w:tcW w:type="dxa" w:w="22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KNN</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0.242</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0.266</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0.244</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0.220</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0.247</w:t>
            </w:r>
          </w:p>
        </w:tc>
        <w:tc>
          <w:tcPr>
            <w:tcW w:type="dxa" w:w="18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0.244</w:t>
            </w:r>
          </w:p>
        </w:tc>
      </w:tr>
      <w:tr>
        <w:tc>
          <w:tcPr>
            <w:tcW w:type="dxa" w:w="22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Decision Tree</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0.391</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0.375</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0.399</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0.388</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0.392</w:t>
            </w:r>
          </w:p>
        </w:tc>
        <w:tc>
          <w:tcPr>
            <w:tcW w:type="dxa" w:w="18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0.389</w:t>
            </w:r>
          </w:p>
        </w:tc>
      </w:tr>
      <w:tr>
        <w:tc>
          <w:tcPr>
            <w:tcW w:type="dxa" w:w="22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Random Forest</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0.406</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0.385</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0.407</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0.397</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0.401</w:t>
            </w:r>
          </w:p>
        </w:tc>
        <w:tc>
          <w:tcPr>
            <w:tcW w:type="dxa" w:w="18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0.398</w:t>
            </w:r>
          </w:p>
        </w:tc>
      </w:tr>
      <w:tr>
        <w:tc>
          <w:tcPr>
            <w:tcW w:type="dxa" w:w="22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SVM</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0.190</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0.209</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0.212</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0.196</w:t>
            </w:r>
          </w:p>
        </w:tc>
        <w:tc>
          <w:tcPr>
            <w:tcW w:type="dxa" w:w="10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0.191</w:t>
            </w:r>
          </w:p>
        </w:tc>
        <w:tc>
          <w:tcPr>
            <w:tcW w:type="dxa" w:w="18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0.200</w:t>
            </w:r>
          </w:p>
        </w:tc>
      </w:tr>
    </w:tbl>
    <w:p>
      <w:pPr>
        <w:spacing w:after="120"/>
      </w:pPr>
    </w:p>
    <w:p>
      <w:pPr>
        <w:spacing w:after="60" w:before="120"/>
        <w:jc w:val="center"/>
      </w:pPr>
      <w:r>
        <w:drawing>
          <wp:inline distT="0" distB="0" distL="0" distR="0">
            <wp:extent cx="4191000" cy="2514600"/>
            <wp:effectExtent t="0" r="0" b="0" l="0"/>
            <wp:docPr id="1" name="Figure 5. Mean cross-validated F1 with standard deviation" descr="Figure 5. Mean cross-validated F1 with standard deviation" title="Figure 5. Mean cross-validated F1 with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14600"/>
                    </a:xfrm>
                    <a:prstGeom prst="rect">
                      <a:avLst/>
                    </a:prstGeom>
                  </pic:spPr>
                </pic:pic>
              </a:graphicData>
            </a:graphic>
          </wp:inline>
        </w:drawing>
      </w:r>
    </w:p>
    <w:p>
      <w:pPr>
        <w:spacing w:after="200"/>
        <w:jc w:val="center"/>
      </w:pPr>
      <w:r>
        <w:rPr>
          <w:i/>
          <w:iCs/>
          <w:color w:val="5C6B7A"/>
          <w:sz w:val="18"/>
          <w:szCs w:val="18"/>
        </w:rPr>
        <w:t xml:space="preserve">Figure 5. Mean cross-validated F1 with standard deviation</w:t>
      </w:r>
    </w:p>
    <w:p>
      <w:pPr>
        <w:pStyle w:val="Heading1"/>
      </w:pPr>
      <w:r>
        <w:t xml:space="preserve">9. Discussion</w:t>
      </w:r>
    </w:p>
    <w:p>
      <w:pPr>
        <w:pStyle w:val="ListParagraph"/>
        <w:numPr>
          <w:ilvl w:val="0"/>
          <w:numId w:val="2"/>
        </w:numPr>
        <w:spacing w:after="60"/>
      </w:pPr>
      <w:r>
        <w:rPr>
          <w:b/>
          <w:bCs/>
        </w:rPr>
        <w:t xml:space="preserve">Best model: </w:t>
      </w:r>
      <w:r>
        <w:t xml:space="preserve">Random Forest ranks first on test F1 (0.425) and cross-validated F1 (0.398), and its fold scores vary only between 0.385 and 0.407, so the ranking is stable.</w:t>
      </w:r>
    </w:p>
    <w:p>
      <w:pPr>
        <w:pStyle w:val="ListParagraph"/>
        <w:numPr>
          <w:ilvl w:val="0"/>
          <w:numId w:val="2"/>
        </w:numPr>
        <w:spacing w:after="60"/>
      </w:pPr>
      <w:r>
        <w:rPr>
          <w:b/>
          <w:bCs/>
        </w:rPr>
        <w:t xml:space="preserve">Recall versus precision: </w:t>
      </w:r>
      <w:r>
        <w:t xml:space="preserve">tree-based models catch roughly 63-65% of risky applicants but with precision near 0.30-0.32, meaning about two of three alerts are false alarms. The right balance depends on the relative cost of a default versus a lost customer.</w:t>
      </w:r>
    </w:p>
    <w:p>
      <w:pPr>
        <w:pStyle w:val="ListParagraph"/>
        <w:numPr>
          <w:ilvl w:val="0"/>
          <w:numId w:val="2"/>
        </w:numPr>
        <w:spacing w:after="60"/>
      </w:pPr>
      <w:r>
        <w:rPr>
          <w:b/>
          <w:bCs/>
        </w:rPr>
        <w:t xml:space="preserve">KNN's accuracy: </w:t>
      </w:r>
      <w:r>
        <w:t xml:space="preserve">its 0.878 accuracy comes from rarely predicting risk (196 true positives, 228 false positives). It also lacks class weighting.</w:t>
      </w:r>
    </w:p>
    <w:p>
      <w:pPr>
        <w:pStyle w:val="ListParagraph"/>
        <w:numPr>
          <w:ilvl w:val="0"/>
          <w:numId w:val="2"/>
        </w:numPr>
        <w:spacing w:after="60"/>
      </w:pPr>
      <w:r>
        <w:rPr>
          <w:b/>
          <w:bCs/>
        </w:rPr>
        <w:t xml:space="preserve">Linear models: </w:t>
      </w:r>
      <w:r>
        <w:t xml:space="preserve">Logistic Regression and linear SVM reach only about 0.20 F1, suggesting risk depends on non-linear combinations of features.</w:t>
      </w:r>
    </w:p>
    <w:p>
      <w:pPr>
        <w:pStyle w:val="ListParagraph"/>
        <w:numPr>
          <w:ilvl w:val="0"/>
          <w:numId w:val="2"/>
        </w:numPr>
        <w:spacing w:after="60"/>
      </w:pPr>
      <w:r>
        <w:rPr>
          <w:b/>
          <w:bCs/>
        </w:rPr>
        <w:t xml:space="preserve">Limited signal: </w:t>
      </w:r>
      <w:r>
        <w:t xml:space="preserve">even the best model has moderate performance, which suggests application-time demographics explain only part of later repayment behaviour.</w:t>
      </w:r>
    </w:p>
    <w:p>
      <w:pPr>
        <w:pStyle w:val="Heading1"/>
      </w:pPr>
      <w:r>
        <w:t xml:space="preserve">10. Limitations</w:t>
      </w:r>
    </w:p>
    <w:p>
      <w:pPr>
        <w:pStyle w:val="ListParagraph"/>
        <w:numPr>
          <w:ilvl w:val="0"/>
          <w:numId w:val="2"/>
        </w:numPr>
        <w:spacing w:after="60"/>
      </w:pPr>
      <w:r>
        <w:t xml:space="preserve">Label definition is strict and simple: any single 30+ day delay marks the applicant as risky, regardless of severity, timing or later repayment.</w:t>
      </w:r>
    </w:p>
    <w:p>
      <w:pPr>
        <w:pStyle w:val="ListParagraph"/>
        <w:numPr>
          <w:ilvl w:val="0"/>
          <w:numId w:val="2"/>
        </w:numPr>
        <w:spacing w:after="60"/>
      </w:pPr>
      <w:r>
        <w:t xml:space="preserve">Only 36,457 of 438,557 applicants have credit history, so the model is trained on a subset that may not represent all applicants.</w:t>
      </w:r>
    </w:p>
    <w:p>
      <w:pPr>
        <w:pStyle w:val="ListParagraph"/>
        <w:numPr>
          <w:ilvl w:val="0"/>
          <w:numId w:val="2"/>
        </w:numPr>
        <w:spacing w:after="60"/>
      </w:pPr>
      <w:r>
        <w:t xml:space="preserve">Class imbalance (about 12% positives); predictions use default decision thresholds and probabilities are not calibrated.</w:t>
      </w:r>
    </w:p>
    <w:p>
      <w:pPr>
        <w:pStyle w:val="ListParagraph"/>
        <w:numPr>
          <w:ilvl w:val="0"/>
          <w:numId w:val="2"/>
        </w:numPr>
        <w:spacing w:after="60"/>
      </w:pPr>
      <w:r>
        <w:t xml:space="preserve">No hyperparameter tuning was performed; models use near-default settings.</w:t>
      </w:r>
    </w:p>
    <w:p>
      <w:pPr>
        <w:pStyle w:val="ListParagraph"/>
        <w:numPr>
          <w:ilvl w:val="0"/>
          <w:numId w:val="2"/>
        </w:numPr>
        <w:spacing w:after="60"/>
      </w:pPr>
      <w:r>
        <w:t xml:space="preserve">The 365243 employment placeholder is mapped to 0 years and 'unemployed', which also covers pensioners.</w:t>
      </w:r>
    </w:p>
    <w:p>
      <w:pPr>
        <w:pStyle w:val="ListParagraph"/>
        <w:numPr>
          <w:ilvl w:val="0"/>
          <w:numId w:val="2"/>
        </w:numPr>
        <w:spacing w:after="60"/>
      </w:pPr>
      <w:r>
        <w:t xml:space="preserve">Gender and age are used as predictors; fairness and regulatory requirements must be reviewed before any real-world use.</w:t>
      </w:r>
    </w:p>
    <w:p>
      <w:pPr>
        <w:pStyle w:val="ListParagraph"/>
        <w:numPr>
          <w:ilvl w:val="0"/>
          <w:numId w:val="2"/>
        </w:numPr>
        <w:spacing w:after="60"/>
      </w:pPr>
      <w:r>
        <w:t xml:space="preserve">Notebook hygiene: hard-coded local file paths, stale variable in two confusion-matrix cells, trailing empty cells and no visualisations inside the notebook.</w:t>
      </w:r>
    </w:p>
    <w:p>
      <w:pPr>
        <w:pStyle w:val="Heading1"/>
      </w:pPr>
      <w:r>
        <w:t xml:space="preserve">11. Recommendations and Future Work</w:t>
      </w:r>
    </w:p>
    <w:p>
      <w:pPr>
        <w:pStyle w:val="ListParagraph"/>
        <w:numPr>
          <w:ilvl w:val="0"/>
          <w:numId w:val="5"/>
        </w:numPr>
        <w:spacing w:after="60"/>
      </w:pPr>
      <w:r>
        <w:t xml:space="preserve">Tune Random Forest hyperparameters with GridSearchCV or RandomizedSearchCV and test gradient boosting (XGBoost, LightGBM).</w:t>
      </w:r>
    </w:p>
    <w:p>
      <w:pPr>
        <w:pStyle w:val="ListParagraph"/>
        <w:numPr>
          <w:ilvl w:val="0"/>
          <w:numId w:val="5"/>
        </w:numPr>
        <w:spacing w:after="60"/>
      </w:pPr>
      <w:r>
        <w:t xml:space="preserve">Address imbalance further with SMOTE or by selecting a decision threshold from business costs; report precision-recall curves and PR-AUC.</w:t>
      </w:r>
    </w:p>
    <w:p>
      <w:pPr>
        <w:pStyle w:val="ListParagraph"/>
        <w:numPr>
          <w:ilvl w:val="0"/>
          <w:numId w:val="5"/>
        </w:numPr>
        <w:spacing w:after="60"/>
      </w:pPr>
      <w:r>
        <w:t xml:space="preserve">Engineer richer features from the credit record: number of delinquent months, worst status, months on book, recency of delinquency.</w:t>
      </w:r>
    </w:p>
    <w:p>
      <w:pPr>
        <w:pStyle w:val="ListParagraph"/>
        <w:numPr>
          <w:ilvl w:val="0"/>
          <w:numId w:val="5"/>
        </w:numPr>
        <w:spacing w:after="60"/>
      </w:pPr>
      <w:r>
        <w:t xml:space="preserve">Add feature-importance and SHAP analysis to explain individual decisions.</w:t>
      </w:r>
    </w:p>
    <w:p>
      <w:pPr>
        <w:pStyle w:val="ListParagraph"/>
        <w:numPr>
          <w:ilvl w:val="0"/>
          <w:numId w:val="5"/>
        </w:numPr>
        <w:spacing w:after="60"/>
      </w:pPr>
      <w:r>
        <w:t xml:space="preserve">Perform a fairness audit on gender and age, and consider removing sensitive attributes.</w:t>
      </w:r>
    </w:p>
    <w:p>
      <w:pPr>
        <w:pStyle w:val="ListParagraph"/>
        <w:numPr>
          <w:ilvl w:val="0"/>
          <w:numId w:val="5"/>
        </w:numPr>
        <w:spacing w:after="60"/>
      </w:pPr>
      <w:r>
        <w:t xml:space="preserve">Save the trained pipeline with joblib and expose it via an API or Streamlit app; parameterise the data paths.</w:t>
      </w:r>
    </w:p>
    <w:p>
      <w:pPr>
        <w:pStyle w:val="Heading1"/>
      </w:pPr>
      <w:r>
        <w:t xml:space="preserve">12. Conclusion</w:t>
      </w:r>
    </w:p>
    <w:p>
      <w:pPr>
        <w:spacing w:after="120" w:line="300"/>
      </w:pPr>
      <w:r>
        <w:t xml:space="preserve">The project shows an end-to-end workflow from raw Kaggle data to a compared set of credit-risk classifiers. A Random Forest trained on 17 application features detects about 63% of risky applicants at 0.32 precision (F1 0.425), the best trade-off among the five models tested. Accuracy alone would have wrongly favoured KNN. The results form a sound baseline; improved labels, tuning, threshold selection and a fairness review are the recommended steps toward a deployable scoring model.</w:t>
      </w:r>
    </w:p>
    <w:p>
      <w:r>
        <w:br w:type="page"/>
      </w:r>
    </w:p>
    <w:p>
      <w:pPr>
        <w:pStyle w:val="Heading1"/>
      </w:pPr>
      <w:r>
        <w:t xml:space="preserve">Appendix A. Notebook Workflow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Step</w:t>
            </w:r>
          </w:p>
        </w:tc>
        <w:tc>
          <w:tcPr>
            <w:tcW w:type="dxa" w:w="3300"/>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Stage</w:t>
            </w:r>
          </w:p>
        </w:tc>
        <w:tc>
          <w:tcPr>
            <w:tcW w:type="dxa" w:w="5026"/>
            <w:tcBorders>
              <w:top w:val="single" w:color="C9D3DE" w:sz="4"/>
              <w:left w:val="single" w:color="C9D3DE" w:sz="4"/>
              <w:bottom w:val="single" w:color="C9D3DE" w:sz="4"/>
              <w:right w:val="single" w:color="C9D3DE" w:sz="4"/>
            </w:tcBorders>
            <w:shd w:fill="12355B" w:color="auto" w:val="clear"/>
            <w:tcMar>
              <w:top w:type="dxa" w:w="70"/>
              <w:left w:type="dxa" w:w="100"/>
              <w:bottom w:type="dxa" w:w="70"/>
              <w:right w:type="dxa" w:w="100"/>
            </w:tcMar>
          </w:tcPr>
          <w:p>
            <w:r>
              <w:rPr>
                <w:b/>
                <w:bCs/>
                <w:color w:val="FFFFFF"/>
                <w:sz w:val="20"/>
                <w:szCs w:val="20"/>
              </w:rPr>
              <w:t xml:space="preserve">What the notebook does</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Setup</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Imports pandas, NumPy, matplotlib; downloads data with kagglehub</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2</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Inspect application data</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shape, columns, info, null counts, describe, duplicates</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3</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Feature creation</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AGE, YEARS_EMPLOYED, EMPLOYMENT_STATUS; fill OCCUPATION_TYPE</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4</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Category profiling</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value_counts for occupation, income, education, family, housing, flags, children</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Inspect credit record</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shape, info, nulls, describe, duplicates, STATUS counts, unique IDs</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6</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Target creation</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RISK flag per month, max per ID gives CREDIT_RISK</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7</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Merge and clean</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Inner join on ID; drop ID, DAYS_BIRTH, DAYS_EMPLOYED, FLAG_MOBIL</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8</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Split</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Stratified 80/20 split</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9</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Preprocessing</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ColumnTransformer with StandardScaler and OneHotEncoder</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10</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Modelling</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Logistic Regression, KNN, Decision Tree, Random Forest, SVM pipelines</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11</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Evaluation</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Classification reports, confusion matrices, summary metrics table</w:t>
            </w:r>
          </w:p>
        </w:tc>
      </w:tr>
      <w:tr>
        <w:tc>
          <w:tcPr>
            <w:tcW w:type="dxa" w:w="7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12</w:t>
            </w:r>
          </w:p>
        </w:tc>
        <w:tc>
          <w:tcPr>
            <w:tcW w:type="dxa" w:w="3300"/>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Cross-validation</w:t>
            </w:r>
          </w:p>
        </w:tc>
        <w:tc>
          <w:tcPr>
            <w:tcW w:type="dxa" w:w="5026"/>
            <w:tcBorders>
              <w:top w:val="single" w:color="C9D3DE" w:sz="4"/>
              <w:left w:val="single" w:color="C9D3DE" w:sz="4"/>
              <w:bottom w:val="single" w:color="C9D3DE" w:sz="4"/>
              <w:right w:val="single" w:color="C9D3DE" w:sz="4"/>
            </w:tcBorders>
            <w:tcMar>
              <w:top w:type="dxa" w:w="70"/>
              <w:left w:type="dxa" w:w="100"/>
              <w:bottom w:type="dxa" w:w="70"/>
              <w:right w:type="dxa" w:w="100"/>
            </w:tcMar>
          </w:tcPr>
          <w:p>
            <w:r>
              <w:rPr>
                <w:b w:val="false"/>
                <w:bCs w:val="false"/>
                <w:color w:val="1F2933"/>
                <w:sz w:val="20"/>
                <w:szCs w:val="20"/>
              </w:rPr>
              <w:t xml:space="preserve">5-fold stratified CV with F1 scoring for all models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t xml:space="preserve">Credit Card Approval Risk Prediction  |  Page </w:t>
    </w:r>
    <w:r>
      <w:rPr>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2355B"/>
      <w:sz w:val="34"/>
      <w:szCs w:val="34"/>
    </w:rPr>
  </w:style>
  <w:style w:type="paragraph" w:styleId="Heading2">
    <w:name w:val="Heading 2"/>
    <w:basedOn w:val="Normal"/>
    <w:next w:val="Normal"/>
    <w:qFormat/>
    <w:pPr>
      <w:spacing w:after="100" w:before="240"/>
      <w:outlineLvl w:val="1"/>
    </w:pPr>
    <w:rPr>
      <w:rFonts w:ascii="Cambria" w:cs="Cambria" w:eastAsia="Cambria" w:hAnsi="Cambria"/>
      <w:b/>
      <w:bCs/>
      <w:color w:val="1B99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0e9039ac09f7658e0694ba89e636aafe527fde.png"/><Relationship Id="rId9" Type="http://schemas.openxmlformats.org/officeDocument/2006/relationships/image" Target="media/c945750e248ffb2850132a90257b9a028700dfa8.png"/><Relationship Id="rId10" Type="http://schemas.openxmlformats.org/officeDocument/2006/relationships/image" Target="media/d6402c334cf9ec5c73e65c9252b5db82a84eba35.png"/><Relationship Id="rId11" Type="http://schemas.openxmlformats.org/officeDocument/2006/relationships/image" Target="media/cf373367c0ca942368d434f0748a58b6b0ffeb42.png"/><Relationship Id="rId12" Type="http://schemas.openxmlformats.org/officeDocument/2006/relationships/image" Target="media/ea063fbf3d5f6d41d47a42f4457f51917665a9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Approval Risk Prediction - Project Report</dc:title>
  <dc:creator>Project Report</dc:creator>
  <cp:lastModifiedBy>Un-named</cp:lastModifiedBy>
  <cp:revision>1</cp:revision>
  <dcterms:created xsi:type="dcterms:W3CDTF">2026-09-28T14:49:55.330Z</dcterms:created>
  <dcterms:modified xsi:type="dcterms:W3CDTF">2026-09-28T14:49:55.330Z</dcterms:modified>
</cp:coreProperties>
</file>

<file path=docProps/custom.xml><?xml version="1.0" encoding="utf-8"?>
<Properties xmlns="http://schemas.openxmlformats.org/officeDocument/2006/custom-properties" xmlns:vt="http://schemas.openxmlformats.org/officeDocument/2006/docPropsVTypes"/>
</file>