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00" w:after="12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Introduction:</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report attempts to elaborate and provide findings based on the given scenario of the marketing campaign run by the telecommunication company, the company aims to gain insights into customer responsiveness to the campaign and evaluate the attributes in the provided dataset. The goal is to identify the factors that affect subscription plans, understand customer behavior, and pinpoint the factors that contribute to higher subscription rates. The following questions have been formulated:</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 How are different data attributes correlated with customer subscriptions?</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How can the company modify its strategy to increase subscription rates?</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Are there any noticeable patterns in customer behavior related to subscriptions?</w:t>
      </w:r>
    </w:p>
    <w:p>
      <w:pPr>
        <w:keepNext w:val="true"/>
        <w:keepLines w:val="true"/>
        <w:spacing w:before="400" w:after="12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Methodology:</w:t>
      </w:r>
    </w:p>
    <w:p>
      <w:pPr>
        <w:keepNext w:val="true"/>
        <w:keepLines w:val="true"/>
        <w:spacing w:before="360" w:after="12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Data Pre-Processing:</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Upon loading the data into Pandas with Python, it was observed that the dataset was not properly formatted. Both the quote value and the separating characters, which were set as ";", needed to be specified for the dataset to be successfully loaded into the dataframe. After the dataset was loaded into the Pandas dataframe, the presence of double quotes in the dataset was addressed by cleaning and formatting it. This was achieved by mapping the headers and the entire dataframe to remove the double quotes characters. Furthermore, data consistency and an overview of the dataframe were evaluated, and formatting was applied to the necessary column, such as "age."</w:t>
      </w:r>
    </w:p>
    <w:p>
      <w:pPr>
        <w:keepNext w:val="true"/>
        <w:keepLines w:val="true"/>
        <w:spacing w:before="360" w:after="12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Univariate Analysis:</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analysis of the individual variables depicts that majority of the customer’s didn’t subscribe to the plan and distribution of unique values for each categorical(i.e. Object data type) was shown through different bar plots which in return assisted in identifying the coverage of each unique value for a particular variable. The density plots also helped identify the distribution of values for a variable where higher response concentration for specific age groups and month’s were identified.</w:t>
      </w:r>
    </w:p>
    <w:p>
      <w:pPr>
        <w:keepNext w:val="true"/>
        <w:keepLines w:val="true"/>
        <w:spacing w:before="360" w:after="120" w:line="240"/>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Bivariate Analysis:</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 analyze the relationships between variables, we conducted an analysis in which scatter plots were created and examined for any correlations among the variables. It was observed that the people with “admin” and “blue-collar” job titles were subscribed and distribution of subscribers was similar across different age groups, suggesting a negligible correlation. However, a higher number of subscribers were observed among individuals with longer durations of contact. Additionally, it was found that subscribers were more numerous among those who were contacted via cellular methods rather than telephone.</w:t>
      </w:r>
    </w:p>
    <w:p>
      <w:pPr>
        <w:keepNext w:val="true"/>
        <w:keepLines w:val="true"/>
        <w:spacing w:before="360" w:after="12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Correlation Matrix:</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correlation matrix was constructed to identify potential attributes affecting the subscription. It was observed that the 'campaign' variable, along with the 'number employed' variable, showed a slight positive correlation with the subscription. Further analysis may help in uncovering the relationship in a more comprehensive manner and identifying additional factors that affect customer responsiveness behavior.</w:t>
      </w:r>
    </w:p>
    <w:p>
      <w:pPr>
        <w:keepNext w:val="true"/>
        <w:keepLines w:val="true"/>
        <w:spacing w:before="400" w:after="120" w:line="240"/>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Findings:</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being Improperly formatted was shown in the screenshots and formatted to load in the Pandas Dataframe also converting the data type of the column “age”.</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4752">
          <v:rect xmlns:o="urn:schemas-microsoft-com:office:office" xmlns:v="urn:schemas-microsoft-com:vml" id="rectole0000000000" style="width:561.600000pt;height:237.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6110">
          <v:rect xmlns:o="urn:schemas-microsoft-com:office:office" xmlns:v="urn:schemas-microsoft-com:vml" id="rectole0000000001" style="width:561.600000pt;height:30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196" w:dyaOrig="5415">
          <v:rect xmlns:o="urn:schemas-microsoft-com:office:office" xmlns:v="urn:schemas-microsoft-com:vml" id="rectole0000000002" style="width:559.800000pt;height:270.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0224" w:dyaOrig="3622">
          <v:rect xmlns:o="urn:schemas-microsoft-com:office:office" xmlns:v="urn:schemas-microsoft-com:vml" id="rectole0000000003" style="width:511.200000pt;height:181.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overview of the data types in the column along with the duplicated row count and description of columns with numeric data types are shown in the screenshots below.</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0061" w:dyaOrig="11484">
          <v:rect xmlns:o="urn:schemas-microsoft-com:office:office" xmlns:v="urn:schemas-microsoft-com:vml" id="rectole0000000004" style="width:503.050000pt;height:574.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8117" w:dyaOrig="2700">
          <v:rect xmlns:o="urn:schemas-microsoft-com:office:office" xmlns:v="urn:schemas-microsoft-com:vml" id="rectole0000000005" style="width:405.850000pt;height:135.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6096">
          <v:rect xmlns:o="urn:schemas-microsoft-com:office:office" xmlns:v="urn:schemas-microsoft-com:vml" id="rectole0000000006" style="width:561.600000pt;height:304.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5724" w:dyaOrig="10386">
          <v:rect xmlns:o="urn:schemas-microsoft-com:office:office" xmlns:v="urn:schemas-microsoft-com:vml" id="rectole0000000007" style="width:286.200000pt;height:519.3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5274" w:dyaOrig="9828">
          <v:rect xmlns:o="urn:schemas-microsoft-com:office:office" xmlns:v="urn:schemas-microsoft-com:vml" id="rectole0000000008" style="width:263.700000pt;height:491.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It was observed that the </w:t>
      </w:r>
      <w:r>
        <w:rPr>
          <w:rFonts w:ascii="Times New Roman" w:hAnsi="Times New Roman" w:cs="Times New Roman" w:eastAsia="Times New Roman"/>
          <w:b/>
          <w:color w:val="auto"/>
          <w:spacing w:val="0"/>
          <w:position w:val="0"/>
          <w:sz w:val="22"/>
          <w:shd w:fill="auto" w:val="clear"/>
        </w:rPr>
        <w:t xml:space="preserve">majority </w:t>
      </w:r>
      <w:r>
        <w:rPr>
          <w:rFonts w:ascii="Times New Roman" w:hAnsi="Times New Roman" w:cs="Times New Roman" w:eastAsia="Times New Roman"/>
          <w:color w:val="auto"/>
          <w:spacing w:val="0"/>
          <w:position w:val="0"/>
          <w:sz w:val="22"/>
          <w:shd w:fill="auto" w:val="clear"/>
        </w:rPr>
        <w:t xml:space="preserve">of the customers </w:t>
      </w:r>
      <w:r>
        <w:rPr>
          <w:rFonts w:ascii="Times New Roman" w:hAnsi="Times New Roman" w:cs="Times New Roman" w:eastAsia="Times New Roman"/>
          <w:b/>
          <w:color w:val="auto"/>
          <w:spacing w:val="0"/>
          <w:position w:val="0"/>
          <w:sz w:val="22"/>
          <w:shd w:fill="auto" w:val="clear"/>
        </w:rPr>
        <w:t xml:space="preserve">were not subscribed</w:t>
      </w:r>
      <w:r>
        <w:rPr>
          <w:rFonts w:ascii="Times New Roman" w:hAnsi="Times New Roman" w:cs="Times New Roman" w:eastAsia="Times New Roman"/>
          <w:color w:val="auto"/>
          <w:spacing w:val="0"/>
          <w:position w:val="0"/>
          <w:sz w:val="22"/>
          <w:shd w:fill="auto" w:val="clear"/>
        </w:rPr>
        <w:t xml:space="preserve"> to the marketed plan.</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9954" w:dyaOrig="7184">
          <v:rect xmlns:o="urn:schemas-microsoft-com:office:office" xmlns:v="urn:schemas-microsoft-com:vml" id="rectole0000000009" style="width:497.700000pt;height:359.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Based on the density chart below it can be depicted that the majority of customers were in the age group 30-40.</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6902">
          <v:rect xmlns:o="urn:schemas-microsoft-com:office:office" xmlns:v="urn:schemas-microsoft-com:vml" id="rectole0000000010" style="width:561.600000pt;height:345.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Similarly the </w:t>
      </w:r>
      <w:r>
        <w:rPr>
          <w:rFonts w:ascii="Times New Roman" w:hAnsi="Times New Roman" w:cs="Times New Roman" w:eastAsia="Times New Roman"/>
          <w:b/>
          <w:color w:val="auto"/>
          <w:spacing w:val="0"/>
          <w:position w:val="0"/>
          <w:sz w:val="22"/>
          <w:shd w:fill="auto" w:val="clear"/>
        </w:rPr>
        <w:t xml:space="preserve">distribution </w:t>
      </w:r>
      <w:r>
        <w:rPr>
          <w:rFonts w:ascii="Times New Roman" w:hAnsi="Times New Roman" w:cs="Times New Roman" w:eastAsia="Times New Roman"/>
          <w:color w:val="auto"/>
          <w:spacing w:val="0"/>
          <w:position w:val="0"/>
          <w:sz w:val="22"/>
          <w:shd w:fill="auto" w:val="clear"/>
        </w:rPr>
        <w:t xml:space="preserve">of the value count for variable previous outcome and campaign is shown with bar plots along with box plot and density plots. </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7083">
          <v:rect xmlns:o="urn:schemas-microsoft-com:office:office" xmlns:v="urn:schemas-microsoft-com:vml" id="rectole0000000011" style="width:561.600000pt;height:354.1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412" w:dyaOrig="4609">
          <v:rect xmlns:o="urn:schemas-microsoft-com:office:office" xmlns:v="urn:schemas-microsoft-com:vml" id="rectole0000000012" style="width:570.600000pt;height:230.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5427">
          <v:rect xmlns:o="urn:schemas-microsoft-com:office:office" xmlns:v="urn:schemas-microsoft-com:vml" id="rectole0000000013" style="width:561.600000pt;height:271.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From the below box plot it can be observed that </w:t>
      </w:r>
      <w:r>
        <w:rPr>
          <w:rFonts w:ascii="Times New Roman" w:hAnsi="Times New Roman" w:cs="Times New Roman" w:eastAsia="Times New Roman"/>
          <w:b/>
          <w:color w:val="auto"/>
          <w:spacing w:val="0"/>
          <w:position w:val="0"/>
          <w:sz w:val="22"/>
          <w:shd w:fill="auto" w:val="clear"/>
        </w:rPr>
        <w:t xml:space="preserve">outlier’s</w:t>
      </w:r>
      <w:r>
        <w:rPr>
          <w:rFonts w:ascii="Times New Roman" w:hAnsi="Times New Roman" w:cs="Times New Roman" w:eastAsia="Times New Roman"/>
          <w:color w:val="auto"/>
          <w:spacing w:val="0"/>
          <w:position w:val="0"/>
          <w:sz w:val="22"/>
          <w:shd w:fill="auto" w:val="clear"/>
        </w:rPr>
        <w:t xml:space="preserve"> exist for the column duration which shows some contact duration </w:t>
      </w:r>
      <w:r>
        <w:rPr>
          <w:rFonts w:ascii="Times New Roman" w:hAnsi="Times New Roman" w:cs="Times New Roman" w:eastAsia="Times New Roman"/>
          <w:b/>
          <w:color w:val="auto"/>
          <w:spacing w:val="0"/>
          <w:position w:val="0"/>
          <w:sz w:val="22"/>
          <w:shd w:fill="auto" w:val="clear"/>
        </w:rPr>
        <w:t xml:space="preserve">lasted </w:t>
      </w:r>
      <w:r>
        <w:rPr>
          <w:rFonts w:ascii="Times New Roman" w:hAnsi="Times New Roman" w:cs="Times New Roman" w:eastAsia="Times New Roman"/>
          <w:color w:val="auto"/>
          <w:spacing w:val="0"/>
          <w:position w:val="0"/>
          <w:sz w:val="22"/>
          <w:shd w:fill="auto" w:val="clear"/>
        </w:rPr>
        <w:t xml:space="preserve">a lot </w:t>
      </w:r>
      <w:r>
        <w:rPr>
          <w:rFonts w:ascii="Times New Roman" w:hAnsi="Times New Roman" w:cs="Times New Roman" w:eastAsia="Times New Roman"/>
          <w:b/>
          <w:color w:val="auto"/>
          <w:spacing w:val="0"/>
          <w:position w:val="0"/>
          <w:sz w:val="22"/>
          <w:shd w:fill="auto" w:val="clear"/>
        </w:rPr>
        <w:t xml:space="preserve">longer</w:t>
      </w:r>
      <w:r>
        <w:rPr>
          <w:rFonts w:ascii="Times New Roman" w:hAnsi="Times New Roman" w:cs="Times New Roman" w:eastAsia="Times New Roman"/>
          <w:color w:val="auto"/>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7482">
          <v:rect xmlns:o="urn:schemas-microsoft-com:office:office" xmlns:v="urn:schemas-microsoft-com:vml" id="rectole0000000014" style="width:561.600000pt;height:374.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According to the Categorical distribution chart below, the majority of responders consisted of customers with </w:t>
      </w:r>
      <w:r>
        <w:rPr>
          <w:rFonts w:ascii="Times New Roman" w:hAnsi="Times New Roman" w:cs="Times New Roman" w:eastAsia="Times New Roman"/>
          <w:b/>
          <w:color w:val="auto"/>
          <w:spacing w:val="0"/>
          <w:position w:val="0"/>
          <w:sz w:val="22"/>
          <w:shd w:fill="auto" w:val="clear"/>
        </w:rPr>
        <w:t xml:space="preserve">'admin' </w:t>
      </w:r>
      <w:r>
        <w:rPr>
          <w:rFonts w:ascii="Times New Roman" w:hAnsi="Times New Roman" w:cs="Times New Roman" w:eastAsia="Times New Roman"/>
          <w:color w:val="auto"/>
          <w:spacing w:val="0"/>
          <w:position w:val="0"/>
          <w:sz w:val="22"/>
          <w:shd w:fill="auto" w:val="clear"/>
        </w:rPr>
        <w:t xml:space="preserve">and </w:t>
      </w:r>
      <w:r>
        <w:rPr>
          <w:rFonts w:ascii="Times New Roman" w:hAnsi="Times New Roman" w:cs="Times New Roman" w:eastAsia="Times New Roman"/>
          <w:b/>
          <w:color w:val="auto"/>
          <w:spacing w:val="0"/>
          <w:position w:val="0"/>
          <w:sz w:val="22"/>
          <w:shd w:fill="auto" w:val="clear"/>
        </w:rPr>
        <w:t xml:space="preserve">'blue-collar'</w:t>
      </w:r>
      <w:r>
        <w:rPr>
          <w:rFonts w:ascii="Times New Roman" w:hAnsi="Times New Roman" w:cs="Times New Roman" w:eastAsia="Times New Roman"/>
          <w:color w:val="auto"/>
          <w:spacing w:val="0"/>
          <w:position w:val="0"/>
          <w:sz w:val="22"/>
          <w:shd w:fill="auto" w:val="clear"/>
        </w:rPr>
        <w:t xml:space="preserve"> job types, with a notable number of subscribers belonging to the 'admin' category and, to a greater extent.</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7126">
          <v:rect xmlns:o="urn:schemas-microsoft-com:office:office" xmlns:v="urn:schemas-microsoft-com:vml" id="rectole0000000015" style="width:561.600000pt;height:356.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Subscription Variable was further analyzed with others as a part of bivariate analysis where relation with duration of contact time was observed whereas in case of age was negligible.</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11232" w:dyaOrig="5743">
          <v:rect xmlns:o="urn:schemas-microsoft-com:office:office" xmlns:v="urn:schemas-microsoft-com:vml" id="rectole0000000016" style="width:561.600000pt;height:287.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11232" w:dyaOrig="6291">
          <v:rect xmlns:o="urn:schemas-microsoft-com:office:office" xmlns:v="urn:schemas-microsoft-com:vml" id="rectole0000000017" style="width:561.600000pt;height:314.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Here Customer’s </w:t>
      </w:r>
      <w:r>
        <w:rPr>
          <w:rFonts w:ascii="Times New Roman" w:hAnsi="Times New Roman" w:cs="Times New Roman" w:eastAsia="Times New Roman"/>
          <w:b/>
          <w:color w:val="auto"/>
          <w:spacing w:val="0"/>
          <w:position w:val="0"/>
          <w:sz w:val="22"/>
          <w:shd w:fill="auto" w:val="clear"/>
        </w:rPr>
        <w:t xml:space="preserve">contact method</w:t>
      </w:r>
      <w:r>
        <w:rPr>
          <w:rFonts w:ascii="Times New Roman" w:hAnsi="Times New Roman" w:cs="Times New Roman" w:eastAsia="Times New Roman"/>
          <w:color w:val="auto"/>
          <w:spacing w:val="0"/>
          <w:position w:val="0"/>
          <w:sz w:val="22"/>
          <w:shd w:fill="auto" w:val="clear"/>
        </w:rPr>
        <w:t xml:space="preserve"> also displayed a differentiating factor in the subscription.</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11232" w:dyaOrig="8217">
          <v:rect xmlns:o="urn:schemas-microsoft-com:office:office" xmlns:v="urn:schemas-microsoft-com:vml" id="rectole0000000018" style="width:561.600000pt;height:410.8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below clustered Chart depicts that responders were high in the month of </w:t>
      </w:r>
      <w:r>
        <w:rPr>
          <w:rFonts w:ascii="Times New Roman" w:hAnsi="Times New Roman" w:cs="Times New Roman" w:eastAsia="Times New Roman"/>
          <w:b/>
          <w:color w:val="auto"/>
          <w:spacing w:val="0"/>
          <w:position w:val="0"/>
          <w:sz w:val="22"/>
          <w:shd w:fill="auto" w:val="clear"/>
        </w:rPr>
        <w:t xml:space="preserve">“may”.</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11232" w:dyaOrig="11064">
          <v:rect xmlns:o="urn:schemas-microsoft-com:office:office" xmlns:v="urn:schemas-microsoft-com:vml" id="rectole0000000019" style="width:561.600000pt;height:553.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object w:dxaOrig="11232" w:dyaOrig="7028">
          <v:rect xmlns:o="urn:schemas-microsoft-com:office:office" xmlns:v="urn:schemas-microsoft-com:vml" id="rectole0000000020" style="width:561.600000pt;height:351.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w:t>
      </w:r>
      <w:r>
        <w:rPr>
          <w:rFonts w:ascii="Times New Roman" w:hAnsi="Times New Roman" w:cs="Times New Roman" w:eastAsia="Times New Roman"/>
          <w:b/>
          <w:color w:val="auto"/>
          <w:spacing w:val="0"/>
          <w:position w:val="0"/>
          <w:sz w:val="22"/>
          <w:shd w:fill="auto" w:val="clear"/>
        </w:rPr>
        <w:t xml:space="preserve">correlation matrix</w:t>
      </w:r>
      <w:r>
        <w:rPr>
          <w:rFonts w:ascii="Times New Roman" w:hAnsi="Times New Roman" w:cs="Times New Roman" w:eastAsia="Times New Roman"/>
          <w:color w:val="auto"/>
          <w:spacing w:val="0"/>
          <w:position w:val="0"/>
          <w:sz w:val="22"/>
          <w:shd w:fill="auto" w:val="clear"/>
        </w:rPr>
        <w:t xml:space="preserve"> with the heatmap shows there is high correlation of number employed and euribor 3 month rate.</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4296">
          <v:rect xmlns:o="urn:schemas-microsoft-com:office:office" xmlns:v="urn:schemas-microsoft-com:vml" id="rectole0000000021" style="width:561.600000pt;height:214.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object w:dxaOrig="11232" w:dyaOrig="7766">
          <v:rect xmlns:o="urn:schemas-microsoft-com:office:office" xmlns:v="urn:schemas-microsoft-com:vml" id="rectole0000000022" style="width:561.600000pt;height:388.3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There’s a slight positive correlation observed for the subscription with attributes such as duration, campaign, employee variation rate and number employed.</w:t>
      </w:r>
    </w:p>
    <w:p>
      <w:pPr>
        <w:spacing w:before="0" w:after="0" w:line="276"/>
        <w:ind w:right="0" w:left="0" w:firstLine="0"/>
        <w:jc w:val="left"/>
        <w:rPr>
          <w:rFonts w:ascii="Times New Roman" w:hAnsi="Times New Roman" w:cs="Times New Roman" w:eastAsia="Times New Roman"/>
          <w:color w:val="auto"/>
          <w:spacing w:val="0"/>
          <w:position w:val="0"/>
          <w:sz w:val="40"/>
          <w:shd w:fill="auto" w:val="clear"/>
        </w:rPr>
      </w:pPr>
      <w:r>
        <w:object w:dxaOrig="11232" w:dyaOrig="9671">
          <v:rect xmlns:o="urn:schemas-microsoft-com:office:office" xmlns:v="urn:schemas-microsoft-com:vml" id="rectole0000000023" style="width:561.600000pt;height:483.5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Times New Roman" w:hAnsi="Times New Roman" w:cs="Times New Roman" w:eastAsia="Times New Roman"/>
          <w:color w:val="auto"/>
          <w:spacing w:val="0"/>
          <w:position w:val="0"/>
          <w:sz w:val="40"/>
          <w:shd w:fill="auto" w:val="clear"/>
        </w:rPr>
        <w:t xml:space="preserve">Conclusion:</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From the given dataset initial insights were uncovered based on different analyses in relation to customer’s responsiveness to the marketing campaigns. Notably, observations regarding job type, contact method and campaign might play a piviotal role in customer’s subscription behavior. Finally, those initial observations upon further analysis and evaluation may help uncover them and justify while also identifying the additional factors affecting the behavior.</w:t>
      </w: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styles.xml" Id="docRId49"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numbering.xml" Id="docRId48" Type="http://schemas.openxmlformats.org/officeDocument/2006/relationships/numbering" /></Relationships>
</file>