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215"/>
        <w:gridCol w:w="735"/>
        <w:tblGridChange w:id="0">
          <w:tblGrid>
            <w:gridCol w:w="2235"/>
            <w:gridCol w:w="721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Definition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Slide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collection of interconnected devices which are spread across the globe, including computers, internet routers, basically any device that connects to the global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 Protocol: a unique address assigned to every device on the Internet (public) or network (private)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version 4. v4 IPs (which can be public or private) consist of 4 numbers (from 0 to 255) separated by 3 dots, eg. 192.168.0.0.1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 Area Network: a private network, usually local to house or building, consisting of all connected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reserved domain, usually mapped to the local IP 127.0.0.1, which refers to the current computer, ‘looping back’ to it in order to access any websites hosted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number that uniquely identifies a running process or service that can be used to connect to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computer in a network that sends a request and interprets the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computer in a network that receives and handles a request, returning a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sent from a client via HTTP to server, potentially containing information about what kind of response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sent from the server back to the client who sent a request, containing a status code and the information that was requested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information about the request or response, often sent as a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type of request-response connection that remains open while the server progressively sends more and more of a large file, usually video or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Transfer Protocol: a way of communicating based on the Request/Response model to exchange data over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securely encrypted version of HTTP that prevents requests/responses from being intercepted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Uniform Resource Locator: a formatted string that uniquely identifies a resource and the server where it is available on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unique, easy-to-remember address used to access a website. The domain is mapped to the IP of the server hosting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 of the URL that comes after the domain name, specifying the location of a resource (often a webpage or image)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collection of web pages and related content that is identified by a common domain name and published on a 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structured document written in HTML that belongs to 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Another term for the server where the website is hosted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program such as Chrome, Firefox, Safari or Edge responsible for sending requests to a web server and interpreting the HTML/CSS/JS response sent back in order to display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Markup Language: the standard language for creating web pages, which describes the content and structure of the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process of intercepting the normal interpretation of a piece of code and substituting alternative behaviour, usually to fix an error or add unsupported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type of shimming used to add modern features to older browsers that don’t natively support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building blocks of HTML, which can be nested inside each other to form the HTML document, and begin and end with &lt;&gt; (angle brackets). Common examples include &lt;body&gt;, &lt;div&gt;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Everything inside the beginning and ending tag, including the opening and closing tags themselves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 of a HTML tag providing extra information about the element in the form of a name-value pair, for example the href for a hyperlink (anchor) or the src for an img. Tags can have multiple attributes separated by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Object Model: the in-memory representation of the HTML structure for a page, managed by the browser, which can be manipulated by JS using the DOM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attribute that can be added to any tag to give it a unique identifier, which can then be used by CSS or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attribute that can be added to any tag to give it one or more classes, which can then be used by CSS or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Also called a Developer Inspector, or devtools. A feature of all modern browsers that allows developers access to a range of useful things to examine, understand and debug their code, including ‘inspecting’ the running HTML, CSS and JS in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element defining the metadata for the page, which describes the document and is not visually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 to define a piece of metadata about the page, including things such as character set, viewport, description, keywords,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section, usually used to link an external CSS stylesheet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section, used to define the title of the page as displayed in the browser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or body section, used to define external or internal JS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section, used to define internal CSS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block element occupies the total available width of its parent, and will stack vertically with other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Generic block-level HTML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Inline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inline element occupies only the width its content requires, and will sit horizontally next to other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Generic inline-level HTML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force a line break, ideally used only for applying strict formatting to text and not for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Self-closing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that has no children inside it, and opens and closes within a single tag, using a slash at the end, e.g. &lt;br/&gt;, &lt;hr/&gt;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Semantic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element that describes its meaning to the browser, search engine and the web developer, e.g. &lt;h1&gt;, &lt;p&gt;, &lt;nav&gt;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introductory content at the top of the page, often including navigation, logo, branding, search form, primary contact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a section of the page providing navigation links such as a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the main content area inside the body of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a generic standalone section within the document, each of which should usually contain a heading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a self-contained, independent and reusable content such as a blog post, product, comment, newspaper article or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sidebar or callout box content indirectly related to the main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content at the bottom of the page typically containing copyright info, legal links, contact details or other related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Headings range from level 1 to level 6, lessening in importance as the number increases. Represented with heading tags eg &lt;h1&gt;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string that starts with &amp; (ampersand) and ends with ; used to display reserved or other 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display unordered lists of items, usually a list of bullet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display ordered lists of items, usually an automatically numbered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for displaying a list item, either in an ordered or unordered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markup emphasised text, which usually displays in an italic font (not to be confused with the CSS unit of the same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display strongly weighted text, which usually appears in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&lt;dl&gt; HTML tag, used to display a list of terms (dt) with details (dd)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Represented by the HTML tags &lt;blockquote&gt; for larger block-level quotes spanning multiple lines, and &lt;q&gt; for smaller in-line quotes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clickable link that will load content from a URL defined in the href attribute. Represented by an anchor tag (&lt;a&gt;)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HTML syntax used to document, point out something unusual, tricky or unresolved, or clarify the start/end of various sections. Not interpreted or displayed by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to display an image, by specifying its URL source with a src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for displaying an interactive video, by specifying its URL source with a &lt;source&gt;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for displaying a controllable audio file, by specifying its URL source with a &lt;source&gt;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to display a table containing data split into rows and columns. Not to be used for layout, but good for consistent display of grid-based data. Uses nested row (tr) and column (td)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to display a form containing one or more inputs to be filled in by a user, with the input data then sent to a server for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that allows us to embed content of another web page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within our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that allows us to paint arbitrary shapes, graphics and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Cascading Style Sheets: a language for styling elements written in a markup language such as HTML, to specify how they should appear when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Selectors are used to target or define the HTML elements that you want to style, using 4 main types: class, type, id and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combination of selectors that targets HTML elements at a particular position within the DOM, relative to their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pseudo-class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selector that allows us to style elements in a certain state, e.g. a link that is hovered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pseudo-element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selector that allows us to style certain parts of HTML elements, e.g. first line of a paragraph or generate content before or after an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CSS keyword that can be added to any rule to force it to take precedence over any other rules for that 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value that can apply to any CSS property, used to set the value of the property to its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value that can apply to any CSS property, used to make an element inherit the property value from its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fixed unit of measurement in CSS, used to specify a size in pixels (the smallest unit in a digital display, 1/96 of an inch)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fixed unit of measurement in CSS, usually used to specify font sizes similarly to a text editor (1/72 of an inch)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equal to the same size as the font of the parent element (not to be confused with the HTML tag &lt;em&gt;)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equal to the same size as the font of the root (html/body)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used to specify height in relation to the height of the viewport, where 100vh is the same size as the current viewport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used to specify width in relation to the width of the viewport, where 100vw is the same size as the current viewport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area of a web page visible to the user without scrolling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to define the display model for an element, using values such as block|inline|inline-block|flex|grid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to define the way an element is positioned relative to the page. Often used together with top|bottom|left|right positioning offset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specific style of text displayed on a webpage. Can be controlled using CSS properties such as font-family (or typeface), font-style (italic or normal) font-weight (bold)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slight projection finishing off a stroke of a letter in certain typefaces/fonts. A sans-serif font does not include these serifs.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controlling various aspects of the background of an element, including images, colours, gradients, transparencies, positioning,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function for calculating numeric values, often used to ensure responsive content using a mix of percentage and fixed widths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Legacy CSS property used to lay out block elements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Box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model used to calculate the size of a block element (a ‘box’). Controlled via the box-sizing property, options are content-box (default) or border-box (more intuitive)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to control how content should behave if it is too big to fit in its container, options include hiding, scrolling, overlaying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Margin collapsing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behaviour of sibling block elements that collapses multiple margins into a single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display model applied with display: flex for applying responsive layout to block elements. Can be customised using various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justify-content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used with a flexbox display model to control the alignment of items along the main axis (usually the horizontal)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align-items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used with a flexbox display model to control the alignment of items along the secondary axis (usually the vertical)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display model applied with display: grid for applying grid-based layout to block elements. Can be customised using various properties to control multi-row layouts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grid-template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used with a grid display model to define the number and proportional size of rows and columns in the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Fractional CSS unit used with grid items to define proportional widths/heights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in CSS to name a certain value in the root element which can be re-used throughout the stylesheet, often used to define a consistent colour palette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webpage that responds appropriately when viewed in devices of different sizes, eg. phone vs laptop, by automatically adjusting item widths and repositioning various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mobile-first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method of designing and building webpages primarily for viewing on mobile screens, then adjusting as necessary for larger desktop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desktop-first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 method of designing and building webpages primarily for viewing on larger desktop/laptop screens, then adjusting as necessary for smaller mobile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rule that targets devices that match certain constraints, often regarding the width, using the @media rule, and applies certain properties only to those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defined screen width at which different media queries are activated, used to apply different responsive behaviour for phones vs tablets vs laptops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lightweight file of well-tested CSS rules to simplify development and maintain consistency across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857250" cy="780737"/>
          <wp:effectExtent b="0" l="0" r="0" t="0"/>
          <wp:wrapSquare wrapText="bothSides" distB="19050" distT="19050" distL="19050" distR="190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8925"/>
                  <a:stretch>
                    <a:fillRect/>
                  </a:stretch>
                </pic:blipFill>
                <pic:spPr>
                  <a:xfrm>
                    <a:off x="0" y="0"/>
                    <a:ext cx="857250" cy="780737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1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70"/>
      <w:gridCol w:w="7170"/>
      <w:tblGridChange w:id="0">
        <w:tblGrid>
          <w:gridCol w:w="2970"/>
          <w:gridCol w:w="717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149">
          <w:pPr>
            <w:rPr>
              <w:rFonts w:ascii="Calibri" w:cs="Calibri" w:eastAsia="Calibri" w:hAnsi="Calibri"/>
              <w:sz w:val="26"/>
              <w:szCs w:val="2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sz w:val="40"/>
              <w:szCs w:val="40"/>
              <w:rtl w:val="0"/>
            </w:rPr>
            <w:t xml:space="preserve">Institute </w:t>
            <w:br w:type="textWrapping"/>
            <w:t xml:space="preserve">of Data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14A">
          <w:pPr>
            <w:spacing w:line="240" w:lineRule="auto"/>
            <w:jc w:val="right"/>
            <w:rPr>
              <w:b w:val="1"/>
              <w:color w:val="0000ff"/>
              <w:sz w:val="28"/>
              <w:szCs w:val="28"/>
            </w:rPr>
          </w:pPr>
          <w:r w:rsidDel="00000000" w:rsidR="00000000" w:rsidRPr="00000000">
            <w:rPr>
              <w:b w:val="1"/>
              <w:color w:val="0000ff"/>
              <w:sz w:val="32"/>
              <w:szCs w:val="32"/>
              <w:rtl w:val="0"/>
            </w:rPr>
            <w:t xml:space="preserve">Software Engineering</w:t>
            <w:br w:type="textWrapping"/>
          </w:r>
          <w:r w:rsidDel="00000000" w:rsidR="00000000" w:rsidRPr="00000000">
            <w:rPr>
              <w:b w:val="1"/>
              <w:color w:val="0000ff"/>
              <w:sz w:val="28"/>
              <w:szCs w:val="28"/>
              <w:rtl w:val="0"/>
            </w:rPr>
            <w:t xml:space="preserve">Module 2 - Front-End Development</w:t>
          </w:r>
        </w:p>
        <w:p w:rsidR="00000000" w:rsidDel="00000000" w:rsidP="00000000" w:rsidRDefault="00000000" w:rsidRPr="00000000" w14:paraId="0000014B">
          <w:pPr>
            <w:jc w:val="right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Important Terms Glossary</w:t>
          </w:r>
        </w:p>
      </w:tc>
    </w:tr>
  </w:tbl>
  <w:p w:rsidR="00000000" w:rsidDel="00000000" w:rsidP="00000000" w:rsidRDefault="00000000" w:rsidRPr="00000000" w14:paraId="0000014C">
    <w:pPr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4jiVlq5MQJjeOx74GtYP6hfxw==">CgMxLjA4AHIhMTltYnZydXNpT0NQd0VNUkZ4UVd6cWdnR3MweXcyS2M5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