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F766E"/>
          <w:sz w:val="68"/>
        </w:rPr>
        <w:t>NEETRINO COSTOPS</w:t>
      </w:r>
    </w:p>
    <w:p>
      <w:pPr>
        <w:jc w:val="center"/>
      </w:pPr>
      <w:r>
        <w:rPr>
          <w:rFonts w:ascii="Aptos Display" w:hAnsi="Aptos Display"/>
          <w:b/>
          <w:color w:val="111827"/>
          <w:sz w:val="40"/>
        </w:rPr>
        <w:t>Единая платформа контроля инфраструктурных затрат</w:t>
      </w:r>
    </w:p>
    <w:p>
      <w:pPr>
        <w:jc w:val="center"/>
      </w:pPr>
      <w:r>
        <w:rPr>
          <w:rFonts w:ascii="Aptos" w:hAnsi="Aptos"/>
          <w:b w:val="0"/>
          <w:color w:val="6B7280"/>
          <w:sz w:val="24"/>
        </w:rPr>
        <w:t>Техническое задание на новый проект</w:t>
      </w:r>
    </w:p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123"/>
      </w:tblGrid>
      <w:tr>
        <w:trPr>
          <w:trHeight w:val="510"/>
          <w:cantSplit/>
        </w:trPr>
        <w:tc>
          <w:tcPr>
            <w:tcW w:type="dxa" w:w="4986"/>
            <w:vAlign w:val="center"/>
            <w:tcBorders>
              <w:bottom w:val="single" w:sz="4" w:color="D1D5DB"/>
            </w:tcBorders>
            <w:shd w:fill="F8FAFC"/>
          </w:tcPr>
          <w:p>
            <w:pPr>
              <w:spacing w:after="30"/>
            </w:pPr>
            <w:r>
              <w:rPr>
                <w:rFonts w:ascii="Aptos" w:hAnsi="Aptos"/>
                <w:b/>
                <w:color w:val="111827"/>
                <w:sz w:val="18"/>
              </w:rPr>
              <w:t>Рабочее название</w:t>
            </w:r>
          </w:p>
        </w:tc>
        <w:tc>
          <w:tcPr>
            <w:tcW w:type="dxa" w:w="4986"/>
            <w:vAlign w:val="center"/>
            <w:tcBorders>
              <w:bottom w:val="single" w:sz="4" w:color="D1D5DB"/>
            </w:tcBorders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6B7280"/>
                <w:sz w:val="18"/>
              </w:rPr>
              <w:t>Neetrino CostOps</w:t>
            </w:r>
          </w:p>
        </w:tc>
      </w:tr>
      <w:tr>
        <w:trPr>
          <w:trHeight w:val="510"/>
          <w:cantSplit/>
        </w:trPr>
        <w:tc>
          <w:tcPr>
            <w:tcW w:type="dxa" w:w="4986"/>
            <w:vAlign w:val="center"/>
            <w:tcBorders>
              <w:bottom w:val="single" w:sz="4" w:color="D1D5DB"/>
            </w:tcBorders>
            <w:shd w:fill="F8FAFC"/>
          </w:tcPr>
          <w:p>
            <w:pPr>
              <w:spacing w:after="30"/>
            </w:pPr>
            <w:r>
              <w:rPr>
                <w:rFonts w:ascii="Aptos" w:hAnsi="Aptos"/>
                <w:b/>
                <w:color w:val="111827"/>
                <w:sz w:val="18"/>
              </w:rPr>
              <w:t>Назначение</w:t>
            </w:r>
          </w:p>
        </w:tc>
        <w:tc>
          <w:tcPr>
            <w:tcW w:type="dxa" w:w="4986"/>
            <w:vAlign w:val="center"/>
            <w:tcBorders>
              <w:bottom w:val="single" w:sz="4" w:color="D1D5DB"/>
            </w:tcBorders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6B7280"/>
                <w:sz w:val="18"/>
              </w:rPr>
              <w:t>Сбор, хранение, анализ и контроль затрат по проектам и инфраструктурным направлениям</w:t>
            </w:r>
          </w:p>
        </w:tc>
      </w:tr>
      <w:tr>
        <w:trPr>
          <w:trHeight w:val="510"/>
          <w:cantSplit/>
        </w:trPr>
        <w:tc>
          <w:tcPr>
            <w:tcW w:type="dxa" w:w="4986"/>
            <w:vAlign w:val="center"/>
            <w:tcBorders>
              <w:bottom w:val="single" w:sz="4" w:color="D1D5DB"/>
            </w:tcBorders>
            <w:shd w:fill="F8FAFC"/>
          </w:tcPr>
          <w:p>
            <w:pPr>
              <w:spacing w:after="30"/>
            </w:pPr>
            <w:r>
              <w:rPr>
                <w:rFonts w:ascii="Aptos" w:hAnsi="Aptos"/>
                <w:b/>
                <w:color w:val="111827"/>
                <w:sz w:val="18"/>
              </w:rPr>
              <w:t>Первый источник миграции</w:t>
            </w:r>
          </w:p>
        </w:tc>
        <w:tc>
          <w:tcPr>
            <w:tcW w:type="dxa" w:w="4986"/>
            <w:vAlign w:val="center"/>
            <w:tcBorders>
              <w:bottom w:val="single" w:sz="4" w:color="D1D5DB"/>
            </w:tcBorders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6B7280"/>
                <w:sz w:val="18"/>
              </w:rPr>
              <w:t>Текущий проект neetrino/neon</w:t>
            </w:r>
          </w:p>
        </w:tc>
      </w:tr>
      <w:tr>
        <w:trPr>
          <w:trHeight w:val="510"/>
          <w:cantSplit/>
        </w:trPr>
        <w:tc>
          <w:tcPr>
            <w:tcW w:type="dxa" w:w="4986"/>
            <w:vAlign w:val="center"/>
            <w:tcBorders>
              <w:bottom w:val="single" w:sz="4" w:color="D1D5DB"/>
            </w:tcBorders>
            <w:shd w:fill="F8FAFC"/>
          </w:tcPr>
          <w:p>
            <w:pPr>
              <w:spacing w:after="30"/>
            </w:pPr>
            <w:r>
              <w:rPr>
                <w:rFonts w:ascii="Aptos" w:hAnsi="Aptos"/>
                <w:b/>
                <w:color w:val="111827"/>
                <w:sz w:val="18"/>
              </w:rPr>
              <w:t>Основной канал уведомлений</w:t>
            </w:r>
          </w:p>
        </w:tc>
        <w:tc>
          <w:tcPr>
            <w:tcW w:type="dxa" w:w="4986"/>
            <w:vAlign w:val="center"/>
            <w:tcBorders>
              <w:bottom w:val="single" w:sz="4" w:color="D1D5DB"/>
            </w:tcBorders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6B7280"/>
                <w:sz w:val="18"/>
              </w:rPr>
              <w:t>Telegram Bot</w:t>
            </w:r>
          </w:p>
        </w:tc>
      </w:tr>
      <w:tr>
        <w:trPr>
          <w:trHeight w:val="510"/>
          <w:cantSplit/>
        </w:trPr>
        <w:tc>
          <w:tcPr>
            <w:tcW w:type="dxa" w:w="4986"/>
            <w:vAlign w:val="center"/>
            <w:tcBorders>
              <w:bottom w:val="single" w:sz="4" w:color="D1D5DB"/>
            </w:tcBorders>
            <w:shd w:fill="F8FAFC"/>
          </w:tcPr>
          <w:p>
            <w:pPr>
              <w:spacing w:after="30"/>
            </w:pPr>
            <w:r>
              <w:rPr>
                <w:rFonts w:ascii="Aptos" w:hAnsi="Aptos"/>
                <w:b/>
                <w:color w:val="111827"/>
                <w:sz w:val="18"/>
              </w:rPr>
              <w:t>Статус документа</w:t>
            </w:r>
          </w:p>
        </w:tc>
        <w:tc>
          <w:tcPr>
            <w:tcW w:type="dxa" w:w="4986"/>
            <w:vAlign w:val="center"/>
            <w:tcBorders>
              <w:bottom w:val="single" w:sz="4" w:color="D1D5DB"/>
            </w:tcBorders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6B7280"/>
                <w:sz w:val="18"/>
              </w:rPr>
              <w:t>Architecture + Functional Specification v1.0</w:t>
            </w:r>
          </w:p>
        </w:tc>
      </w:tr>
    </w:tbl>
    <w:p>
      <w:pPr>
        <w:spacing w:before="360"/>
        <w:jc w:val="center"/>
      </w:pPr>
      <w:r>
        <w:rPr>
          <w:rFonts w:ascii="Aptos" w:hAnsi="Aptos"/>
          <w:b/>
          <w:color w:val="0F766E"/>
          <w:sz w:val="22"/>
        </w:rPr>
        <w:t>Ключевой принцип: сохранить 100% полезной функциональности текущего Neon dashboard и обобщить её для всех провайдеров.</w:t>
      </w:r>
    </w:p>
    <w:p>
      <w:r>
        <w:br w:type="page"/>
      </w:r>
    </w:p>
    <w:p>
      <w:pPr>
        <w:pStyle w:val="Heading1"/>
        <w:keepNext/>
      </w:pPr>
      <w:r>
        <w:t>1. Цель проекта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Создать единую внутреннюю платформу Neetrino для контроля фактических и оценочных инфраструктурных затрат по всем клиентским и внутренним проектам. Платформа должна регулярно получать данные напрямую из API подключённых сервисов, сохранять историю на своей стороне, агрегировать расходы по проектам и направлениям, строить аналитику и самостоятельно принимать решение об отправке Telegram-уведомлений.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0FDFA"/>
            <w:tcBorders>
              <w:top w:val="single" w:sz="12" w:color="0F766E"/>
              <w:left w:val="single" w:sz="4" w:color="0F766E"/>
              <w:bottom w:val="single" w:sz="4" w:color="D1D5DB"/>
              <w:right w:val="single" w:sz="4" w:color="D1D5DB"/>
            </w:tcBorders>
          </w:tcPr>
          <w:p>
            <w:pPr>
              <w:spacing w:before="60" w:after="30"/>
            </w:pPr>
            <w:r>
              <w:rPr>
                <w:rFonts w:ascii="Aptos" w:hAnsi="Aptos"/>
                <w:b/>
                <w:color w:val="0F766E"/>
                <w:sz w:val="20"/>
              </w:rPr>
              <w:t xml:space="preserve">Главное архитектурное решение — </w:t>
            </w:r>
            <w:r>
              <w:rPr>
                <w:rFonts w:ascii="Aptos" w:hAnsi="Aptos"/>
                <w:b w:val="0"/>
                <w:color w:val="111827"/>
                <w:sz w:val="20"/>
              </w:rPr>
              <w:t>Vercel, Neon, Upstash и другие провайдеры не отвечают за наши правила уведомлений. CostOps сам опрашивает источники, хранит данные и применяет собственные лимиты. Вебхуки провайдеров не являются обязательной частью MVP.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1.1. Что считаем «проектом» и «направлением»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Проект — бизнес- или клиентский продукт Neetrino, например Degusto, Mobee, NBOS, Ommm, Grill. Направление — провайдер/инфраструктурный сервис, который создаёт затраты внутри этого проекта: Neon, Vercel, Upstash, Google Cloud и другие.</w:t>
      </w:r>
    </w:p>
    <w:p>
      <w:pPr>
        <w:pStyle w:val="Heading1"/>
        <w:keepNext/>
      </w:pPr>
      <w:r>
        <w:t>2. Базовая модель контроля бюджета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Основной контроль строится не вокруг одного общего бюджета компании, а вокруг конкретного проекта и его инфраструктурных направлений. У разных проектов нормальный уровень расходов отличается, поэтому одинаковый лимит для всех проектов недопустим.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268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2268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Пример</w:t>
            </w:r>
          </w:p>
        </w:tc>
        <w:tc>
          <w:tcPr>
            <w:tcW w:type="dxa" w:w="1871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Статус в v1</w:t>
            </w:r>
          </w:p>
        </w:tc>
        <w:tc>
          <w:tcPr>
            <w:tcW w:type="dxa" w:w="2948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Проект + направление</w:t>
            </w:r>
          </w:p>
        </w:tc>
        <w:tc>
          <w:tcPr>
            <w:tcW w:type="dxa" w:w="226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Degusto / Neon = $2 в день</w:t>
            </w:r>
          </w:p>
        </w:tc>
        <w:tc>
          <w:tcPr>
            <w:tcW w:type="dxa" w:w="1871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Обязательный основной уровень</w:t>
            </w:r>
          </w:p>
        </w:tc>
        <w:tc>
          <w:tcPr>
            <w:tcW w:type="dxa" w:w="294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Главный тип лимита и уведомлений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Проект целиком</w:t>
            </w:r>
          </w:p>
        </w:tc>
        <w:tc>
          <w:tcPr>
            <w:tcW w:type="dxa" w:w="2268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Degusto = $5 в день</w:t>
            </w:r>
          </w:p>
        </w:tc>
        <w:tc>
          <w:tcPr>
            <w:tcW w:type="dxa" w:w="1871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Опциональный</w:t>
            </w:r>
          </w:p>
        </w:tc>
        <w:tc>
          <w:tcPr>
            <w:tcW w:type="dxa" w:w="2948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Контроль общей стоимости проекта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Направление целиком</w:t>
            </w:r>
          </w:p>
        </w:tc>
        <w:tc>
          <w:tcPr>
            <w:tcW w:type="dxa" w:w="226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Все Vercel = $30 в день</w:t>
            </w:r>
          </w:p>
        </w:tc>
        <w:tc>
          <w:tcPr>
            <w:tcW w:type="dxa" w:w="1871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Опциональный</w:t>
            </w:r>
          </w:p>
        </w:tc>
        <w:tc>
          <w:tcPr>
            <w:tcW w:type="dxa" w:w="294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Контроль расходов провайдера по всем проектам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Все проекты</w:t>
            </w:r>
          </w:p>
        </w:tc>
        <w:tc>
          <w:tcPr>
            <w:tcW w:type="dxa" w:w="2268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Вся инфраструктура = $80 в день</w:t>
            </w:r>
          </w:p>
        </w:tc>
        <w:tc>
          <w:tcPr>
            <w:tcW w:type="dxa" w:w="1871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Опциональный</w:t>
            </w:r>
          </w:p>
        </w:tc>
        <w:tc>
          <w:tcPr>
            <w:tcW w:type="dxa" w:w="2948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Общий верхнеуровневый контроль компании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2.1. Пример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Для Degusto можно задать разные дневные лимиты: Neon — $2, Vercel — $1, Upstash — $0.50, Google Cloud — $1.50. Общий лимит Degusto, например $5 в день, может быть включён или вообще не задан. Система всё равно обязана контролировать каждый активный проект + направление отдельно.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BEB"/>
            <w:tcBorders>
              <w:top w:val="single" w:sz="12" w:color="B45309"/>
              <w:left w:val="single" w:sz="4" w:color="B45309"/>
              <w:bottom w:val="single" w:sz="4" w:color="D1D5DB"/>
              <w:right w:val="single" w:sz="4" w:color="D1D5DB"/>
            </w:tcBorders>
          </w:tcPr>
          <w:p>
            <w:pPr>
              <w:spacing w:before="60" w:after="30"/>
            </w:pPr>
            <w:r>
              <w:rPr>
                <w:rFonts w:ascii="Aptos" w:hAnsi="Aptos"/>
                <w:b/>
                <w:color w:val="B45309"/>
                <w:sz w:val="20"/>
              </w:rPr>
              <w:t xml:space="preserve">Приоритет — </w:t>
            </w:r>
            <w:r>
              <w:rPr>
                <w:rFonts w:ascii="Aptos" w:hAnsi="Aptos"/>
                <w:b w:val="0"/>
                <w:color w:val="111827"/>
                <w:sz w:val="20"/>
              </w:rPr>
              <w:t>Обязательным для рабочего процесса является лимит Project × Provider. Общий лимит проекта — дополнительный уровень, а не замена лимитов по направлениям.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Источники данных и стратегия синхронизации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CostOps работает по pull-модели: сам подключается к API провайдера, запрашивает свежие billing/usage данные, нормализует их и записывает в общую БД. После успешного sync запускается пересчёт бюджетов и alert rules.</w:t>
      </w:r>
    </w:p>
    <w:p>
      <w:pPr>
        <w:pStyle w:val="ListNumber"/>
        <w:spacing w:after="40"/>
      </w:pPr>
      <w:r>
        <w:rPr>
          <w:rFonts w:ascii="Aptos" w:hAnsi="Aptos"/>
          <w:b w:val="0"/>
          <w:color w:val="111827"/>
          <w:sz w:val="20"/>
        </w:rPr>
        <w:t>Scheduler запускает sync для конкретного провайдера по его расписанию.</w:t>
      </w:r>
    </w:p>
    <w:p>
      <w:pPr>
        <w:pStyle w:val="ListNumber"/>
        <w:spacing w:after="40"/>
      </w:pPr>
      <w:r>
        <w:rPr>
          <w:rFonts w:ascii="Aptos" w:hAnsi="Aptos"/>
          <w:b w:val="0"/>
          <w:color w:val="111827"/>
          <w:sz w:val="20"/>
        </w:rPr>
        <w:t>Provider adapter получает данные и возвращает нормализованные записи стоимости и метрик.</w:t>
      </w:r>
    </w:p>
    <w:p>
      <w:pPr>
        <w:pStyle w:val="ListNumber"/>
        <w:spacing w:after="40"/>
      </w:pPr>
      <w:r>
        <w:rPr>
          <w:rFonts w:ascii="Aptos" w:hAnsi="Aptos"/>
          <w:b w:val="0"/>
          <w:color w:val="111827"/>
          <w:sz w:val="20"/>
        </w:rPr>
        <w:t>Данные upsert-ятся в исторические таблицы без дублей.</w:t>
      </w:r>
    </w:p>
    <w:p>
      <w:pPr>
        <w:pStyle w:val="ListNumber"/>
        <w:spacing w:after="40"/>
      </w:pPr>
      <w:r>
        <w:rPr>
          <w:rFonts w:ascii="Aptos" w:hAnsi="Aptos"/>
          <w:b w:val="0"/>
          <w:color w:val="111827"/>
          <w:sz w:val="20"/>
        </w:rPr>
        <w:t>Alert Engine агрегирует текущий день по Project × Provider, Project Total и другим включённым scope.</w:t>
      </w:r>
    </w:p>
    <w:p>
      <w:pPr>
        <w:pStyle w:val="ListNumber"/>
        <w:spacing w:after="40"/>
      </w:pPr>
      <w:r>
        <w:rPr>
          <w:rFonts w:ascii="Aptos" w:hAnsi="Aptos"/>
          <w:b w:val="0"/>
          <w:color w:val="111827"/>
          <w:sz w:val="20"/>
        </w:rPr>
        <w:t>При превышении правила CostOps отправляет Telegram и записывает факт уведомления.</w:t>
      </w:r>
    </w:p>
    <w:p>
      <w:pPr>
        <w:pStyle w:val="Heading2"/>
        <w:keepNext/>
      </w:pPr>
      <w:r>
        <w:t>3.1. Частота опроса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Частота должна быть настраиваемой для каждого провайдера. Базовый ориентир — один раз в час для источников, которые реально обновляют текущий день. Если API обновляется реже или имеет строгие rate limits, адаптер использует более подходящий cadence. Не требуется искусственно опрашивать сервис 50 раз в день, если данные у провайдера меняются раз в несколько часов.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7030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syncInterval</w:t>
            </w:r>
          </w:p>
        </w:tc>
        <w:tc>
          <w:tcPr>
            <w:tcW w:type="dxa" w:w="7030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Конфигурируется на уровне ProviderAccount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intraday sync</w:t>
            </w:r>
          </w:p>
        </w:tc>
        <w:tc>
          <w:tcPr>
            <w:tcW w:type="dxa" w:w="7030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Поддерживается, если провайдер отдаёт частичные данные текущего дня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daily finalization</w:t>
            </w:r>
          </w:p>
        </w:tc>
        <w:tc>
          <w:tcPr>
            <w:tcW w:type="dxa" w:w="7030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После завершения дня выполняется финальный sync/reconciliation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backfill</w:t>
            </w:r>
          </w:p>
        </w:tc>
        <w:tc>
          <w:tcPr>
            <w:tcW w:type="dxa" w:w="7030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Можно повторно загрузить выбранный исторический диапазон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stale state</w:t>
            </w:r>
          </w:p>
        </w:tc>
        <w:tc>
          <w:tcPr>
            <w:tcW w:type="dxa" w:w="7030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UI явно показывает время последней успешной синхронизации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retry</w:t>
            </w:r>
          </w:p>
        </w:tc>
        <w:tc>
          <w:tcPr>
            <w:tcW w:type="dxa" w:w="7030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Ограниченные ретраи с backoff; ошибки пишутся в SyncRun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Поддерживаемые направления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Архитектура не должна быть жёстко привязана к списку провайдеров. Новый provider добавляется отдельным адаптером, без изменения общего Alert Engine, dashboard-логики и модели бюджетов.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247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Приоритет</w:t>
            </w:r>
          </w:p>
        </w:tc>
        <w:tc>
          <w:tcPr>
            <w:tcW w:type="dxa" w:w="2154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6123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Что собираем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P0</w:t>
            </w:r>
          </w:p>
        </w:tc>
        <w:tc>
          <w:tcPr>
            <w:tcW w:type="dxa" w:w="2154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Neon</w:t>
            </w:r>
          </w:p>
        </w:tc>
        <w:tc>
          <w:tcPr>
            <w:tcW w:type="dxa" w:w="6123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Usage + estimated cost + provider-specific metrics; перенос текущей логики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P0</w:t>
            </w:r>
          </w:p>
        </w:tc>
        <w:tc>
          <w:tcPr>
            <w:tcW w:type="dxa" w:w="2154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Vercel</w:t>
            </w:r>
          </w:p>
        </w:tc>
        <w:tc>
          <w:tcPr>
            <w:tcW w:type="dxa" w:w="6123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Cost/usage по проектам и сервисам Vercel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P0/P1</w:t>
            </w:r>
          </w:p>
        </w:tc>
        <w:tc>
          <w:tcPr>
            <w:tcW w:type="dxa" w:w="2154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Upstash</w:t>
            </w:r>
          </w:p>
        </w:tc>
        <w:tc>
          <w:tcPr>
            <w:tcW w:type="dxa" w:w="6123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Расходы Redis/других используемых ресурсов, если доступны через API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P1</w:t>
            </w:r>
          </w:p>
        </w:tc>
        <w:tc>
          <w:tcPr>
            <w:tcW w:type="dxa" w:w="2154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Google Cloud</w:t>
            </w:r>
          </w:p>
        </w:tc>
        <w:tc>
          <w:tcPr>
            <w:tcW w:type="dxa" w:w="6123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Billing/usage по связанным GCP проектам и сервисам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P1</w:t>
            </w:r>
          </w:p>
        </w:tc>
        <w:tc>
          <w:tcPr>
            <w:tcW w:type="dxa" w:w="2154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Hetzner</w:t>
            </w:r>
          </w:p>
        </w:tc>
        <w:tc>
          <w:tcPr>
            <w:tcW w:type="dxa" w:w="6123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Фактические или фиксированные recurring costs по серверам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P2</w:t>
            </w:r>
          </w:p>
        </w:tc>
        <w:tc>
          <w:tcPr>
            <w:tcW w:type="dxa" w:w="2154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Resend</w:t>
            </w:r>
          </w:p>
        </w:tc>
        <w:tc>
          <w:tcPr>
            <w:tcW w:type="dxa" w:w="6123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Добавить при появлении значимого usage/cost или потребности в аналитике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P2</w:t>
            </w:r>
          </w:p>
        </w:tc>
        <w:tc>
          <w:tcPr>
            <w:tcW w:type="dxa" w:w="2154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Cloudflare / R2 / другие</w:t>
            </w:r>
          </w:p>
        </w:tc>
        <w:tc>
          <w:tcPr>
            <w:tcW w:type="dxa" w:w="6123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Через отдельные adapters по мере появления затрат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4.1. Провайдеры без удобного billing API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Для будущих направлений система должна допускать три типа источника стоимости: API, фиксированная recurring стоимость и ручной импорт/ввод. Это позволяет включать в общую себестоимость проекта сервисы, которые не дают детальную дневную billing API-аналитику.</w:t>
      </w:r>
    </w:p>
    <w:p>
      <w:pPr>
        <w:pStyle w:val="Heading1"/>
        <w:keepNext/>
      </w:pPr>
      <w:r>
        <w:t>5. Архитектура приложения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Рекомендуется новый репозиторий `neetrino/costops`. Текущий `neetrino/neon` используется как функциональный и визуальный baseline, но новая БД и core должны быть provider-agnostic.</w:t>
      </w:r>
    </w:p>
    <w:p>
      <w:pPr>
        <w:jc w:val="center"/>
      </w:pPr>
      <w:r>
        <w:rPr>
          <w:rFonts w:ascii="Consolas" w:hAnsi="Consolas"/>
          <w:b w:val="0"/>
          <w:color w:val="111827"/>
          <w:sz w:val="18"/>
        </w:rPr>
        <w:t>Provider APIs / Fixed Costs / Manual Imports</w:t>
        <w:br/>
      </w:r>
      <w:r>
        <w:rPr>
          <w:rFonts w:ascii="Consolas" w:hAnsi="Consolas"/>
          <w:b w:val="0"/>
          <w:color w:val="111827"/>
          <w:sz w:val="18"/>
        </w:rPr>
        <w:t xml:space="preserve">            ↓</w:t>
        <w:br/>
      </w:r>
      <w:r>
        <w:rPr>
          <w:rFonts w:ascii="Consolas" w:hAnsi="Consolas"/>
          <w:b w:val="0"/>
          <w:color w:val="111827"/>
          <w:sz w:val="18"/>
        </w:rPr>
        <w:t xml:space="preserve">      Provider Adapters</w:t>
        <w:br/>
      </w:r>
      <w:r>
        <w:rPr>
          <w:rFonts w:ascii="Consolas" w:hAnsi="Consolas"/>
          <w:b w:val="0"/>
          <w:color w:val="111827"/>
          <w:sz w:val="18"/>
        </w:rPr>
        <w:t xml:space="preserve">            ↓</w:t>
        <w:br/>
      </w:r>
      <w:r>
        <w:rPr>
          <w:rFonts w:ascii="Consolas" w:hAnsi="Consolas"/>
          <w:b w:val="0"/>
          <w:color w:val="111827"/>
          <w:sz w:val="18"/>
        </w:rPr>
        <w:t xml:space="preserve">   Normalization Layer</w:t>
        <w:br/>
      </w:r>
      <w:r>
        <w:rPr>
          <w:rFonts w:ascii="Consolas" w:hAnsi="Consolas"/>
          <w:b w:val="0"/>
          <w:color w:val="111827"/>
          <w:sz w:val="18"/>
        </w:rPr>
        <w:t xml:space="preserve">            ↓</w:t>
        <w:br/>
      </w:r>
      <w:r>
        <w:rPr>
          <w:rFonts w:ascii="Consolas" w:hAnsi="Consolas"/>
          <w:b w:val="0"/>
          <w:color w:val="111827"/>
          <w:sz w:val="18"/>
        </w:rPr>
        <w:t>PostgreSQL historical store</w:t>
        <w:br/>
      </w:r>
      <w:r>
        <w:rPr>
          <w:rFonts w:ascii="Consolas" w:hAnsi="Consolas"/>
          <w:b w:val="0"/>
          <w:color w:val="111827"/>
          <w:sz w:val="18"/>
        </w:rPr>
        <w:t xml:space="preserve">      ↙            ↘</w:t>
        <w:br/>
      </w:r>
      <w:r>
        <w:rPr>
          <w:rFonts w:ascii="Consolas" w:hAnsi="Consolas"/>
          <w:b w:val="0"/>
          <w:color w:val="111827"/>
          <w:sz w:val="18"/>
        </w:rPr>
        <w:t>Dashboard        Alert Engine</w:t>
        <w:br/>
      </w:r>
      <w:r>
        <w:rPr>
          <w:rFonts w:ascii="Consolas" w:hAnsi="Consolas"/>
          <w:b w:val="0"/>
          <w:color w:val="111827"/>
          <w:sz w:val="18"/>
        </w:rPr>
        <w:t xml:space="preserve">                     ↓</w:t>
        <w:br/>
      </w:r>
      <w:r>
        <w:rPr>
          <w:rFonts w:ascii="Consolas" w:hAnsi="Consolas"/>
          <w:b w:val="0"/>
          <w:color w:val="111827"/>
          <w:sz w:val="18"/>
        </w:rPr>
        <w:t xml:space="preserve">                  Telegram</w:t>
        <w:br/>
      </w:r>
    </w:p>
    <w:p>
      <w:pPr>
        <w:pStyle w:val="Heading2"/>
        <w:keepNext/>
      </w:pPr>
      <w:r>
        <w:t>5.1. Структура модулей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Рекомендуемая логическая структура:</w:t>
      </w:r>
    </w:p>
    <w:p>
      <w:r>
        <w:rPr>
          <w:rFonts w:ascii="Consolas" w:hAnsi="Consolas"/>
          <w:b w:val="0"/>
          <w:color w:val="111827"/>
          <w:sz w:val="17"/>
        </w:rPr>
        <w:t>src/</w:t>
        <w:br/>
        <w:t xml:space="preserve">  app/</w:t>
        <w:br/>
        <w:t xml:space="preserve">  features/</w:t>
        <w:br/>
        <w:t xml:space="preserve">    dashboard/</w:t>
        <w:br/>
        <w:t xml:space="preserve">    projects/</w:t>
        <w:br/>
        <w:t xml:space="preserve">    providers/</w:t>
        <w:br/>
        <w:t xml:space="preserve">    budgets/</w:t>
        <w:br/>
        <w:t xml:space="preserve">    alerts/</w:t>
        <w:br/>
        <w:t xml:space="preserve">    integrations/</w:t>
        <w:br/>
        <w:t xml:space="preserve">  core/</w:t>
        <w:br/>
        <w:t xml:space="preserve">    cost/</w:t>
        <w:br/>
        <w:t xml:space="preserve">    metrics/</w:t>
        <w:br/>
        <w:t xml:space="preserve">    sync/</w:t>
        <w:br/>
        <w:t xml:space="preserve">    alerts/</w:t>
        <w:br/>
        <w:t xml:space="preserve">  providers/</w:t>
        <w:br/>
        <w:t xml:space="preserve">    neon/</w:t>
        <w:br/>
        <w:t xml:space="preserve">    vercel/</w:t>
        <w:br/>
        <w:t xml:space="preserve">    upstash/</w:t>
        <w:br/>
        <w:t xml:space="preserve">    gcp/</w:t>
        <w:br/>
        <w:t xml:space="preserve">  notifications/</w:t>
        <w:br/>
        <w:t xml:space="preserve">    telegram/</w:t>
        <w:br/>
        <w:t xml:space="preserve">  db/</w:t>
      </w:r>
    </w:p>
    <w:p>
      <w:pPr>
        <w:pStyle w:val="Heading1"/>
        <w:keepNext/>
      </w:pPr>
      <w:r>
        <w:t>6. Модель данных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Схема должна отделять бизнес-проект Neetrino от внешних ресурсов провайдеров. Один проект может иметь несколько направлений и несколько ресурсов одного направления.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7143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Project</w:t>
            </w:r>
          </w:p>
        </w:tc>
        <w:tc>
          <w:tcPr>
            <w:tcW w:type="dxa" w:w="7143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Degusto, Mobee, NBOS и т.д.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Provider</w:t>
            </w:r>
          </w:p>
        </w:tc>
        <w:tc>
          <w:tcPr>
            <w:tcW w:type="dxa" w:w="7143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NEON, VERCEL, UPSTASH, GCP и т.д.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ProviderAccount</w:t>
            </w:r>
          </w:p>
        </w:tc>
        <w:tc>
          <w:tcPr>
            <w:tcW w:type="dxa" w:w="7143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Учётная запись/организация провайдера и настройки sync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ProjectProvider</w:t>
            </w:r>
          </w:p>
        </w:tc>
        <w:tc>
          <w:tcPr>
            <w:tcW w:type="dxa" w:w="7143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Связь Project × Provider; основной объект агрегации и дневного лимита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Resource</w:t>
            </w:r>
          </w:p>
        </w:tc>
        <w:tc>
          <w:tcPr>
            <w:tcW w:type="dxa" w:w="7143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Конкретный внешний project/database/service с externalId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CostEntry</w:t>
            </w:r>
          </w:p>
        </w:tc>
        <w:tc>
          <w:tcPr>
            <w:tcW w:type="dxa" w:w="7143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Нормализованная стоимость за дату/интервал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MetricEntry</w:t>
            </w:r>
          </w:p>
        </w:tc>
        <w:tc>
          <w:tcPr>
            <w:tcW w:type="dxa" w:w="7143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Provider-specific usage metric: CU-hours, GB transfer, invocations и т.д.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BudgetRule</w:t>
            </w:r>
          </w:p>
        </w:tc>
        <w:tc>
          <w:tcPr>
            <w:tcW w:type="dxa" w:w="7143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Лимит, scope, период, escalation settings, enabled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AlertEvent</w:t>
            </w:r>
          </w:p>
        </w:tc>
        <w:tc>
          <w:tcPr>
            <w:tcW w:type="dxa" w:w="7143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История отправленных уведомлений и dedupe anchor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SyncRun</w:t>
            </w:r>
          </w:p>
        </w:tc>
        <w:tc>
          <w:tcPr>
            <w:tcW w:type="dxa" w:w="7143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История запусков, статус, ошибки, строки, время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6.1. Ключевой scope: ProjectProvider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Именно эта связь отвечает на вопрос: «Сколько сегодня Degusto потратил в Neon?» или «Сколько Mobee потратил в Vercel?». Если внутри одного направления несколько ресурсов, они суммируются для лимита Project × Provider, а в деталях могут отображаться раздельно.</w:t>
      </w:r>
    </w:p>
    <w:p>
      <w:pPr>
        <w:pStyle w:val="Heading2"/>
        <w:keepNext/>
      </w:pPr>
      <w:r>
        <w:t>6.2. Нормализованная стоимость и provider-specific метрики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Для общей аналитики каждому CostEntry нужны минимум: projectId, providerId, resourceId (optional), date/time bucket, costUsd, sourceType, sourceStatus. Детальные usage метрики хранятся отдельно, чтобы не потерять богатую аналитику текущего Neon dashboard.</w:t>
      </w:r>
    </w:p>
    <w:p>
      <w:pPr>
        <w:pStyle w:val="Heading1"/>
        <w:keepNext/>
      </w:pPr>
      <w:r>
        <w:t>7. Правила бюджетов и уведомлений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Alert Engine должен быть полностью внутренним. Ни в Vercel, ни в Neon не требуется настраивать spend webhook для работы основной логики. Провайдер только отдаёт данные; решение об alert принимает CostOps.</w:t>
      </w:r>
    </w:p>
    <w:p>
      <w:pPr>
        <w:pStyle w:val="Heading2"/>
        <w:keepNext/>
      </w:pPr>
      <w:r>
        <w:t>7.1. Основной daily budget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Для каждого активного ProjectProvider можно задать индивидуальный дневной лимит в USD. Значения не обязаны быть одинаковыми: например один проект может нормально тратить $0.50/день в Vercel, другой — $10/день.</w:t>
      </w:r>
    </w:p>
    <w:p>
      <w:pPr>
        <w:pStyle w:val="Heading2"/>
        <w:keepNext/>
      </w:pPr>
      <w:r>
        <w:t>7.2. Логика first breach + escalation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Сохраняется текущий механизм Neon dashboard: первое уведомление отправляется после превышения лимита. Повторное уведомление за тот же день отправляется только после дополнительного роста на заданный escalation step, рассчитываемый как процент от лимита.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118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7"/>
              </w:rPr>
              <w:t>Пример</w:t>
            </w:r>
          </w:p>
        </w:tc>
        <w:tc>
          <w:tcPr>
            <w:tcW w:type="dxa" w:w="6293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11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Лимит</w:t>
            </w:r>
          </w:p>
        </w:tc>
        <w:tc>
          <w:tcPr>
            <w:tcW w:type="dxa" w:w="6293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Degusto / Neon = $2.00 в день</w:t>
            </w:r>
          </w:p>
        </w:tc>
      </w:tr>
      <w:tr>
        <w:trPr>
          <w:cantSplit/>
        </w:trPr>
        <w:tc>
          <w:tcPr>
            <w:tcW w:type="dxa" w:w="3118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Escalation</w:t>
            </w:r>
          </w:p>
        </w:tc>
        <w:tc>
          <w:tcPr>
            <w:tcW w:type="dxa" w:w="6293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30% от лимита = $0.60</w:t>
            </w:r>
          </w:p>
        </w:tc>
      </w:tr>
      <w:tr>
        <w:trPr>
          <w:cantSplit/>
        </w:trPr>
        <w:tc>
          <w:tcPr>
            <w:tcW w:type="dxa" w:w="311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Первый alert</w:t>
            </w:r>
          </w:p>
        </w:tc>
        <w:tc>
          <w:tcPr>
            <w:tcW w:type="dxa" w:w="6293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$2.01</w:t>
            </w:r>
          </w:p>
        </w:tc>
      </w:tr>
      <w:tr>
        <w:trPr>
          <w:cantSplit/>
        </w:trPr>
        <w:tc>
          <w:tcPr>
            <w:tcW w:type="dxa" w:w="3118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Следующий alert</w:t>
            </w:r>
          </w:p>
        </w:tc>
        <w:tc>
          <w:tcPr>
            <w:tcW w:type="dxa" w:w="6293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после достижения примерно $2.61</w:t>
            </w:r>
          </w:p>
        </w:tc>
      </w:tr>
      <w:tr>
        <w:trPr>
          <w:cantSplit/>
        </w:trPr>
        <w:tc>
          <w:tcPr>
            <w:tcW w:type="dxa" w:w="311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Ещё один alert</w:t>
            </w:r>
          </w:p>
        </w:tc>
        <w:tc>
          <w:tcPr>
            <w:tcW w:type="dxa" w:w="6293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после следующего роста примерно на $0.60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7.3. Типы BudgetRule в v1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268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Нужен в v1</w:t>
            </w:r>
          </w:p>
        </w:tc>
        <w:tc>
          <w:tcPr>
            <w:tcW w:type="dxa" w:w="4876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Пример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PROJECT_PROVIDER</w:t>
            </w:r>
          </w:p>
        </w:tc>
        <w:tc>
          <w:tcPr>
            <w:tcW w:type="dxa" w:w="226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Да, основной</w:t>
            </w:r>
          </w:p>
        </w:tc>
        <w:tc>
          <w:tcPr>
            <w:tcW w:type="dxa" w:w="4876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Degusto / Vercel &gt; $1/day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PROJECT_TOTAL</w:t>
            </w:r>
          </w:p>
        </w:tc>
        <w:tc>
          <w:tcPr>
            <w:tcW w:type="dxa" w:w="2268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Да, optional rule</w:t>
            </w:r>
          </w:p>
        </w:tc>
        <w:tc>
          <w:tcPr>
            <w:tcW w:type="dxa" w:w="4876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Degusto total &gt; $5/day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PROVIDER_TOTAL</w:t>
            </w:r>
          </w:p>
        </w:tc>
        <w:tc>
          <w:tcPr>
            <w:tcW w:type="dxa" w:w="226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Да, optional rule</w:t>
            </w:r>
          </w:p>
        </w:tc>
        <w:tc>
          <w:tcPr>
            <w:tcW w:type="dxa" w:w="4876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All Vercel &gt; $30/day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GLOBAL_TOTAL</w:t>
            </w:r>
          </w:p>
        </w:tc>
        <w:tc>
          <w:tcPr>
            <w:tcW w:type="dxa" w:w="2268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Да, optional rule</w:t>
            </w:r>
          </w:p>
        </w:tc>
        <w:tc>
          <w:tcPr>
            <w:tcW w:type="dxa" w:w="4876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All infrastructure &gt; $80/day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RESOURCE</w:t>
            </w:r>
          </w:p>
        </w:tc>
        <w:tc>
          <w:tcPr>
            <w:tcW w:type="dxa" w:w="2268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Нет, reserved for future</w:t>
            </w:r>
          </w:p>
        </w:tc>
        <w:tc>
          <w:tcPr>
            <w:tcW w:type="dxa" w:w="4876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Отдельный Vercel resource / DB / service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7.4. Дедупликация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AlertEvent должен гарантировать отсутствие spam: один и тот же threshold breach не отправляется повторно при каждом sync. Для каждой даты и budget rule хранится lastNotifiedCostUsd. При смене дня anchor сбрасывается логически новым AlertEvent.</w:t>
      </w:r>
    </w:p>
    <w:p>
      <w:pPr>
        <w:pStyle w:val="Heading1"/>
        <w:keepNext/>
      </w:pPr>
      <w:r>
        <w:t>8. Dashboard и экраны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Визуально новый продукт должен использовать текущий Neon dashboard как baseline: те же сильные элементы — карточки, графики, фильтры по периоду, исторические диапазоны, поиск, Cards/List и быстрый доступ к лимитам. При этом добавляется слой Project и Provider.</w:t>
      </w:r>
    </w:p>
    <w:p>
      <w:pPr>
        <w:pStyle w:val="Heading2"/>
        <w:keepNext/>
      </w:pPr>
      <w:r>
        <w:t>8.1. Overview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Общая стоимость за сегодня / выбранный период.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Разбивка по проектам.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Разбивка по провайдерам.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График cost over time.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Проекты, которые ближе всего к своему дневному лимиту.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Последний sync и предупреждения о stale/error data.</w:t>
      </w:r>
    </w:p>
    <w:p>
      <w:pPr>
        <w:pStyle w:val="Heading2"/>
        <w:keepNext/>
      </w:pPr>
      <w:r>
        <w:t>8.2. Projects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Карточки всех бизнес-проектов.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На карточке: today cost, period cost, optional project daily budget, % использования лимита, breakdown по направлениям.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Фильтры Current month / Previous month / 1 / 7 / 30 / 60 days / custom range сохраняются.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Cards/List режим сохраняется.</w:t>
      </w:r>
    </w:p>
    <w:p>
      <w:pPr>
        <w:pStyle w:val="Heading2"/>
        <w:keepNext/>
      </w:pPr>
      <w:r>
        <w:t>8.3. Project detail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При проваливании в Degusto пользователь видит общий расход проекта и таблицу/карточки всех направлений: Neon, Vercel, Upstash, GCP и т.д. У каждого направления — стоимость за день/период, собственный лимит, % использования, last sync и provider-specific metrics.</w:t>
      </w:r>
    </w:p>
    <w:p>
      <w:pPr>
        <w:pStyle w:val="Heading2"/>
        <w:keepNext/>
      </w:pPr>
      <w:r>
        <w:t>8.4. Providers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Отдельная доска для каждого направления: Neon dashboard, Vercel dashboard, Upstash dashboard и т.д. На ней отображаются все проекты, использующие выбранный provider, сравнение затрат, график динамики и provider-wide optional budget.</w:t>
      </w:r>
    </w:p>
    <w:p>
      <w:pPr>
        <w:pStyle w:val="Heading2"/>
        <w:keepNext/>
      </w:pPr>
      <w:r>
        <w:t>8.5. History &amp; analytics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История хранится в собственной БД, а не зависит от retention внешнего API.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Сравнение периодов и предыдущих месяцев.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Daily/weekly/monthly grouping.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Cost + usage metrics; metric selector зависит от выбранного provider.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Возможность backfill/reconciliation исторических данных.</w:t>
      </w:r>
    </w:p>
    <w:p>
      <w:pPr>
        <w:pStyle w:val="Heading1"/>
        <w:keepNext/>
      </w:pPr>
      <w:r>
        <w:t>9. Что переносим из текущего neetrino/neon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Новый CostOps не должен регрессировать относительно существующего рабочего решения. Переносим не только визуальный стиль, но и уже проверенные эксплуатационные механики.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969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Компонент текущего проекта</w:t>
            </w:r>
          </w:p>
        </w:tc>
        <w:tc>
          <w:tcPr>
            <w:tcW w:type="dxa" w:w="5443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Решение</w:t>
            </w:r>
          </w:p>
        </w:tc>
      </w:tr>
      <w:tr>
        <w:trPr>
          <w:cantSplit/>
        </w:trPr>
        <w:tc>
          <w:tcPr>
            <w:tcW w:type="dxa" w:w="3969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Charts / project comparison / usage over time</w:t>
            </w:r>
          </w:p>
        </w:tc>
        <w:tc>
          <w:tcPr>
            <w:tcW w:type="dxa" w:w="5443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Переиспользовать UI-паттерны и компоненты, адаптировать к generic data model</w:t>
            </w:r>
          </w:p>
        </w:tc>
      </w:tr>
      <w:tr>
        <w:trPr>
          <w:cantSplit/>
        </w:trPr>
        <w:tc>
          <w:tcPr>
            <w:tcW w:type="dxa" w:w="3969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Quick period + custom range filters</w:t>
            </w:r>
          </w:p>
        </w:tc>
        <w:tc>
          <w:tcPr>
            <w:tcW w:type="dxa" w:w="5443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Сохранить</w:t>
            </w:r>
          </w:p>
        </w:tc>
      </w:tr>
      <w:tr>
        <w:trPr>
          <w:cantSplit/>
        </w:trPr>
        <w:tc>
          <w:tcPr>
            <w:tcW w:type="dxa" w:w="3969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Historical snapshots</w:t>
            </w:r>
          </w:p>
        </w:tc>
        <w:tc>
          <w:tcPr>
            <w:tcW w:type="dxa" w:w="5443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Сохранить и обобщить</w:t>
            </w:r>
          </w:p>
        </w:tc>
      </w:tr>
      <w:tr>
        <w:trPr>
          <w:cantSplit/>
        </w:trPr>
        <w:tc>
          <w:tcPr>
            <w:tcW w:type="dxa" w:w="3969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Intraday sync</w:t>
            </w:r>
          </w:p>
        </w:tc>
        <w:tc>
          <w:tcPr>
            <w:tcW w:type="dxa" w:w="5443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Сохранить как provider capability</w:t>
            </w:r>
          </w:p>
        </w:tc>
      </w:tr>
      <w:tr>
        <w:trPr>
          <w:cantSplit/>
        </w:trPr>
        <w:tc>
          <w:tcPr>
            <w:tcW w:type="dxa" w:w="3969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Daily sync + reconciliation/backfill</w:t>
            </w:r>
          </w:p>
        </w:tc>
        <w:tc>
          <w:tcPr>
            <w:tcW w:type="dxa" w:w="5443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Сохранить</w:t>
            </w:r>
          </w:p>
        </w:tc>
      </w:tr>
      <w:tr>
        <w:trPr>
          <w:cantSplit/>
        </w:trPr>
        <w:tc>
          <w:tcPr>
            <w:tcW w:type="dxa" w:w="3969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Project-specific Telegram threshold</w:t>
            </w:r>
          </w:p>
        </w:tc>
        <w:tc>
          <w:tcPr>
            <w:tcW w:type="dxa" w:w="5443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Перенести в BudgetRule scope PROJECT_PROVIDER</w:t>
            </w:r>
          </w:p>
        </w:tc>
      </w:tr>
      <w:tr>
        <w:trPr>
          <w:cantSplit/>
        </w:trPr>
        <w:tc>
          <w:tcPr>
            <w:tcW w:type="dxa" w:w="3969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Escalation % + last notified anchor</w:t>
            </w:r>
          </w:p>
        </w:tc>
        <w:tc>
          <w:tcPr>
            <w:tcW w:type="dxa" w:w="5443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Сохранить логику</w:t>
            </w:r>
          </w:p>
        </w:tc>
      </w:tr>
      <w:tr>
        <w:trPr>
          <w:cantSplit/>
        </w:trPr>
        <w:tc>
          <w:tcPr>
            <w:tcW w:type="dxa" w:w="3969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Telegram Bot API integration</w:t>
            </w:r>
          </w:p>
        </w:tc>
        <w:tc>
          <w:tcPr>
            <w:tcW w:type="dxa" w:w="5443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Сохранить; отдельный notification gateway не нужен</w:t>
            </w:r>
          </w:p>
        </w:tc>
      </w:tr>
      <w:tr>
        <w:trPr>
          <w:cantSplit/>
        </w:trPr>
        <w:tc>
          <w:tcPr>
            <w:tcW w:type="dxa" w:w="3969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SyncRun / logging / retries</w:t>
            </w:r>
          </w:p>
        </w:tc>
        <w:tc>
          <w:tcPr>
            <w:tcW w:type="dxa" w:w="5443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Сохранить и сделать provider-aware</w:t>
            </w:r>
          </w:p>
        </w:tc>
      </w:tr>
      <w:tr>
        <w:trPr>
          <w:cantSplit/>
        </w:trPr>
        <w:tc>
          <w:tcPr>
            <w:tcW w:type="dxa" w:w="3969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Auth / protected dashboard</w:t>
            </w:r>
          </w:p>
        </w:tc>
        <w:tc>
          <w:tcPr>
            <w:tcW w:type="dxa" w:w="5443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Сохранить и усилить при необходимости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0FDFA"/>
            <w:tcBorders>
              <w:top w:val="single" w:sz="12" w:color="0F766E"/>
              <w:left w:val="single" w:sz="4" w:color="0F766E"/>
              <w:bottom w:val="single" w:sz="4" w:color="D1D5DB"/>
              <w:right w:val="single" w:sz="4" w:color="D1D5DB"/>
            </w:tcBorders>
          </w:tcPr>
          <w:p>
            <w:pPr>
              <w:spacing w:before="60" w:after="30"/>
            </w:pPr>
            <w:r>
              <w:rPr>
                <w:rFonts w:ascii="Aptos" w:hAnsi="Aptos"/>
                <w:b/>
                <w:color w:val="0F766E"/>
                <w:sz w:val="20"/>
              </w:rPr>
              <w:t xml:space="preserve">Acceptance baseline — </w:t>
            </w:r>
            <w:r>
              <w:rPr>
                <w:rFonts w:ascii="Aptos" w:hAnsi="Aptos"/>
                <w:b w:val="0"/>
                <w:color w:val="111827"/>
                <w:sz w:val="20"/>
              </w:rPr>
              <w:t>Фильтр Provider = Neon в новом CostOps должен воспроизводить всю полезную аналитику, историю и alert-функциональность текущего Neon dashboard до отключения старого приложения.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API адаптера провайдера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Каждый provider реализует единый контракт. Core не должен знать особенности API Neon, Vercel или Upstash.</w:t>
      </w:r>
    </w:p>
    <w:p>
      <w:r>
        <w:rPr>
          <w:rFonts w:ascii="Consolas" w:hAnsi="Consolas"/>
          <w:b w:val="0"/>
          <w:color w:val="111827"/>
          <w:sz w:val="17"/>
        </w:rPr>
        <w:t>interface CostProviderAdapter {</w:t>
        <w:br/>
        <w:t xml:space="preserve">  syncResources(ctx): Promise&lt;ResourceSyncResult&gt;;</w:t>
        <w:br/>
        <w:t xml:space="preserve">  fetchCosts(ctx, range): Promise&lt;NormalizedCost[]&gt;;</w:t>
        <w:br/>
        <w:t xml:space="preserve">  fetchMetrics?(ctx, range): Promise&lt;NormalizedMetric[]&gt;;</w:t>
        <w:br/>
        <w:t xml:space="preserve">  supportsIntraday: boolean;</w:t>
        <w:br/>
        <w:t xml:space="preserve">  supportsBackfill: boolean;</w:t>
        <w:br/>
        <w:t>}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Adapter отвечает за аутентификацию, pagination, provider-specific rate limits, mapping external IDs, conversion units и нормализацию. Core отвечает за хранение, агрегирование, бюджеты, уведомления и UI.</w:t>
      </w:r>
    </w:p>
    <w:p>
      <w:pPr>
        <w:pStyle w:val="Heading1"/>
        <w:keepNext/>
      </w:pPr>
      <w:r>
        <w:t>11. Надёжность и качество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551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6860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Idempotency</w:t>
            </w:r>
          </w:p>
        </w:tc>
        <w:tc>
          <w:tcPr>
            <w:tcW w:type="dxa" w:w="6860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Unique key по provider/resource/time bucket + upsert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Reconciliation</w:t>
            </w:r>
          </w:p>
        </w:tc>
        <w:tc>
          <w:tcPr>
            <w:tcW w:type="dxa" w:w="6860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Повторная синхронизация последних N дней для исправления поздних billing corrections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Staleness</w:t>
            </w:r>
          </w:p>
        </w:tc>
        <w:tc>
          <w:tcPr>
            <w:tcW w:type="dxa" w:w="6860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Каждая агрегированная стоимость содержит lastSyncedAt/dataFreshness state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Partial current day</w:t>
            </w:r>
          </w:p>
        </w:tc>
        <w:tc>
          <w:tcPr>
            <w:tcW w:type="dxa" w:w="6860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Помечать как partial, пока день не finalized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Estimated vs actual</w:t>
            </w:r>
          </w:p>
        </w:tc>
        <w:tc>
          <w:tcPr>
            <w:tcW w:type="dxa" w:w="6860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Хранить sourceStatus/accuracy; UI явно показывает estimated/actual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Missing data</w:t>
            </w:r>
          </w:p>
        </w:tc>
        <w:tc>
          <w:tcPr>
            <w:tcW w:type="dxa" w:w="6860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Не трактовать отсутствие свежих данных как $0 без явного статуса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Provider error</w:t>
            </w:r>
          </w:p>
        </w:tc>
        <w:tc>
          <w:tcPr>
            <w:tcW w:type="dxa" w:w="6860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Не отправлять ложный «всё нормально»; отображать sync error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11.1. Часовой пояс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Каноническое хранение времени — UTC. Daily budget рассчитывается по единой configured budget timezone; для первого релиза рекомендуется UTC, чтобы совпадать с текущей Neon-логикой и не создавать расхождения на границе дня. UI может отображать даты в пользовательской локали.</w:t>
      </w:r>
    </w:p>
    <w:p>
      <w:pPr>
        <w:pStyle w:val="Heading1"/>
        <w:keepNext/>
      </w:pPr>
      <w:r>
        <w:t>12. Безопасность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Provider API keys, bot token, database credentials — только server-side secrets.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Никакие provider credentials не попадают в client bundle или API responses.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Dashboard закрыт авторизацией; v1 может остаться single-organization internal tool.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Sync endpoints защищены cron secret / internal auth.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Логи не содержат токены и полные credential payloads.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При хранении provider credentials в БД — только в зашифрованном виде; на первом этапе допустим env/secret manager.</w:t>
      </w:r>
    </w:p>
    <w:p>
      <w:pPr>
        <w:pStyle w:val="Heading1"/>
        <w:keepNext/>
      </w:pPr>
      <w:r>
        <w:t>13. Технологический стек</w:t>
      </w: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Для минимального риска и максимального reuse рекомендуется сохранить стек текущего проекта: Next.js + TypeScript + Prisma + PostgreSQL + Recharts/Tailwind. Нет необходимости добавлять Grafana, OpenCost, Apprise или отдельный notification stack в MVP.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494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6917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7"/>
              </w:rPr>
              <w:t>Рекомендация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Web + API</w:t>
            </w:r>
          </w:p>
        </w:tc>
        <w:tc>
          <w:tcPr>
            <w:tcW w:type="dxa" w:w="6917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Next.js App Router, TypeScript strict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Database</w:t>
            </w:r>
          </w:p>
        </w:tc>
        <w:tc>
          <w:tcPr>
            <w:tcW w:type="dxa" w:w="6917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PostgreSQL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ORM</w:t>
            </w:r>
          </w:p>
        </w:tc>
        <w:tc>
          <w:tcPr>
            <w:tcW w:type="dxa" w:w="6917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Prisma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UI</w:t>
            </w:r>
          </w:p>
        </w:tc>
        <w:tc>
          <w:tcPr>
            <w:tcW w:type="dxa" w:w="6917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Tailwind CSS + текущие dashboard patterns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Charts</w:t>
            </w:r>
          </w:p>
        </w:tc>
        <w:tc>
          <w:tcPr>
            <w:tcW w:type="dxa" w:w="6917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Recharts или текущая библиотека без замены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Scheduler</w:t>
            </w:r>
          </w:p>
        </w:tc>
        <w:tc>
          <w:tcPr>
            <w:tcW w:type="dxa" w:w="6917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Vercel Cron на старте или отдельный scheduler при росте нагрузки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Notifications</w:t>
            </w:r>
          </w:p>
        </w:tc>
        <w:tc>
          <w:tcPr>
            <w:tcW w:type="dxa" w:w="6917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Telegram Bot API напрямую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Logging</w:t>
            </w:r>
          </w:p>
        </w:tc>
        <w:tc>
          <w:tcPr>
            <w:tcW w:type="dxa" w:w="6917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7"/>
              </w:rPr>
              <w:t>Pino/structured logs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Миграция с neetrino/neon</w:t>
      </w:r>
    </w:p>
    <w:p>
      <w:pPr>
        <w:spacing w:after="40"/>
      </w:pPr>
      <w:r>
        <w:rPr>
          <w:rFonts w:ascii="Aptos" w:hAnsi="Aptos"/>
          <w:b/>
          <w:color w:val="111827"/>
          <w:sz w:val="20"/>
        </w:rPr>
        <w:t xml:space="preserve">1.  </w:t>
      </w:r>
      <w:r>
        <w:rPr>
          <w:rFonts w:ascii="Aptos" w:hAnsi="Aptos"/>
          <w:b w:val="0"/>
          <w:color w:val="111827"/>
          <w:sz w:val="20"/>
        </w:rPr>
        <w:t>Создать новый репозиторий `neetrino/costops`; старый Neon dashboard не менять до cutover.</w:t>
      </w:r>
    </w:p>
    <w:p>
      <w:pPr>
        <w:spacing w:after="40"/>
      </w:pPr>
      <w:r>
        <w:rPr>
          <w:rFonts w:ascii="Aptos" w:hAnsi="Aptos"/>
          <w:b/>
          <w:color w:val="111827"/>
          <w:sz w:val="20"/>
        </w:rPr>
        <w:t xml:space="preserve">2.  </w:t>
      </w:r>
      <w:r>
        <w:rPr>
          <w:rFonts w:ascii="Aptos" w:hAnsi="Aptos"/>
          <w:b w:val="0"/>
          <w:color w:val="111827"/>
          <w:sz w:val="20"/>
        </w:rPr>
        <w:t>Перенести shared UI, filters, charts, auth, Telegram, sync/retry patterns и alert escalation logic.</w:t>
      </w:r>
    </w:p>
    <w:p>
      <w:pPr>
        <w:spacing w:after="40"/>
      </w:pPr>
      <w:r>
        <w:rPr>
          <w:rFonts w:ascii="Aptos" w:hAnsi="Aptos"/>
          <w:b/>
          <w:color w:val="111827"/>
          <w:sz w:val="20"/>
        </w:rPr>
        <w:t xml:space="preserve">3.  </w:t>
      </w:r>
      <w:r>
        <w:rPr>
          <w:rFonts w:ascii="Aptos" w:hAnsi="Aptos"/>
          <w:b w:val="0"/>
          <w:color w:val="111827"/>
          <w:sz w:val="20"/>
        </w:rPr>
        <w:t>Создать provider-agnostic Prisma schema.</w:t>
      </w:r>
    </w:p>
    <w:p>
      <w:pPr>
        <w:spacing w:after="40"/>
      </w:pPr>
      <w:r>
        <w:rPr>
          <w:rFonts w:ascii="Aptos" w:hAnsi="Aptos"/>
          <w:b/>
          <w:color w:val="111827"/>
          <w:sz w:val="20"/>
        </w:rPr>
        <w:t xml:space="preserve">4.  </w:t>
      </w:r>
      <w:r>
        <w:rPr>
          <w:rFonts w:ascii="Aptos" w:hAnsi="Aptos"/>
          <w:b w:val="0"/>
          <w:color w:val="111827"/>
          <w:sz w:val="20"/>
        </w:rPr>
        <w:t>Реализовать Neon adapter первым.</w:t>
      </w:r>
    </w:p>
    <w:p>
      <w:pPr>
        <w:spacing w:after="40"/>
      </w:pPr>
      <w:r>
        <w:rPr>
          <w:rFonts w:ascii="Aptos" w:hAnsi="Aptos"/>
          <w:b/>
          <w:color w:val="111827"/>
          <w:sz w:val="20"/>
        </w:rPr>
        <w:t xml:space="preserve">5.  </w:t>
      </w:r>
      <w:r>
        <w:rPr>
          <w:rFonts w:ascii="Aptos" w:hAnsi="Aptos"/>
          <w:b w:val="0"/>
          <w:color w:val="111827"/>
          <w:sz w:val="20"/>
        </w:rPr>
        <w:t>Сделать migration/backfill script: NeonProject + UsageSnapshot + SpendAlert settings → новые Project/ProjectProvider/Cost/Metric/BudgetRule модели.</w:t>
      </w:r>
    </w:p>
    <w:p>
      <w:pPr>
        <w:spacing w:after="40"/>
      </w:pPr>
      <w:r>
        <w:rPr>
          <w:rFonts w:ascii="Aptos" w:hAnsi="Aptos"/>
          <w:b/>
          <w:color w:val="111827"/>
          <w:sz w:val="20"/>
        </w:rPr>
        <w:t xml:space="preserve">6.  </w:t>
      </w:r>
      <w:r>
        <w:rPr>
          <w:rFonts w:ascii="Aptos" w:hAnsi="Aptos"/>
          <w:b w:val="0"/>
          <w:color w:val="111827"/>
          <w:sz w:val="20"/>
        </w:rPr>
        <w:t>Запустить старый и новый dashboard параллельно и сравнивать Neon totals минимум 7 дней.</w:t>
      </w:r>
    </w:p>
    <w:p>
      <w:pPr>
        <w:spacing w:after="40"/>
      </w:pPr>
      <w:r>
        <w:rPr>
          <w:rFonts w:ascii="Aptos" w:hAnsi="Aptos"/>
          <w:b/>
          <w:color w:val="111827"/>
          <w:sz w:val="20"/>
        </w:rPr>
        <w:t xml:space="preserve">7.  </w:t>
      </w:r>
      <w:r>
        <w:rPr>
          <w:rFonts w:ascii="Aptos" w:hAnsi="Aptos"/>
          <w:b w:val="0"/>
          <w:color w:val="111827"/>
          <w:sz w:val="20"/>
        </w:rPr>
        <w:t>После совпадения данных и alert behavior переключить основной доступ на CostOps и архивировать старое приложение.</w:t>
      </w:r>
    </w:p>
    <w:p>
      <w:pPr>
        <w:spacing w:after="40"/>
      </w:pPr>
      <w:r>
        <w:rPr>
          <w:rFonts w:ascii="Aptos" w:hAnsi="Aptos"/>
          <w:b/>
          <w:color w:val="111827"/>
          <w:sz w:val="20"/>
        </w:rPr>
        <w:t xml:space="preserve">8.  </w:t>
      </w:r>
      <w:r>
        <w:rPr>
          <w:rFonts w:ascii="Aptos" w:hAnsi="Aptos"/>
          <w:b w:val="0"/>
          <w:color w:val="111827"/>
          <w:sz w:val="20"/>
        </w:rPr>
        <w:t>Добавить Vercel adapter вторым, затем Upstash/GCP по приоритету.</w:t>
      </w:r>
    </w:p>
    <w:p>
      <w:pPr>
        <w:pStyle w:val="Heading1"/>
        <w:keepNext/>
      </w:pPr>
      <w:r>
        <w:t>15. Этапы разработки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969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Содержание</w:t>
            </w:r>
          </w:p>
        </w:tc>
        <w:tc>
          <w:tcPr>
            <w:tcW w:type="dxa" w:w="3742"/>
            <w:shd w:fill="0F766E"/>
            <w:vAlign w:val="center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0. Architecture</w:t>
            </w:r>
          </w:p>
        </w:tc>
        <w:tc>
          <w:tcPr>
            <w:tcW w:type="dxa" w:w="3969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Schema, provider interface, budget scopes, migration mapping</w:t>
            </w:r>
          </w:p>
        </w:tc>
        <w:tc>
          <w:tcPr>
            <w:tcW w:type="dxa" w:w="3742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Утверждённый технический фундамент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1. Core + Neon</w:t>
            </w:r>
          </w:p>
        </w:tc>
        <w:tc>
          <w:tcPr>
            <w:tcW w:type="dxa" w:w="3969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Generic core + перенос всего Neon functionality</w:t>
            </w:r>
          </w:p>
        </w:tc>
        <w:tc>
          <w:tcPr>
            <w:tcW w:type="dxa" w:w="3742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CostOps заменяет текущий Neon dashboard без потерь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2. Vercel</w:t>
            </w:r>
          </w:p>
        </w:tc>
        <w:tc>
          <w:tcPr>
            <w:tcW w:type="dxa" w:w="3969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Vercel adapter + project mapping + Vercel board</w:t>
            </w:r>
          </w:p>
        </w:tc>
        <w:tc>
          <w:tcPr>
            <w:tcW w:type="dxa" w:w="3742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Дневная стоимость Vercel по каждому проекту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3. Cross-provider project view</w:t>
            </w:r>
          </w:p>
        </w:tc>
        <w:tc>
          <w:tcPr>
            <w:tcW w:type="dxa" w:w="3969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Project totals + breakdown + project total budget</w:t>
            </w:r>
          </w:p>
        </w:tc>
        <w:tc>
          <w:tcPr>
            <w:tcW w:type="dxa" w:w="3742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Полная стоимость Degusto/Mobee/NBOS и др.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4. Upstash / GCP</w:t>
            </w:r>
          </w:p>
        </w:tc>
        <w:tc>
          <w:tcPr>
            <w:tcW w:type="dxa" w:w="3969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Следующие adapters</w:t>
            </w:r>
          </w:p>
        </w:tc>
        <w:tc>
          <w:tcPr>
            <w:tcW w:type="dxa" w:w="3742"/>
            <w:vAlign w:val="top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Расширение реального покрытия инфраструктуры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5. Advanced FinOps</w:t>
            </w:r>
          </w:p>
        </w:tc>
        <w:tc>
          <w:tcPr>
            <w:tcW w:type="dxa" w:w="3969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Anomaly detection, forecast, monthly budget, reports</w:t>
            </w:r>
          </w:p>
        </w:tc>
        <w:tc>
          <w:tcPr>
            <w:tcW w:type="dxa" w:w="3742"/>
            <w:vAlign w:val="top"/>
            <w:shd w:fill="F8FAFC"/>
          </w:tcPr>
          <w:p>
            <w:pPr>
              <w:spacing w:after="30"/>
            </w:pPr>
            <w:r>
              <w:rPr>
                <w:rFonts w:ascii="Aptos" w:hAnsi="Aptos"/>
                <w:b w:val="0"/>
                <w:color w:val="111827"/>
                <w:sz w:val="16"/>
              </w:rPr>
              <w:t>Дополнительная оптимизация затрат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Критерии приёмки v1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Каждый проект может иметь несколько направлений; каждое направление привязано к одному или нескольким внешним ресурсам.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Для каждого Project × Provider можно независимо задать дневной USD-лимит и escalation %.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После синхронизации текущего дня Alert Engine автоматически проверяет правила и отправляет Telegram без provider-side webhooks.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Повторные sync за тот же день не создают дубликаты cost/metric records и не спамят одинаковыми alerts.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Project detail показывает общий расход проекта и breakdown по всем подключённым направлениям.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Provider board показывает все проекты данного направления, их расход и историю.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Overview показывает глобальные агрегаты и стоимость по проектам/провайдерам.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Сохраняются Current month / Previous month / 1 / 7 / 30 / 60 days / custom range и историческая аналитика.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Neon-режим нового приложения функционально не хуже текущего neetrino/neon.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Ошибки/задержки provider API видимы; stale/missing data не маскируются как нулевая стоимость.</w:t>
      </w:r>
    </w:p>
    <w:p>
      <w:pPr>
        <w:pStyle w:val="Heading1"/>
        <w:keepNext/>
      </w:pPr>
      <w:r>
        <w:t>17. Что сознательно не делаем в первом релизе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Не строим систему на provider webhooks; основной механизм — polling.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Не вводим обязательный общий бюджет компании.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Не требуем одинаковых лимитов для всех проектов.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Не ставим тяжёлый OpenCost/Grafana/Apprise stack только ради этой задачи.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Не пытаемся унифицировать все usage-метрики в одно поле: provider-specific metrics сохраняются отдельно.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11827"/>
          <w:sz w:val="20"/>
        </w:rPr>
        <w:t>Не удаляем старый Neon dashboard до успешного parity test и миграции истории.</w:t>
      </w:r>
    </w:p>
    <w:p>
      <w:pPr>
        <w:pStyle w:val="Heading1"/>
        <w:keepNext/>
      </w:pPr>
      <w:r>
        <w:t>18. Финальная формулировка продукта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0FDFA"/>
            <w:tcBorders>
              <w:top w:val="single" w:sz="12" w:color="0F766E"/>
              <w:left w:val="single" w:sz="4" w:color="0F766E"/>
              <w:bottom w:val="single" w:sz="4" w:color="D1D5DB"/>
              <w:right w:val="single" w:sz="4" w:color="D1D5DB"/>
            </w:tcBorders>
          </w:tcPr>
          <w:p>
            <w:pPr>
              <w:spacing w:before="60" w:after="30"/>
            </w:pPr>
            <w:r>
              <w:rPr>
                <w:rFonts w:ascii="Aptos" w:hAnsi="Aptos"/>
                <w:b/>
                <w:color w:val="0F766E"/>
                <w:sz w:val="20"/>
              </w:rPr>
              <w:t xml:space="preserve">Neetrino CostOps — </w:t>
            </w:r>
            <w:r>
              <w:rPr>
                <w:rFonts w:ascii="Aptos" w:hAnsi="Aptos"/>
                <w:b w:val="0"/>
                <w:color w:val="111827"/>
                <w:sz w:val="20"/>
              </w:rPr>
              <w:t>Внутренняя multi-provider FinOps-платформа, которая регулярно собирает расходы из инфраструктурных сервисов, объединяет их по бизнес-проектам Neetrino, хранит историю, показывает аналитику по проектам и направлениям и самостоятельно уведомляет в Telegram при превышении индивидуальных дневных лимитов.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Aptos" w:hAnsi="Aptos"/>
          <w:b w:val="0"/>
          <w:color w:val="111827"/>
          <w:sz w:val="20"/>
        </w:rPr>
        <w:t>Рабочее название `CostOps` удачно отражает задачу: это не просто billing dashboard, а операционный контроль расходов. Название можно заменить позже без влияния на архитектуру.</w:t>
      </w:r>
    </w:p>
    <w:p>
      <w:pPr>
        <w:spacing w:before="240"/>
        <w:jc w:val="center"/>
      </w:pPr>
      <w:r>
        <w:rPr>
          <w:rFonts w:ascii="Aptos" w:hAnsi="Aptos"/>
          <w:b/>
          <w:color w:val="6B7280"/>
          <w:sz w:val="16"/>
        </w:rPr>
        <w:t>END OF SPECIFICATION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6"/>
      </w:rPr>
      <w:t>Internal technical specification  •  Version 1.0  •  05.09.2026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B7280"/>
        <w:sz w:val="16"/>
      </w:rPr>
      <w:t>NEETRINO  /  COSTOPS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283" w:right="283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