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Cross-Cultural Neuroacoustic Computational Model (CNCM)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19 Devotional Traditions  |  106 Tracks  |  India 1.477 Billion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2"/>
          <w:szCs w:val="22"/>
        </w:rPr>
        <w:t xml:space="preserve">Key Highlights and Author Declarations</w:t>
      </w:r>
    </w:p>
    <w:p>
      <w:pPr>
        <w:pBdr>
          <w:bottom w:val="single" w:color="1F3864" w:sz="6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Key Highlights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Five bullet points are required by most journals (maximum 85 characters each). All highlights below are derived directly from verified pipeline outputs.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1. Dataset and Acoustic Universality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106 devotional tracks across 19 traditions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(35 Indian + 10 core international + 61 extended) spanning monotone, melodic, rhythmic, and call-response forms, merged into a 106 × 97 master DataFrame.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Spectral centroid is the dominant cross-cultural acoustic predictor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of neuroacoustic score (r = −0.685, p &lt; 0.001, R² = 0.47), consistent across all 19 traditions — Indian (r = −0.661), international (r = −0.714).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EEG profiles converge across cultures by acoustic structure, not theological origin: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cosine similarity Stotram vs Islamic = 0.991; Stotram vs Tamil Stotram = 0.996; supporting the convergent-acoustics hypothesis.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2. Repetition as a Neuroacoustic Dose Variable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Repetition dose follows a logarithmic curve with plateau beyond ~108 repetitions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(consistent with SSVEP saturation), reversing the single-listen score advantage of the international subset: Indian temple-dose 50.9 ± 15.8 vs international 42.9 ± 7.9 (+8.0 pts gain).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Indian traditions span the widest dose range (1× to 1,25,000×),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covering single-listen, therapeutic (108×), and extreme purashcharana regimes — uniquely encoding both acoustic structure and extreme repetition within their ritual design.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3. Physiological Moderators of Acoustic Transmission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Tympanic membrane perforation reduces vibration-capacity index by 53%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(0.804 → 0.377; t = 3.63, p = 0.0006), constituting a physiologically plausible moderator — patients with undiagnosed otitis media may receive substantially less than the intended acoustic dose in RCT settings.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Shakta Tantric hawan practices produce a distinctive simultaneous theta–beta profile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("focused yet alert") via olfactory (guggul, camphor, sandalwood) and TRPV1/TRPA1 trigeminal co-activation (capsaicin, AITC) — a signature not observed in any purely auditory tradition.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4. First Systematic Cardiac Safety Protocol for Neuroacoustic Prescription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63/106 tracks flagged AVOID for Congenital Heart Disease + Post-op PTSD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(tempo &gt; 100 BPM); 70/106 AVOID for Long QT Syndrome (tempo &gt; 90 BPM) — the first systematic track-level cardiac contraindication framework derived from acoustic features.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LQTS type 2 (auditory-triggered): mandatory fade-in, BPM &lt; 75, continue beta-blockers.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Six conditions modelled: CHD+PTSD, LQTS, HCM, Heart Failure, Atrial Fibrillation, Post-Cardiac Surgery. All prescriptions adjunctive to standard cardiac medication.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5. Pancha Indriya Multimodal Integration and India Burden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Pancha Indriya (five-sense) composite scores ranged 40.84–86.00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(shrotra 10.04–40.00, std = 6.82; tvak max = 10.00; jihva max = 5.00), with multimodal gain of 15–46 points over audio-only — demonstrating that Indian ritual design systematically encodes all five sensory pathways to amplify neuroacoustic efficacy.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India 1.477 billion | ~266 million affected (18%):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zero-cost, culturally embedded, adjunctive subtype-specific prescriptions mapped to six stress-depression subtypes (burnout 210 M, depression 67.3 M, anxiety 57.4 M, PTSD 34.8 M, geriatric 20.7 M, postpartum 5.5 M) and six cardiac conditions.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0D6E6E" w:sz="6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Journal-Format Highlights (≤85 characters each)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The following five bullet points are formatted for journal submission (e.g., Elsevier "Highlights" field). Each is ≤ 85 characters.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Spectral centroid predicts neuroacoustic score across 19 traditions (r = −0.685)</w:t>
      </w:r>
      <w:r>
        <w:rPr>
          <w:rFonts w:ascii="Times New Roman" w:cs="Times New Roman" w:eastAsia="Times New Roman" w:hAnsi="Times New Roman"/>
          <w:i/>
          <w:iCs/>
          <w:color w:val="2E7D32"/>
          <w:sz w:val="20"/>
          <w:szCs w:val="20"/>
        </w:rPr>
        <w:t xml:space="preserve">  [80 chars ✓]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Repetition dose follows a logarithmic curve; plateau beyond ~108 repetitions</w:t>
      </w:r>
      <w:r>
        <w:rPr>
          <w:rFonts w:ascii="Times New Roman" w:cs="Times New Roman" w:eastAsia="Times New Roman" w:hAnsi="Times New Roman"/>
          <w:i/>
          <w:iCs/>
          <w:color w:val="2E7D32"/>
          <w:sz w:val="20"/>
          <w:szCs w:val="20"/>
        </w:rPr>
        <w:t xml:space="preserve">  [76 chars ✓]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TM perforation reduces vibration-capacity index by 53% (t = 3.63, p = 0.0006)</w:t>
      </w:r>
      <w:r>
        <w:rPr>
          <w:rFonts w:ascii="Times New Roman" w:cs="Times New Roman" w:eastAsia="Times New Roman" w:hAnsi="Times New Roman"/>
          <w:i/>
          <w:iCs/>
          <w:color w:val="2E7D32"/>
          <w:sz w:val="20"/>
          <w:szCs w:val="20"/>
        </w:rPr>
        <w:t xml:space="preserve">  [77 chars ✓]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First cardiac safety protocol: 70/106 tracks contraindicated for LQTS patients</w:t>
      </w:r>
      <w:r>
        <w:rPr>
          <w:rFonts w:ascii="Times New Roman" w:cs="Times New Roman" w:eastAsia="Times New Roman" w:hAnsi="Times New Roman"/>
          <w:i/>
          <w:iCs/>
          <w:color w:val="2E7D32"/>
          <w:sz w:val="20"/>
          <w:szCs w:val="20"/>
        </w:rPr>
        <w:t xml:space="preserve">  [78 chars ✓]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Pancha Indriya multimodal gain 15–46 pts; India 266 million translational target</w:t>
      </w:r>
      <w:r>
        <w:rPr>
          <w:rFonts w:ascii="Times New Roman" w:cs="Times New Roman" w:eastAsia="Times New Roman" w:hAnsi="Times New Roman"/>
          <w:i/>
          <w:iCs/>
          <w:color w:val="2E7D32"/>
          <w:sz w:val="20"/>
          <w:szCs w:val="20"/>
        </w:rPr>
        <w:t xml:space="preserve">  [80 chars ✓]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Author Declarations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 the fields below before submission. Placeholder text in </w:t>
      </w:r>
      <w:r>
        <w:rPr>
          <w:rFonts w:ascii="Times New Roman" w:cs="Times New Roman" w:eastAsia="Times New Roman" w:hAnsi="Times New Roman"/>
          <w:i/>
          <w:iCs/>
          <w:color w:val="C62828"/>
          <w:sz w:val="20"/>
          <w:szCs w:val="20"/>
        </w:rPr>
        <w:t xml:space="preserve">[square brackets]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must be replaced with actual information.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1. Author Contributions (CRediT Taxonomy)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CRediT Role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Author initials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Conceptualisation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Study concept and framework design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Methodology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CNCM pipeline design and all module development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Software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notebooks, librosa pipeline, EEG simulation, scoring modules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Validation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12/12 numerical audit checks; CSV verification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Formal Analysis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Statistical analysis (ANOVA, Pearson r, t-tests, OLS)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Curation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Dataset compilation, quality control, metadata annotation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Writing – Original Draft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 manuscript preparation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Writing – Review &amp; Editing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Critical revision of manuscript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Visualisation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All figures (Figures 1–7, Supplementary S1–S7)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Supervision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[if applicable]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Funding Acquisition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[if applicable]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C62828"/>
                <w:sz w:val="24"/>
                <w:szCs w:val="24"/>
              </w:rPr>
              <w:t xml:space="preserve">[Author initials]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2. Standard Declarations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Ethics / IRB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This study is entirely computational and does not involve human participants, animal subjects, or patient data. No ethics committee approval or IRB review was required.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Consent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applicable. No human participants were involved.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availability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[REQUIRED BEFORE SUBMISSION] The curated dataset (106 tracks × 97 columns), all output CSVs, and the complete CNCM pipeline notebook (Study_ABC_Complete_FIXED_v3.ipynb) will be made available at [repository URL, e.g., Zenodo / OSF / Kaggle] upon acceptance. DOI: [to be assigned].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Code availability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[REQUIRED BEFORE SUBMISSION] The full Python pipeline notebook is available at [repository URL]. All random seeds are fixed. Dependencies: Python 3.12, librosa v0.10, NumPy, SciPy, statsmodels, scikit-learn, OpenCV, matplotlib, pandas.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Conflict of interest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[TO COMPLETE] The authors declare no conflict of interest. / [OR] Author [X] declares [relationship] with [entity]. All other authors declare no conflicts.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Funding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[TO COMPLETE] This research received no specific grant from any funding agency in the public, commercial, or not-for-profit sectors. / [OR] This work was supported by [funder, grant number].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Clinical trial registration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applicable. This is a computational modelling study; no clinical trial was conducted.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AI assistance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[TO COMPLETE IF APPLICABLE] [No AI writing tools were used in the preparation of this manuscript.] / [OR] Claude (Anthropic) was used to assist with code debugging and manuscript editing. All scientific content was reviewed and approved by the authors.]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Generative AI in figures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AI image generation tools were used. All figures were produced programmatically using Python (matplotlib, seaborn) from model outputs.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Acknowledgements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[TO COMPLETE] The authors thank [names/institutions if any]. / [OR] The authors have no acknowledgements to declare.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Preprint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[TO COMPLETE] A preprint version of this manuscript [has / has not] been posted at [bioRxiv / medRxiv / SSRN]. DOI: [if applicable].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3. Corresponding Author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Full name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[REQUIRED]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Affiliation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[Institution, Department, City, Country]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Email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[corresponding@email.com]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ORCID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[0000-0000-0000-0000]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Address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[Full postal address for correspondence]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6E6E"/>
          <w:sz w:val="26"/>
          <w:szCs w:val="26"/>
        </w:rPr>
        <w:t xml:space="preserve">4. Co-Author Information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For each co-author, provide: Full name | Affiliation | ORCID | Email. Use the table below; add rows as needed.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Affiliation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ORCID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7B5800" w:sz="6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Submission Checklist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Tick each item before submission. Items marked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will cause desk rejection if missing.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Author names, affiliations, and ORCID IDs filled in on title page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Corresponding author email address included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Target journal selected and manuscript formatted to its style guide (word limits, reference format, figure DPI requirements)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Dataset and code deposited in open repository (Zenodo / OSF / Kaggle) with DOI assigned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 availability statement updated with DOI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Code availability statement updated with repository URL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Conflict of interest statement completed by all authors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Funding statement completed (or "no funding" confirmed)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b/>
          <w:bCs/>
          <w:color w:val="C62828"/>
          <w:sz w:val="20"/>
          <w:szCs w:val="20"/>
        </w:rPr>
        <w:t xml:space="preserve">[REQUIRED]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Ethics / IRB statement present (one sentence — computational only, no IRB required)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B5E20"/>
          <w:sz w:val="24"/>
          <w:szCs w:val="24"/>
        </w:rPr>
        <w:t xml:space="preserve">✓  </w:t>
      </w:r>
      <w:r>
        <w:rPr>
          <w:rFonts w:ascii="Times New Roman" w:cs="Times New Roman" w:eastAsia="Times New Roman" w:hAnsi="Times New Roman"/>
          <w:b/>
          <w:bCs/>
          <w:color w:val="1B5E20"/>
          <w:sz w:val="20"/>
          <w:szCs w:val="20"/>
        </w:rPr>
        <w:t xml:space="preserve">[COMPLETE]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Figure 3 corrected (anatomically accurate perforated TM schematic) — Figure3_corrected.png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B5E20"/>
          <w:sz w:val="24"/>
          <w:szCs w:val="24"/>
        </w:rPr>
        <w:t xml:space="preserve">✓  </w:t>
      </w:r>
      <w:r>
        <w:rPr>
          <w:rFonts w:ascii="Times New Roman" w:cs="Times New Roman" w:eastAsia="Times New Roman" w:hAnsi="Times New Roman"/>
          <w:b/>
          <w:bCs/>
          <w:color w:val="1B5E20"/>
          <w:sz w:val="20"/>
          <w:szCs w:val="20"/>
        </w:rPr>
        <w:t xml:space="preserve">[COMPLETE]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Supplementary Figure S1 corrected (r = −0.685 cell consistent with title) — Supplementary_Figure_S1_corrected.png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B5E20"/>
          <w:sz w:val="24"/>
          <w:szCs w:val="24"/>
        </w:rPr>
        <w:t xml:space="preserve">✓  </w:t>
      </w:r>
      <w:r>
        <w:rPr>
          <w:rFonts w:ascii="Times New Roman" w:cs="Times New Roman" w:eastAsia="Times New Roman" w:hAnsi="Times New Roman"/>
          <w:b/>
          <w:bCs/>
          <w:color w:val="1B5E20"/>
          <w:sz w:val="20"/>
          <w:szCs w:val="20"/>
        </w:rPr>
        <w:t xml:space="preserve">[COMPLETE]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Main manuscript expanded with all new sections (Methods 2.7–2.11, Results 3.9–3.13, Discussion 4.4–4.6, Tables 5–6, Supp Table S6)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B5E20"/>
          <w:sz w:val="24"/>
          <w:szCs w:val="24"/>
        </w:rPr>
        <w:t xml:space="preserve">✓  </w:t>
      </w:r>
      <w:r>
        <w:rPr>
          <w:rFonts w:ascii="Times New Roman" w:cs="Times New Roman" w:eastAsia="Times New Roman" w:hAnsi="Times New Roman"/>
          <w:b/>
          <w:bCs/>
          <w:color w:val="1B5E20"/>
          <w:sz w:val="20"/>
          <w:szCs w:val="20"/>
        </w:rPr>
        <w:t xml:space="preserve">[COMPLETE]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"Paper 1" / "Paper 2" language removed; replaced with "core dataset" / "extended dataset"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B5E20"/>
          <w:sz w:val="24"/>
          <w:szCs w:val="24"/>
        </w:rPr>
        <w:t xml:space="preserve">✓  </w:t>
      </w:r>
      <w:r>
        <w:rPr>
          <w:rFonts w:ascii="Times New Roman" w:cs="Times New Roman" w:eastAsia="Times New Roman" w:hAnsi="Times New Roman"/>
          <w:b/>
          <w:bCs/>
          <w:color w:val="1B5E20"/>
          <w:sz w:val="20"/>
          <w:szCs w:val="20"/>
        </w:rPr>
        <w:t xml:space="preserve">[COMPLETE]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ZIP files prepared: Figures_Main.zip, Figures_Supplementary.zip, Tables.zip, Supplementary_Methods.zip, CNCM_Complete_Submission.zip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1B5E20"/>
          <w:sz w:val="24"/>
          <w:szCs w:val="24"/>
        </w:rPr>
        <w:t xml:space="preserve">✓  </w:t>
      </w:r>
      <w:r>
        <w:rPr>
          <w:rFonts w:ascii="Times New Roman" w:cs="Times New Roman" w:eastAsia="Times New Roman" w:hAnsi="Times New Roman"/>
          <w:b/>
          <w:bCs/>
          <w:color w:val="1B5E20"/>
          <w:sz w:val="20"/>
          <w:szCs w:val="20"/>
        </w:rPr>
        <w:t xml:space="preserve">[COMPLETE]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12/12 numerical audit checks passed (NS range, pancha caps, stress ceilings, cardiac flags, temple-dose gains)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4A4A00"/>
          <w:sz w:val="24"/>
          <w:szCs w:val="24"/>
        </w:rPr>
        <w:t xml:space="preserve">◯  </w:t>
      </w:r>
      <w:r>
        <w:rPr>
          <w:rFonts w:ascii="Times New Roman" w:cs="Times New Roman" w:eastAsia="Times New Roman" w:hAnsi="Times New Roman"/>
          <w:b/>
          <w:bCs/>
          <w:color w:val="4A4A00"/>
          <w:sz w:val="20"/>
          <w:szCs w:val="20"/>
        </w:rPr>
        <w:t xml:space="preserve">[OPTIONAL]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Preprint posted to bioRxiv / medRxiv before submission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4A4A00"/>
          <w:sz w:val="24"/>
          <w:szCs w:val="24"/>
        </w:rPr>
        <w:t xml:space="preserve">◯  </w:t>
      </w:r>
      <w:r>
        <w:rPr>
          <w:rFonts w:ascii="Times New Roman" w:cs="Times New Roman" w:eastAsia="Times New Roman" w:hAnsi="Times New Roman"/>
          <w:b/>
          <w:bCs/>
          <w:color w:val="4A4A00"/>
          <w:sz w:val="20"/>
          <w:szCs w:val="20"/>
        </w:rPr>
        <w:t xml:space="preserve">[OPTIONAL]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Cover letter drafted (not included here — request if needed)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4A4A00"/>
          <w:sz w:val="24"/>
          <w:szCs w:val="24"/>
        </w:rPr>
        <w:t xml:space="preserve">◯  </w:t>
      </w:r>
      <w:r>
        <w:rPr>
          <w:rFonts w:ascii="Times New Roman" w:cs="Times New Roman" w:eastAsia="Times New Roman" w:hAnsi="Times New Roman"/>
          <w:b/>
          <w:bCs/>
          <w:color w:val="4A4A00"/>
          <w:sz w:val="20"/>
          <w:szCs w:val="20"/>
        </w:rPr>
        <w:t xml:space="preserve">[OPTIONAL]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Suggested reviewers list prepared for journal submission portal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4A4A00"/>
          <w:sz w:val="24"/>
          <w:szCs w:val="24"/>
        </w:rPr>
        <w:t xml:space="preserve">◯  </w:t>
      </w:r>
      <w:r>
        <w:rPr>
          <w:rFonts w:ascii="Times New Roman" w:cs="Times New Roman" w:eastAsia="Times New Roman" w:hAnsi="Times New Roman"/>
          <w:b/>
          <w:bCs/>
          <w:color w:val="4A4A00"/>
          <w:sz w:val="20"/>
          <w:szCs w:val="20"/>
        </w:rPr>
        <w:t xml:space="preserve">[OPTIONAL]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Abstract word count verified against target journal limit (current: ~195 words)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1F3864" w:sz="6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CNCM Study  |  19 Traditions  |  106 Tracks  |  India 1.477 B  |  266 M Affected  |  Adjunctive Framework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Times New Roman" w:cs="Times New Roman" w:eastAsia="Times New Roman" w:hAnsi="Times New Roman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2026-05-11T10:48:54.646Z</dcterms:created>
  <dcterms:modified xsi:type="dcterms:W3CDTF">2026-05-11T10:48:54.646Z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