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Methods S1 — Extended Methodological Framework</w:t>
      </w:r>
    </w:p>
    <w:p>
      <w:pPr>
        <w:pStyle w:val="Heading2"/>
      </w:pPr>
      <w:r>
        <w:t>S1.1 Overview</w:t>
      </w:r>
    </w:p>
    <w:p>
      <w:pPr>
        <w:spacing w:line="324" w:lineRule="auto" w:after="120"/>
      </w:pPr>
      <w:r>
        <w:rPr>
          <w:i w:val="0"/>
        </w:rPr>
        <w:t>The Cross-Cultural Neuroacoustic Computational Model (CNCM) is a modular, multi-layered analytical pipeline combining acoustic signal processing, rule-based EEG simulation, repetition dose–response scaling, tympanic membrane (TM) biomechanics, and a multimodal olfactory–trigeminal layer. It is implemented in Python 3.12 using librosa, NumPy, SciPy, statsmodels, scikit-learn and OpenCV. All analyses were run in reproducible Jupyter notebooks with fixed random seeds.</w:t>
      </w:r>
    </w:p>
    <w:p>
      <w:pPr>
        <w:pStyle w:val="Heading2"/>
      </w:pPr>
      <w:r>
        <w:t>S1.2 Audio preprocessing</w:t>
      </w:r>
    </w:p>
    <w:p>
      <w:pPr>
        <w:spacing w:line="324" w:lineRule="auto" w:after="120"/>
      </w:pPr>
      <w:r>
        <w:rPr>
          <w:i w:val="0"/>
        </w:rPr>
        <w:t>Tracks were converted to mono WAV at 22,050 Hz; the first 120 s of each recording was retained to normalise exposure duration. Amplitude was RMS-normalised; spectral gating was applied when background noise exceeded a preset threshold. Tracks with clipping or distortion were excluded at curation. Frame-wise features were computed with a 2048-sample window and 512-sample hop.</w:t>
      </w:r>
    </w:p>
    <w:p>
      <w:pPr>
        <w:pStyle w:val="Heading2"/>
      </w:pPr>
      <w:r>
        <w:t>S1.3 Acoustic feature set</w:t>
      </w:r>
    </w:p>
    <w:p>
      <w:pPr>
        <w:spacing w:line="324" w:lineRule="auto" w:after="120"/>
      </w:pPr>
      <w:r>
        <w:rPr>
          <w:i w:val="0"/>
        </w:rPr>
        <w:t>Features extracted per track: F0 via probabilistic YIN; spectral centroid; spectral rolloff (85%); 13 MFCCs; zero-crossing rate; tempo (BPM) via onset strength; and RMS energy. Features were aggregated as means across frames and z-score normalised before entering the model.</w:t>
      </w:r>
    </w:p>
    <w:p>
      <w:pPr>
        <w:pStyle w:val="Heading2"/>
      </w:pPr>
      <w:r>
        <w:t>S1.4 EEG simulation</w:t>
      </w:r>
    </w:p>
    <w:p>
      <w:pPr>
        <w:spacing w:line="324" w:lineRule="auto" w:after="120"/>
      </w:pPr>
      <w:r>
        <w:rPr>
          <w:i w:val="0"/>
        </w:rPr>
        <w:t>Synthetic EEG (8 channels: Fp1, Fp2, F3, F4, C3, C4, P3, P4) was generated at 256 Hz for 30-s epochs. Power spectral density used Welch’s method (2-s windows, 50% overlap) with canonical delta/theta/alpha/beta band edges. FAA was computed as log(α_F4) − log(α_F3); the frontal theta/beta ratio was used as an anxiety proxy.</w:t>
      </w:r>
    </w:p>
    <w:p>
      <w:pPr>
        <w:pStyle w:val="Heading2"/>
      </w:pPr>
      <w:r>
        <w:t>S1.5 Neuroacoustic score</w:t>
      </w:r>
    </w:p>
    <w:p>
      <w:pPr>
        <w:spacing w:line="324" w:lineRule="auto" w:after="120"/>
      </w:pPr>
      <w:r>
        <w:rPr>
          <w:i w:val="0"/>
        </w:rPr>
        <w:t>Score = w_Δ·Delta + w_θ·Theta + w_α·Alpha + w_β·Beta + w_FAA·FAA + w_Rep·log(1 + Repetition). Weights were calibrated to literature associations between EEG bands and affective/cognitive states. The score is a model-internal composite and is not intended as a standalone clinical biomarker.</w:t>
      </w:r>
    </w:p>
    <w:p>
      <w:pPr>
        <w:pStyle w:val="Heading2"/>
      </w:pPr>
      <w:r>
        <w:t>S1.6 Repetition dose–response</w:t>
      </w:r>
    </w:p>
    <w:p>
      <w:pPr>
        <w:spacing w:line="324" w:lineRule="auto" w:after="120"/>
      </w:pPr>
      <w:r>
        <w:rPr>
          <w:i w:val="0"/>
        </w:rPr>
        <w:t>Log-dose = log(1 + Repetition). Repetition categories: Low 1–10, Moderate 11–107, High 108–1007, Extreme ≥1008. A plateau beyond ~108 is modelled to match SSVEP saturation.</w:t>
      </w:r>
    </w:p>
    <w:p>
      <w:pPr>
        <w:pStyle w:val="Heading2"/>
      </w:pPr>
      <w:r>
        <w:t>S1.7 TM biomechanics</w:t>
      </w:r>
    </w:p>
    <w:p>
      <w:pPr>
        <w:spacing w:line="324" w:lineRule="auto" w:after="120"/>
      </w:pPr>
      <w:r>
        <w:rPr>
          <w:i w:val="0"/>
        </w:rPr>
        <w:t>Otoscopic images (n = 68; 14 normal, 54 perforated) processed with Gaussian blur (5×5), Canny edges (thresholds 30/100), circular Hough transform for boundary detection, and Otsu thresholding for perforation segmentation. Vibration Capacity Index = intact area / total area. Moderation model: Score = β₀ + β₁·Acoustic + β₂·VCI + β₃·(Acoustic × VCI) + ε.</w:t>
      </w:r>
    </w:p>
    <w:p>
      <w:pPr>
        <w:pStyle w:val="Heading2"/>
      </w:pPr>
      <w:r>
        <w:t>S1.8 Frequency-response constraint</w:t>
      </w:r>
    </w:p>
    <w:p>
      <w:pPr>
        <w:spacing w:line="324" w:lineRule="auto" w:after="120"/>
      </w:pPr>
      <w:r>
        <w:rPr>
          <w:i w:val="0"/>
        </w:rPr>
        <w:t>All analysed tracks exhibited dominant frequencies below 400 Hz, within the pre-resonance region of the TM where frequency-dependent variation is minimal. Differences in simulated neural response are therefore attributed to acoustic structure rather than frequency-dependent transmission.</w:t>
      </w:r>
    </w:p>
    <w:p>
      <w:pPr>
        <w:pStyle w:val="Heading2"/>
      </w:pPr>
      <w:r>
        <w:t>S1.9 Olfactory–trigeminal integration</w:t>
      </w:r>
    </w:p>
    <w:p>
      <w:pPr>
        <w:spacing w:line="324" w:lineRule="auto" w:after="120"/>
      </w:pPr>
      <w:r>
        <w:rPr>
          <w:i w:val="0"/>
        </w:rPr>
        <w:t>For Shakta Tantric tracks involving hawan, compounds were mapped to either olfactory pathways (limbic modulation: delta/theta/alpha) or trigeminal pathways (TRPV1/TRPA1; brainstem arousal: beta). Compound-level EEG weights (Supplementary Table S3) were summed into an additive modulation applied on top of the audio-derived score.</w:t>
      </w:r>
    </w:p>
    <w:p>
      <w:pPr>
        <w:pStyle w:val="Heading2"/>
      </w:pPr>
      <w:r>
        <w:t>S1.10 Clinical proxy</w:t>
      </w:r>
    </w:p>
    <w:p>
      <w:pPr>
        <w:spacing w:line="324" w:lineRule="auto" w:after="120"/>
      </w:pPr>
      <w:r>
        <w:rPr>
          <w:i w:val="0"/>
        </w:rPr>
        <w:t>ΔPHQ-9 = (α₁·FAA + α₂·ThetaBetaRatio + α₃·AlphaPower) × RepetitionMultiplier. Weights were drawn from Hosseinifard et al. (2013) and Cornwell et al. (2012). Outputs are model-predicted, not measured.</w:t>
      </w:r>
    </w:p>
    <w:p>
      <w:pPr>
        <w:pStyle w:val="Heading2"/>
      </w:pPr>
      <w:r>
        <w:t>S1.11 Statistics</w:t>
      </w:r>
    </w:p>
    <w:p>
      <w:pPr>
        <w:spacing w:line="324" w:lineRule="auto" w:after="120"/>
      </w:pPr>
      <w:r>
        <w:rPr>
          <w:i w:val="0"/>
        </w:rPr>
        <w:t>ANOVA for group comparisons; Pearson correlation for feature relationships; Cohen’s d for effect size; cosine similarity for EEG-profile comparison; independent t-tests for TM condition comparisons; OLS regression for moderation. α = 0.05.</w:t>
      </w:r>
    </w:p>
    <w:p>
      <w:pPr>
        <w:pStyle w:val="Heading2"/>
      </w:pPr>
      <w:r>
        <w:t>S1.12 Reproducibility</w:t>
      </w:r>
    </w:p>
    <w:p>
      <w:pPr>
        <w:spacing w:line="324" w:lineRule="auto" w:after="120"/>
      </w:pPr>
      <w:r>
        <w:rPr>
          <w:i w:val="0"/>
        </w:rPr>
        <w:t>All analyses used fixed random seeds. The notebook and curated dataset are available on request. The pipeline is modular and can be reapplied to real EEG recordings once available.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