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7BA6E" w14:textId="77777777" w:rsidR="00943A49" w:rsidRDefault="00000000">
      <w:pPr>
        <w:spacing w:after="120"/>
      </w:pPr>
      <w:r>
        <w:rPr>
          <w:rFonts w:ascii="Arial" w:eastAsia="Arial" w:hAnsi="Arial" w:cs="Arial"/>
          <w:b/>
          <w:bCs/>
        </w:rPr>
        <w:t>Table 3. Comparative analysis of Meth3D-Net V6 vs established methylation frameworks (✓=yes; ✗=no; ~=partial)</w:t>
      </w:r>
    </w:p>
    <w:p w14:paraId="4007CD0D" w14:textId="77777777" w:rsidR="00943A49" w:rsidRDefault="00000000">
      <w:pPr>
        <w:spacing w:after="80"/>
      </w:pPr>
      <w:r>
        <w:rPr>
          <w:rFonts w:ascii="Arial" w:eastAsia="Arial" w:hAnsi="Arial" w:cs="Arial"/>
          <w:i/>
          <w:iCs/>
          <w:sz w:val="18"/>
          <w:szCs w:val="18"/>
        </w:rPr>
        <w:t>Green row = Meth3D-Net V6 (this study). Accuracy metrics are as reported in original publications; direct comparison is limited by differences in task definition (continuous β-value regression vs binary classification) and validation cohort. NB10 pan-cancer ESSI profiling across 9,854 TCGA samples (33 tumour types) distinguishes V6 from all prior frameworks in pan-cancer reach and stratification index depth.</w:t>
      </w:r>
    </w:p>
    <w:p w14:paraId="06524351" w14:textId="77777777" w:rsidR="00943A49" w:rsidRDefault="00943A49"/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1865"/>
        <w:gridCol w:w="1295"/>
        <w:gridCol w:w="1399"/>
        <w:gridCol w:w="1785"/>
        <w:gridCol w:w="1166"/>
        <w:gridCol w:w="1225"/>
      </w:tblGrid>
      <w:tr w:rsidR="00943A49" w14:paraId="19F36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3ADE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237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Methylation scope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B154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3D chromatin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CC31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Pan-cancer validation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4432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lncRNA/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ceRNA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2E8C" w14:textId="77777777" w:rsidR="00943A49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Stratif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. index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786B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8"/>
                <w:szCs w:val="18"/>
              </w:rPr>
              <w:t>Accuracy</w:t>
            </w:r>
          </w:p>
        </w:tc>
      </w:tr>
      <w:tr w:rsidR="00943A49" w14:paraId="6E8A49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6AD19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Meth3D-Net V6 (this study)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B579E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Genome-wide β (WGBS)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D49CD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✓ 3-ch Hi-C proxy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50B9F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✓ 33 TCGA types + 7 GEO cohorts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BBDE9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✓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ceRNA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+ Hi-C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163BD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✓ ESSI (5-axis)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4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C5089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r=0.870</w:t>
            </w:r>
          </w:p>
        </w:tc>
      </w:tr>
      <w:tr w:rsidR="00943A49" w14:paraId="23B2B3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084A9" w14:textId="77777777" w:rsidR="00943A49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DeepCpG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(2017)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E36F7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Binary; sequence-only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F66F7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DE546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 (cell lines)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19C94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08DB2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8946B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r≈0.84</w:t>
            </w:r>
          </w:p>
        </w:tc>
      </w:tr>
      <w:tr w:rsidR="00943A49" w14:paraId="3FFDC1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C4F08" w14:textId="77777777" w:rsidR="00943A49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CpGenie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(2017)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09C88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Binary; variant impact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1D0D7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5B43A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00A08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DC394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4C31B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AUC 0.88–0.92</w:t>
            </w:r>
          </w:p>
        </w:tc>
      </w:tr>
      <w:tr w:rsidR="00943A49" w14:paraId="0AB9EB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2F5B4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Capper CNS classifier (2018)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8B236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450k; diagnostic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9A7D1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7F3D7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~ CNS only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23CB2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F5E58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31C1B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&gt;90% accuracy</w:t>
            </w:r>
          </w:p>
        </w:tc>
      </w:tr>
      <w:tr w:rsidR="00943A49" w14:paraId="71C583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B2029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Horvath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DNAmAge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clock (2013)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D7D50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353 clock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CpGs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; ageing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D5DA6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7F3F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✓ multi-tissue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47AD7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9539D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~ C1 only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968C7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MAE 3.6 yr</w:t>
            </w:r>
          </w:p>
        </w:tc>
      </w:tr>
      <w:tr w:rsidR="00943A49" w14:paraId="5E8233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AF320" w14:textId="77777777" w:rsidR="00943A49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MethylNet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(Levy 2020)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DDED3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450k; VAE embedding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A3A70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0C936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✓ TCGA types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3CD06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D1FB2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5B234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AUC≈0.93</w:t>
            </w:r>
          </w:p>
        </w:tc>
      </w:tr>
      <w:tr w:rsidR="00943A49" w14:paraId="3105D6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85C2A" w14:textId="77777777" w:rsidR="00943A49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Bumphunter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/ DSS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48410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Statistical DMR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B1443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4F588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✓ generic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C15CF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D7C68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A679E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FDR-control</w:t>
            </w:r>
          </w:p>
        </w:tc>
      </w:tr>
      <w:tr w:rsidR="00943A49" w14:paraId="3D49D6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48EE8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CIMP classifiers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B3791" w14:textId="77777777" w:rsidR="00943A49" w:rsidRDefault="00000000">
            <w:r>
              <w:rPr>
                <w:rFonts w:ascii="Arial" w:eastAsia="Arial" w:hAnsi="Arial" w:cs="Arial"/>
                <w:sz w:val="18"/>
                <w:szCs w:val="18"/>
              </w:rPr>
              <w:t>CpG island hyper only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F94FC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3632F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 type-specific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0E188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907FB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✗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3FF66" w14:textId="77777777" w:rsidR="00943A49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Binary index</w:t>
            </w:r>
          </w:p>
        </w:tc>
      </w:tr>
    </w:tbl>
    <w:p w14:paraId="54B21769" w14:textId="77777777" w:rsidR="006F2FF1" w:rsidRDefault="006F2FF1"/>
    <w:sectPr w:rsidR="006F2FF1" w:rsidSect="00625990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54F3"/>
    <w:multiLevelType w:val="hybridMultilevel"/>
    <w:tmpl w:val="4B7E85D4"/>
    <w:lvl w:ilvl="0" w:tplc="9446E19A">
      <w:start w:val="1"/>
      <w:numFmt w:val="bullet"/>
      <w:lvlText w:val="●"/>
      <w:lvlJc w:val="left"/>
      <w:pPr>
        <w:ind w:left="720" w:hanging="360"/>
      </w:pPr>
    </w:lvl>
    <w:lvl w:ilvl="1" w:tplc="883AAE8E">
      <w:start w:val="1"/>
      <w:numFmt w:val="bullet"/>
      <w:lvlText w:val="○"/>
      <w:lvlJc w:val="left"/>
      <w:pPr>
        <w:ind w:left="1440" w:hanging="360"/>
      </w:pPr>
    </w:lvl>
    <w:lvl w:ilvl="2" w:tplc="311A3E10">
      <w:start w:val="1"/>
      <w:numFmt w:val="bullet"/>
      <w:lvlText w:val="■"/>
      <w:lvlJc w:val="left"/>
      <w:pPr>
        <w:ind w:left="2160" w:hanging="360"/>
      </w:pPr>
    </w:lvl>
    <w:lvl w:ilvl="3" w:tplc="67D26998">
      <w:start w:val="1"/>
      <w:numFmt w:val="bullet"/>
      <w:lvlText w:val="●"/>
      <w:lvlJc w:val="left"/>
      <w:pPr>
        <w:ind w:left="2880" w:hanging="360"/>
      </w:pPr>
    </w:lvl>
    <w:lvl w:ilvl="4" w:tplc="6D4EE79E">
      <w:start w:val="1"/>
      <w:numFmt w:val="bullet"/>
      <w:lvlText w:val="○"/>
      <w:lvlJc w:val="left"/>
      <w:pPr>
        <w:ind w:left="3600" w:hanging="360"/>
      </w:pPr>
    </w:lvl>
    <w:lvl w:ilvl="5" w:tplc="318E700C">
      <w:start w:val="1"/>
      <w:numFmt w:val="bullet"/>
      <w:lvlText w:val="■"/>
      <w:lvlJc w:val="left"/>
      <w:pPr>
        <w:ind w:left="4320" w:hanging="360"/>
      </w:pPr>
    </w:lvl>
    <w:lvl w:ilvl="6" w:tplc="EC343810">
      <w:start w:val="1"/>
      <w:numFmt w:val="bullet"/>
      <w:lvlText w:val="●"/>
      <w:lvlJc w:val="left"/>
      <w:pPr>
        <w:ind w:left="5040" w:hanging="360"/>
      </w:pPr>
    </w:lvl>
    <w:lvl w:ilvl="7" w:tplc="24DA27C6">
      <w:start w:val="1"/>
      <w:numFmt w:val="bullet"/>
      <w:lvlText w:val="●"/>
      <w:lvlJc w:val="left"/>
      <w:pPr>
        <w:ind w:left="5760" w:hanging="360"/>
      </w:pPr>
    </w:lvl>
    <w:lvl w:ilvl="8" w:tplc="60DA09E8">
      <w:start w:val="1"/>
      <w:numFmt w:val="bullet"/>
      <w:lvlText w:val="●"/>
      <w:lvlJc w:val="left"/>
      <w:pPr>
        <w:ind w:left="6480" w:hanging="360"/>
      </w:pPr>
    </w:lvl>
  </w:abstractNum>
  <w:num w:numId="1" w16cid:durableId="891307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A49"/>
    <w:rsid w:val="00625990"/>
    <w:rsid w:val="006F2FF1"/>
    <w:rsid w:val="00943A49"/>
    <w:rsid w:val="00DE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3D56D"/>
  <w15:docId w15:val="{2A8AF59A-531D-9144-99B5-C5320111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1063</Characters>
  <Application>Microsoft Office Word</Application>
  <DocSecurity>0</DocSecurity>
  <Lines>96</Lines>
  <Paragraphs>74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neetu singh</cp:lastModifiedBy>
  <cp:revision>2</cp:revision>
  <dcterms:created xsi:type="dcterms:W3CDTF">2026-06-02T05:37:00Z</dcterms:created>
  <dcterms:modified xsi:type="dcterms:W3CDTF">2026-06-02T05:40:00Z</dcterms:modified>
</cp:coreProperties>
</file>