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6E868" w14:textId="77777777" w:rsidR="005C7695" w:rsidRDefault="00000000">
      <w:pPr>
        <w:spacing w:after="60"/>
        <w:jc w:val="center"/>
      </w:pPr>
      <w:r>
        <w:rPr>
          <w:i/>
          <w:iCs/>
          <w:color w:val="777777"/>
          <w:sz w:val="20"/>
          <w:szCs w:val="20"/>
        </w:rPr>
        <w:t>Running title: Met-3DNet-VI for Functional Neoantigen Immunity</w:t>
      </w:r>
    </w:p>
    <w:p w14:paraId="339EA15E" w14:textId="77777777" w:rsidR="005C7695" w:rsidRDefault="005C7695"/>
    <w:p w14:paraId="35F34230" w14:textId="2F6F3D52" w:rsidR="005C7695" w:rsidRDefault="00000000" w:rsidP="00EB1A96">
      <w:pPr>
        <w:spacing w:after="200"/>
      </w:pPr>
      <w:r>
        <w:rPr>
          <w:b/>
          <w:bCs/>
          <w:color w:val="1F3864"/>
          <w:sz w:val="42"/>
          <w:szCs w:val="42"/>
        </w:rPr>
        <w:t>Met-3DNet-VI: A Multi-Modal Graph Neural Network for</w:t>
      </w:r>
      <w:r>
        <w:t xml:space="preserve"> </w:t>
      </w:r>
      <w:r>
        <w:rPr>
          <w:b/>
          <w:bCs/>
          <w:color w:val="1F3864"/>
          <w:sz w:val="42"/>
          <w:szCs w:val="42"/>
        </w:rPr>
        <w:t>Predicting Functional Neoantigen Immunity</w:t>
      </w:r>
    </w:p>
    <w:p w14:paraId="21CD1DB5" w14:textId="77777777" w:rsidR="00EB1A96" w:rsidRPr="00C91666" w:rsidRDefault="00EB1A96" w:rsidP="00EB1A96">
      <w:pPr>
        <w:spacing w:after="100" w:line="360" w:lineRule="auto"/>
        <w:rPr>
          <w:rFonts w:ascii="Times New Roman" w:hAnsi="Times New Roman" w:cs="Times New Roman"/>
          <w:sz w:val="24"/>
          <w:szCs w:val="24"/>
        </w:rPr>
      </w:pPr>
      <w:r>
        <w:rPr>
          <w:rFonts w:ascii="Times New Roman" w:hAnsi="Times New Roman" w:cs="Times New Roman"/>
          <w:b/>
          <w:bCs/>
          <w:sz w:val="24"/>
          <w:szCs w:val="24"/>
        </w:rPr>
        <w:t>Neetu Singh</w:t>
      </w:r>
    </w:p>
    <w:p w14:paraId="54F97302" w14:textId="77777777" w:rsidR="00EB1A96" w:rsidRPr="00C91666" w:rsidRDefault="00EB1A96" w:rsidP="00EB1A96">
      <w:pPr>
        <w:spacing w:after="100" w:line="360" w:lineRule="auto"/>
        <w:rPr>
          <w:rFonts w:ascii="Times New Roman" w:hAnsi="Times New Roman" w:cs="Times New Roman"/>
          <w:sz w:val="24"/>
          <w:szCs w:val="24"/>
        </w:rPr>
      </w:pPr>
      <w:r>
        <w:rPr>
          <w:rFonts w:ascii="Times New Roman" w:hAnsi="Times New Roman" w:cs="Times New Roman"/>
          <w:sz w:val="24"/>
          <w:szCs w:val="24"/>
        </w:rPr>
        <w:t>Molecular Biology Unit, Centre for Advanced Research, King George's Medical University, Lucknow, Uttar Pradesh, India</w:t>
      </w:r>
    </w:p>
    <w:p w14:paraId="00BDEDCB" w14:textId="77777777" w:rsidR="00EB1A96" w:rsidRPr="00C91666" w:rsidRDefault="00EB1A96" w:rsidP="00EB1A96">
      <w:pPr>
        <w:spacing w:after="200" w:line="360" w:lineRule="auto"/>
        <w:rPr>
          <w:rFonts w:ascii="Times New Roman" w:hAnsi="Times New Roman" w:cs="Times New Roman"/>
          <w:sz w:val="24"/>
          <w:szCs w:val="24"/>
        </w:rPr>
      </w:pPr>
      <w:r>
        <w:rPr>
          <w:rFonts w:ascii="Times New Roman" w:hAnsi="Times New Roman" w:cs="Times New Roman"/>
          <w:i/>
          <w:iCs/>
          <w:sz w:val="24"/>
          <w:szCs w:val="24"/>
        </w:rPr>
        <w:t>Correspondence: neetusingh@kgmcindia.edu</w:t>
      </w:r>
    </w:p>
    <w:p w14:paraId="115844F6" w14:textId="77777777" w:rsidR="00EB1A96" w:rsidRPr="00D567CD" w:rsidRDefault="00EB1A96" w:rsidP="00EB1A96">
      <w:pPr>
        <w:pBdr>
          <w:bottom w:val="single" w:sz="6" w:space="1" w:color="2E75B6"/>
        </w:pBdr>
        <w:rPr>
          <w:rFonts w:ascii="Times New Roman" w:hAnsi="Times New Roman" w:cs="Times New Roman"/>
          <w:sz w:val="24"/>
          <w:szCs w:val="24"/>
        </w:rPr>
      </w:pPr>
    </w:p>
    <w:p w14:paraId="41EFB04A" w14:textId="77777777" w:rsidR="005C7695" w:rsidRDefault="00000000">
      <w:pPr>
        <w:pBdr>
          <w:bottom w:val="single" w:sz="4" w:space="1" w:color="2E75B6"/>
        </w:pBdr>
        <w:spacing w:before="120"/>
      </w:pPr>
      <w:r>
        <w:rPr>
          <w:sz w:val="4"/>
          <w:szCs w:val="4"/>
        </w:rPr>
        <w:t xml:space="preserve"> </w:t>
      </w:r>
    </w:p>
    <w:p w14:paraId="234ACD8B" w14:textId="77777777" w:rsidR="005C7695" w:rsidRDefault="005C7695"/>
    <w:p w14:paraId="07BC0BFD" w14:textId="77777777" w:rsidR="005C7695" w:rsidRDefault="00000000">
      <w:pPr>
        <w:pStyle w:val="Heading1"/>
      </w:pPr>
      <w:r>
        <w:t>Key Highlights</w:t>
      </w:r>
    </w:p>
    <w:p w14:paraId="5424AF1E" w14:textId="77777777" w:rsidR="005C7695" w:rsidRDefault="00000000">
      <w:pPr>
        <w:pStyle w:val="ListParagraph"/>
        <w:numPr>
          <w:ilvl w:val="0"/>
          <w:numId w:val="2"/>
        </w:numPr>
        <w:spacing w:before="60" w:after="60"/>
      </w:pPr>
      <w:r>
        <w:t>Met-3DNet-VI is the first multi-task graph neural network to jointly predict neoantigen immunogenicity, functional immune class (activating/suppressive/neutral), and an ordinal activation score from a single peptide–HLA graph representation.</w:t>
      </w:r>
    </w:p>
    <w:p w14:paraId="1E5EF34F" w14:textId="77777777" w:rsidR="005C7695" w:rsidRDefault="00000000">
      <w:pPr>
        <w:pStyle w:val="ListParagraph"/>
        <w:numPr>
          <w:ilvl w:val="0"/>
          <w:numId w:val="2"/>
        </w:numPr>
        <w:spacing w:before="60" w:after="60"/>
      </w:pPr>
      <w:r>
        <w:t>Four-source training data integration (IEDB v3, TumorAgDB1.0, TESLA, NCI/HiTIDE; 23,315 pairs) delivered a validation AUROC of 0.908 and test AUROC of 0.760, with the first genuine activating-class recall of 26.4% in a neoantigen GNN.</w:t>
      </w:r>
    </w:p>
    <w:p w14:paraId="3BA8D645" w14:textId="77777777" w:rsidR="005C7695" w:rsidRDefault="00000000">
      <w:pPr>
        <w:pStyle w:val="ListParagraph"/>
        <w:numPr>
          <w:ilvl w:val="0"/>
          <w:numId w:val="2"/>
        </w:numPr>
        <w:spacing w:before="60" w:after="60"/>
      </w:pPr>
      <w:r>
        <w:t>Emergent P2/P9 HLA-A*02:01 anchor residue identification from immunogenicity labels alone—without any structural supervision—validates that GATConv message-passing internalises peptide–MHC binding geometry.</w:t>
      </w:r>
    </w:p>
    <w:p w14:paraId="5730F439" w14:textId="77777777" w:rsidR="005C7695" w:rsidRDefault="00000000">
      <w:pPr>
        <w:pStyle w:val="ListParagraph"/>
        <w:numPr>
          <w:ilvl w:val="0"/>
          <w:numId w:val="2"/>
        </w:numPr>
        <w:spacing w:before="60" w:after="60"/>
      </w:pPr>
      <w:r>
        <w:t>Applied to 53 therapeutic peptides: 84% immunogenicity in CD19/BCMA constructs, 75% in LUSC driver neoantigens, and 75% immunogenic risk in CAR-NK sequences, revealing uncharacterised host anti-construct immunity.</w:t>
      </w:r>
    </w:p>
    <w:p w14:paraId="0C1622C6" w14:textId="77777777" w:rsidR="005C7695" w:rsidRDefault="00000000">
      <w:pPr>
        <w:pStyle w:val="ListParagraph"/>
        <w:numPr>
          <w:ilvl w:val="0"/>
          <w:numId w:val="2"/>
        </w:numPr>
        <w:spacing w:before="60" w:after="60"/>
      </w:pPr>
      <w:r>
        <w:t>A critical methodological finding: train–validation distribution mismatch across multi-source datasets causes monotonic AUC degradation in all warm-start runs; peptide-level 80/20 re-splitting is the definitive resolution.</w:t>
      </w:r>
    </w:p>
    <w:p w14:paraId="4840C744" w14:textId="77777777" w:rsidR="005C7695" w:rsidRDefault="005C7695"/>
    <w:p w14:paraId="78296486" w14:textId="77777777" w:rsidR="005C7695" w:rsidRDefault="005C7695"/>
    <w:p w14:paraId="67026D4D" w14:textId="77777777" w:rsidR="005C7695" w:rsidRDefault="00000000">
      <w:pPr>
        <w:pStyle w:val="Heading1"/>
      </w:pPr>
      <w:r>
        <w:t>Abstract</w:t>
      </w:r>
    </w:p>
    <w:p w14:paraId="63281024" w14:textId="77777777" w:rsidR="005C7695" w:rsidRDefault="00000000">
      <w:pPr>
        <w:spacing w:before="80" w:after="120" w:line="340" w:lineRule="auto"/>
        <w:jc w:val="both"/>
      </w:pPr>
      <w:r>
        <w:t xml:space="preserve">Neoantigen immunogenicity prediction tools currently produce binary outputs that collapse mechanistically distinct immune outcomes into a single score. Here we present </w:t>
      </w:r>
      <w:r>
        <w:rPr>
          <w:b/>
          <w:bCs/>
        </w:rPr>
        <w:t>Met-3DNet-VI</w:t>
      </w:r>
      <w:r>
        <w:t xml:space="preserve"> (Viral-Immune Integrated), a multi-task graph neural network (GNN) that simultaneously predicts </w:t>
        <w:lastRenderedPageBreak/>
        <w:t xml:space="preserve">immunogenicity, functional immune class (activating, suppressive, or neutral), and an ordinal activation score from peptide–HLA pairs. The model represents each pair as a 49-node heterogeneous graph encoding five physicochemical properties per residue, processed through three Graph Attention Convolution (GATConv) layers with Feature-wise Linear Modulation (FiLM) context fusion. Trained on 23,315 peptide–HLA pairs integrating IEDB v3 (Vita et al., 2019), TumorAgDB1.0 (Shao et al., 2025), TESLA (Wells et al., 2020), and NCI/HiTIDE (Müller et al., 2023), Met-3DNet-VI achieves a validation AUROC of </w:t>
      </w:r>
      <w:r>
        <w:rPr>
          <w:b/>
          <w:bCs/>
        </w:rPr>
        <w:t>0.908</w:t>
      </w:r>
      <w:r>
        <w:t xml:space="preserve"> and test AUROC of </w:t>
      </w:r>
      <w:r>
        <w:rPr>
          <w:b/>
          <w:bCs/>
        </w:rPr>
        <w:t>0.760</w:t>
      </w:r>
      <w:r>
        <w:t>. A key interpretability finding is the emergent identification of P2/P9 anchor residues for HLA-A*02:01 without explicit structural supervision (Falk et al., 1991; Sette &amp; Sidney, 1999). Applied to 53 therapeutic peptides across CAR-NK, LUSC neoantigen, and CD19/BCMA contexts, Met-3DNet-VI identified 84%, 75%, and 75% immunogenicity rates respectively. Code, models, and data are available at github.com/neetuaashi/neetuaashi.</w:t>
      </w:r>
    </w:p>
    <w:p w14:paraId="130027DF" w14:textId="77777777" w:rsidR="005C7695" w:rsidRDefault="005C7695"/>
    <w:p w14:paraId="080653FB" w14:textId="77777777" w:rsidR="005C7695" w:rsidRDefault="00000000">
      <w:pPr>
        <w:spacing w:before="60" w:after="80" w:line="320" w:lineRule="auto"/>
      </w:pPr>
      <w:r>
        <w:rPr>
          <w:b/>
          <w:bCs/>
        </w:rPr>
        <w:t xml:space="preserve">Keywords: </w:t>
      </w:r>
      <w:r>
        <w:t>neoantigen; graph neural network; immunogenicity; HLA; multi-task learning; CAR-NK; LUSC; interpretability; FiLM; GATConv</w:t>
      </w:r>
    </w:p>
    <w:p w14:paraId="75D07FF9" w14:textId="77777777" w:rsidR="005C7695" w:rsidRDefault="005C7695"/>
    <w:p w14:paraId="5ACA71B6" w14:textId="77777777" w:rsidR="005C7695" w:rsidRDefault="005C7695"/>
    <w:p w14:paraId="23792F81" w14:textId="77777777" w:rsidR="005C7695" w:rsidRDefault="00000000">
      <w:pPr>
        <w:pStyle w:val="Heading1"/>
      </w:pPr>
      <w:r>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9"/>
        <w:gridCol w:w="7221"/>
      </w:tblGrid>
      <w:tr w:rsidR="005C7695" w14:paraId="2CBC2B5B"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7B204046" w14:textId="77777777" w:rsidR="005C7695" w:rsidRDefault="00000000">
            <w:r>
              <w:rPr>
                <w:b/>
                <w:bCs/>
                <w:sz w:val="20"/>
                <w:szCs w:val="20"/>
              </w:rPr>
              <w:t>Abbreviation</w:t>
            </w:r>
          </w:p>
        </w:tc>
        <w:tc>
          <w:tcPr>
            <w:tcW w:w="0" w:type="auto"/>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1F4ECA86" w14:textId="77777777" w:rsidR="005C7695" w:rsidRDefault="00000000">
            <w:r>
              <w:rPr>
                <w:b/>
                <w:bCs/>
                <w:sz w:val="20"/>
                <w:szCs w:val="20"/>
              </w:rPr>
              <w:t>Definition</w:t>
            </w:r>
          </w:p>
        </w:tc>
      </w:tr>
      <w:tr w:rsidR="005C7695" w14:paraId="0A8651A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D81022" w14:textId="77777777" w:rsidR="005C7695" w:rsidRDefault="00000000">
            <w:r>
              <w:rPr>
                <w:b/>
                <w:bCs/>
                <w:sz w:val="19"/>
                <w:szCs w:val="19"/>
              </w:rPr>
              <w:t>AUROC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EFCC89" w14:textId="77777777" w:rsidR="005C7695" w:rsidRDefault="00000000">
            <w:r>
              <w:rPr>
                <w:sz w:val="19"/>
                <w:szCs w:val="19"/>
              </w:rPr>
              <w:t>Area under the receiver operating characteristic curve</w:t>
            </w:r>
          </w:p>
        </w:tc>
      </w:tr>
      <w:tr w:rsidR="005C7695" w14:paraId="6640E4C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F64742" w14:textId="77777777" w:rsidR="005C7695" w:rsidRDefault="00000000">
            <w:r>
              <w:rPr>
                <w:b/>
                <w:bCs/>
                <w:sz w:val="19"/>
                <w:szCs w:val="19"/>
              </w:rPr>
              <w:t>BCE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18960A" w14:textId="77777777" w:rsidR="005C7695" w:rsidRDefault="00000000">
            <w:r>
              <w:rPr>
                <w:sz w:val="19"/>
                <w:szCs w:val="19"/>
              </w:rPr>
              <w:t>Binary cross-entropy loss</w:t>
            </w:r>
          </w:p>
        </w:tc>
      </w:tr>
      <w:tr w:rsidR="005C7695" w14:paraId="0D92BD0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96B79B" w14:textId="77777777" w:rsidR="005C7695" w:rsidRDefault="00000000">
            <w:r>
              <w:rPr>
                <w:b/>
                <w:bCs/>
                <w:sz w:val="19"/>
                <w:szCs w:val="19"/>
              </w:rPr>
              <w:t>CAR-NK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0EB06A" w14:textId="77777777" w:rsidR="005C7695" w:rsidRDefault="00000000">
            <w:r>
              <w:rPr>
                <w:sz w:val="19"/>
                <w:szCs w:val="19"/>
              </w:rPr>
              <w:t>Chimeric antigen receptor natural killer cell</w:t>
            </w:r>
          </w:p>
        </w:tc>
      </w:tr>
      <w:tr w:rsidR="005C7695" w14:paraId="4984FE8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6BA72A" w14:textId="77777777" w:rsidR="005C7695" w:rsidRDefault="00000000">
            <w:r>
              <w:rPr>
                <w:b/>
                <w:bCs/>
                <w:sz w:val="19"/>
                <w:szCs w:val="19"/>
              </w:rPr>
              <w:t>CAR-T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F8D15F" w14:textId="77777777" w:rsidR="005C7695" w:rsidRDefault="00000000">
            <w:r>
              <w:rPr>
                <w:sz w:val="19"/>
                <w:szCs w:val="19"/>
              </w:rPr>
              <w:t>Chimeric antigen receptor T cell</w:t>
            </w:r>
          </w:p>
        </w:tc>
      </w:tr>
      <w:tr w:rsidR="005C7695" w14:paraId="587E8F6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266DA6" w14:textId="77777777" w:rsidR="005C7695" w:rsidRDefault="00000000">
            <w:r>
              <w:rPr>
                <w:b/>
                <w:bCs/>
                <w:sz w:val="19"/>
                <w:szCs w:val="19"/>
              </w:rPr>
              <w:t>CD8⁺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492788" w14:textId="77777777" w:rsidR="005C7695" w:rsidRDefault="00000000">
            <w:r>
              <w:rPr>
                <w:sz w:val="19"/>
                <w:szCs w:val="19"/>
              </w:rPr>
              <w:t>Cytotoxic T lymphocyte expressing the CD8 co-receptor</w:t>
            </w:r>
          </w:p>
        </w:tc>
      </w:tr>
      <w:tr w:rsidR="005C7695" w14:paraId="1D1B722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4F6990" w14:textId="77777777" w:rsidR="005C7695" w:rsidRDefault="00000000">
            <w:r>
              <w:rPr>
                <w:b/>
                <w:bCs/>
                <w:sz w:val="19"/>
                <w:szCs w:val="19"/>
              </w:rPr>
              <w:t>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916D51" w14:textId="77777777" w:rsidR="005C7695" w:rsidRDefault="00000000">
            <w:r>
              <w:rPr>
                <w:sz w:val="19"/>
                <w:szCs w:val="19"/>
              </w:rPr>
              <w:t>Cross-entropy loss</w:t>
            </w:r>
          </w:p>
        </w:tc>
      </w:tr>
      <w:tr w:rsidR="005C7695" w14:paraId="4979493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F6FEB6" w14:textId="77777777" w:rsidR="005C7695" w:rsidRDefault="00000000">
            <w:r>
              <w:rPr>
                <w:b/>
                <w:bCs/>
                <w:sz w:val="19"/>
                <w:szCs w:val="19"/>
              </w:rPr>
              <w:t>ELISpot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965CF7" w14:textId="77777777" w:rsidR="005C7695" w:rsidRDefault="00000000">
            <w:r>
              <w:rPr>
                <w:sz w:val="19"/>
                <w:szCs w:val="19"/>
              </w:rPr>
              <w:t>Enzyme-linked immunospot assay</w:t>
            </w:r>
          </w:p>
        </w:tc>
      </w:tr>
      <w:tr w:rsidR="005C7695" w14:paraId="71DE2A6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F9D85B" w14:textId="77777777" w:rsidR="005C7695" w:rsidRDefault="00000000">
            <w:r>
              <w:rPr>
                <w:b/>
                <w:bCs/>
                <w:sz w:val="19"/>
                <w:szCs w:val="19"/>
              </w:rPr>
              <w:t>FiLM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EE090E" w14:textId="77777777" w:rsidR="005C7695" w:rsidRDefault="00000000">
            <w:r>
              <w:rPr>
                <w:sz w:val="19"/>
                <w:szCs w:val="19"/>
              </w:rPr>
              <w:t>Feature-wise Linear Modulation</w:t>
            </w:r>
          </w:p>
        </w:tc>
      </w:tr>
      <w:tr w:rsidR="005C7695" w14:paraId="0DE416C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0EE80C" w14:textId="77777777" w:rsidR="005C7695" w:rsidRDefault="00000000">
            <w:r>
              <w:rPr>
                <w:b/>
                <w:bCs/>
                <w:sz w:val="19"/>
                <w:szCs w:val="19"/>
              </w:rPr>
              <w:t>GATConv</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E8FAA4" w14:textId="77777777" w:rsidR="005C7695" w:rsidRDefault="00000000">
            <w:r>
              <w:rPr>
                <w:sz w:val="19"/>
                <w:szCs w:val="19"/>
              </w:rPr>
              <w:t>Graph Attention Convolution layer</w:t>
            </w:r>
          </w:p>
        </w:tc>
      </w:tr>
      <w:tr w:rsidR="005C7695" w14:paraId="3ACD42C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4BC3A4" w14:textId="77777777" w:rsidR="005C7695" w:rsidRDefault="00000000">
            <w:r>
              <w:rPr>
                <w:b/>
                <w:bCs/>
                <w:sz w:val="19"/>
                <w:szCs w:val="19"/>
              </w:rPr>
              <w:t>GNN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9D2626" w14:textId="77777777" w:rsidR="005C7695" w:rsidRDefault="00000000">
            <w:r>
              <w:rPr>
                <w:sz w:val="19"/>
                <w:szCs w:val="19"/>
              </w:rPr>
              <w:t>Graph neural network</w:t>
            </w:r>
          </w:p>
        </w:tc>
      </w:tr>
      <w:tr w:rsidR="005C7695" w14:paraId="59BD527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883F0F" w14:textId="77777777" w:rsidR="005C7695" w:rsidRDefault="00000000">
            <w:r>
              <w:rPr>
                <w:b/>
                <w:bCs/>
                <w:sz w:val="19"/>
                <w:szCs w:val="19"/>
              </w:rPr>
              <w:t>HLA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E81011" w14:textId="77777777" w:rsidR="005C7695" w:rsidRDefault="00000000">
            <w:r>
              <w:rPr>
                <w:sz w:val="19"/>
                <w:szCs w:val="19"/>
              </w:rPr>
              <w:t>Human leukocyte antigen (MHC class I in humans)</w:t>
            </w:r>
          </w:p>
        </w:tc>
      </w:tr>
      <w:tr w:rsidR="005C7695" w14:paraId="03A576B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1257FB" w14:textId="77777777" w:rsidR="005C7695" w:rsidRDefault="00000000">
            <w:r>
              <w:rPr>
                <w:b/>
                <w:bCs/>
                <w:sz w:val="19"/>
                <w:szCs w:val="19"/>
              </w:rPr>
              <w:t>IEDB</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C61878" w14:textId="77777777" w:rsidR="005C7695" w:rsidRDefault="00000000">
            <w:r>
              <w:rPr>
                <w:sz w:val="19"/>
                <w:szCs w:val="19"/>
              </w:rPr>
              <w:t>Immune Epitope Database</w:t>
            </w:r>
          </w:p>
        </w:tc>
      </w:tr>
      <w:tr w:rsidR="005C7695" w14:paraId="1E11C95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C8B42E" w14:textId="77777777" w:rsidR="005C7695" w:rsidRDefault="00000000">
            <w:r>
              <w:rPr>
                <w:b/>
                <w:bCs/>
                <w:sz w:val="19"/>
                <w:szCs w:val="19"/>
              </w:rPr>
              <w:t>IFN-γ</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B53728" w14:textId="77777777" w:rsidR="005C7695" w:rsidRDefault="00000000">
            <w:r>
              <w:rPr>
                <w:sz w:val="19"/>
                <w:szCs w:val="19"/>
              </w:rPr>
              <w:t>Interferon-gamma</w:t>
            </w:r>
          </w:p>
        </w:tc>
      </w:tr>
      <w:tr w:rsidR="005C7695" w14:paraId="4B03994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658684" w14:textId="77777777" w:rsidR="005C7695" w:rsidRDefault="00000000">
            <w:r>
              <w:rPr>
                <w:b/>
                <w:bCs/>
                <w:sz w:val="19"/>
                <w:szCs w:val="19"/>
              </w:rPr>
              <w:t>LUSC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E6381D" w14:textId="77777777" w:rsidR="005C7695" w:rsidRDefault="00000000">
            <w:r>
              <w:rPr>
                <w:sz w:val="19"/>
                <w:szCs w:val="19"/>
              </w:rPr>
              <w:t>Lung squamous cell carcinoma</w:t>
            </w:r>
          </w:p>
        </w:tc>
      </w:tr>
      <w:tr w:rsidR="005C7695" w14:paraId="2ECC47D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1C5CCF" w14:textId="77777777" w:rsidR="005C7695" w:rsidRDefault="00000000">
            <w:r>
              <w:rPr>
                <w:b/>
                <w:bCs/>
                <w:sz w:val="19"/>
                <w:szCs w:val="19"/>
              </w:rPr>
              <w:lastRenderedPageBreak/>
              <w:t>MHC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21627E" w14:textId="77777777" w:rsidR="005C7695" w:rsidRDefault="00000000">
            <w:r>
              <w:rPr>
                <w:sz w:val="19"/>
                <w:szCs w:val="19"/>
              </w:rPr>
              <w:t>Major histocompatibility complex</w:t>
            </w:r>
          </w:p>
        </w:tc>
      </w:tr>
      <w:tr w:rsidR="005C7695" w14:paraId="709AEA6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EC5180" w14:textId="77777777" w:rsidR="005C7695" w:rsidRDefault="00000000">
            <w:r>
              <w:rPr>
                <w:b/>
                <w:bCs/>
                <w:sz w:val="19"/>
                <w:szCs w:val="19"/>
              </w:rPr>
              <w:t>NCI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FF9244" w14:textId="77777777" w:rsidR="005C7695" w:rsidRDefault="00000000">
            <w:r>
              <w:rPr>
                <w:sz w:val="19"/>
                <w:szCs w:val="19"/>
              </w:rPr>
              <w:t>National Cancer Institute</w:t>
            </w:r>
          </w:p>
        </w:tc>
      </w:tr>
      <w:tr w:rsidR="005C7695" w14:paraId="664A285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2072DA" w14:textId="77777777" w:rsidR="005C7695" w:rsidRDefault="00000000">
            <w:r>
              <w:rPr>
                <w:b/>
                <w:bCs/>
                <w:sz w:val="19"/>
                <w:szCs w:val="19"/>
              </w:rPr>
              <w:t>pMHC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E2D676" w14:textId="77777777" w:rsidR="005C7695" w:rsidRDefault="00000000">
            <w:r>
              <w:rPr>
                <w:sz w:val="19"/>
                <w:szCs w:val="19"/>
              </w:rPr>
              <w:t>Peptide–MHC complex</w:t>
            </w:r>
          </w:p>
        </w:tc>
      </w:tr>
      <w:tr w:rsidR="005C7695" w14:paraId="26C31F7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FB4ACE" w14:textId="77777777" w:rsidR="005C7695" w:rsidRDefault="00000000">
            <w:r>
              <w:rPr>
                <w:b/>
                <w:bCs/>
                <w:sz w:val="19"/>
                <w:szCs w:val="19"/>
              </w:rPr>
              <w:t>TCR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71A491" w14:textId="77777777" w:rsidR="005C7695" w:rsidRDefault="00000000">
            <w:r>
              <w:rPr>
                <w:sz w:val="19"/>
                <w:szCs w:val="19"/>
              </w:rPr>
              <w:t>T cell receptor</w:t>
            </w:r>
          </w:p>
        </w:tc>
      </w:tr>
      <w:tr w:rsidR="005C7695" w14:paraId="155E3DA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9A5146" w14:textId="77777777" w:rsidR="005C7695" w:rsidRDefault="00000000">
            <w:r>
              <w:rPr>
                <w:b/>
                <w:bCs/>
                <w:sz w:val="19"/>
                <w:szCs w:val="19"/>
              </w:rPr>
              <w:t>TESLA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2CC3BF" w14:textId="77777777" w:rsidR="005C7695" w:rsidRDefault="00000000">
            <w:r>
              <w:rPr>
                <w:sz w:val="19"/>
                <w:szCs w:val="19"/>
              </w:rPr>
              <w:t>Tumor Neoantigen Selection Alliance</w:t>
            </w:r>
          </w:p>
        </w:tc>
      </w:tr>
      <w:tr w:rsidR="005C7695" w14:paraId="15926A7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6FB2D0" w14:textId="77777777" w:rsidR="005C7695" w:rsidRDefault="00000000">
            <w:r>
              <w:rPr>
                <w:b/>
                <w:bCs/>
                <w:sz w:val="19"/>
                <w:szCs w:val="19"/>
              </w:rPr>
              <w:t>TPM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2BC787" w14:textId="77777777" w:rsidR="005C7695" w:rsidRDefault="00000000">
            <w:r>
              <w:rPr>
                <w:sz w:val="19"/>
                <w:szCs w:val="19"/>
              </w:rPr>
              <w:t>Transcripts per million</w:t>
            </w:r>
          </w:p>
        </w:tc>
      </w:tr>
      <w:tr w:rsidR="005C7695" w14:paraId="0D3FD79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0A808A" w14:textId="77777777" w:rsidR="005C7695" w:rsidRDefault="00000000">
            <w:r>
              <w:rPr>
                <w:b/>
                <w:bCs/>
                <w:sz w:val="19"/>
                <w:szCs w:val="19"/>
              </w:rPr>
              <w:t>Treg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F201E8" w14:textId="77777777" w:rsidR="005C7695" w:rsidRDefault="00000000">
            <w:r>
              <w:rPr>
                <w:sz w:val="19"/>
                <w:szCs w:val="19"/>
              </w:rPr>
              <w:t>Regulatory T cell</w:t>
            </w:r>
          </w:p>
        </w:tc>
      </w:tr>
      <w:tr w:rsidR="005C7695" w14:paraId="67DDDB1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3F233B" w14:textId="77777777" w:rsidR="005C7695" w:rsidRDefault="00000000">
            <w:r>
              <w:rPr>
                <w:b/>
                <w:bCs/>
                <w:sz w:val="19"/>
                <w:szCs w:val="19"/>
              </w:rPr>
              <w:t>TSA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378B0A" w14:textId="77777777" w:rsidR="005C7695" w:rsidRDefault="00000000">
            <w:r>
              <w:rPr>
                <w:sz w:val="19"/>
                <w:szCs w:val="19"/>
              </w:rPr>
              <w:t>Tumour-specific antigen</w:t>
            </w:r>
          </w:p>
        </w:tc>
      </w:tr>
    </w:tbl>
    <w:p w14:paraId="452B071A" w14:textId="77777777" w:rsidR="005C7695" w:rsidRDefault="005C7695"/>
    <w:p w14:paraId="1EBC530E" w14:textId="77777777" w:rsidR="005C7695" w:rsidRDefault="005C7695"/>
    <w:p w14:paraId="39CAF510" w14:textId="77777777" w:rsidR="005C7695" w:rsidRDefault="00000000">
      <w:pPr>
        <w:pStyle w:val="Heading1"/>
      </w:pPr>
      <w:r>
        <w:t>1. Introduction</w:t>
      </w:r>
    </w:p>
    <w:p w14:paraId="3A282A66" w14:textId="77777777" w:rsidR="005C7695" w:rsidRDefault="00000000">
      <w:pPr>
        <w:spacing w:before="80" w:after="120" w:line="340" w:lineRule="auto"/>
        <w:jc w:val="both"/>
      </w:pPr>
      <w:r>
        <w:t>Somatic mutations in tumour cells generate peptide fragments that, when presented on class I major histocompatibility complex (MHC-I) molecules, can elicit cytotoxic CD8⁺ T lymphocyte responses. These mutation-derived peptides—termed neoantigens—are considered the most tractable targets for personalised cancer immunotherapy because they are tumour-specific, largely absent from normal tissue, and capable of bypassing central tolerance (Schumacher &amp; Schreiber, 2015; Wells et al., 2020). Neoantigen-based personalised vaccines and adoptive T cell therapies have entered clinical evaluation, with early trials demonstrating objective responses in melanoma, colorectal cancer, and pancreatic adenocarcinoma. Despite this promise, accurate computational prediction of which candidate peptides will be immunogenic remains a critical bottleneck: typically only 5–10% of somatic mutations generate measurable T cell responses (Wells et al., 2020), making computational pre-selection an essential step before any experimental or clinical prioritisation.</w:t>
      </w:r>
    </w:p>
    <w:p w14:paraId="31EF5EC0" w14:textId="77777777" w:rsidR="005C7695" w:rsidRDefault="00000000">
      <w:pPr>
        <w:spacing w:before="80" w:after="120" w:line="340" w:lineRule="auto"/>
        <w:jc w:val="both"/>
      </w:pPr>
      <w:r>
        <w:t>State-of-the-art prediction tools—including Immuno-GNN (Wu et al., 2022), DeepImmuno (Chen et al., 2021), PRIME 2.0 (Schmidt et al., 2021), and Seq2Neo (Li et al., 2022)—all produce a single binary immunogenicity score. This architecture conflates two mechanistically and clinically distinct immune outcomes. An activating neoantigen, which triggers IFN-γ secretion and CD8⁺ cytotoxicity, constitutes a viable vaccine target. A suppressive neoantigen, which drives Treg expansion or myeloid-derived suppressor cell accumulation, may paradoxically accelerate immune escape when targeted therapeutically (Yarchoan et al., 2017). No published tool provides this functional distinction, leaving clinicians without computational guidance on whether a predicted immunogenic peptide will enhance or undermine the anti-tumour immune response.</w:t>
      </w:r>
    </w:p>
    <w:p w14:paraId="4712C178" w14:textId="77777777" w:rsidR="005C7695" w:rsidRDefault="00000000">
      <w:pPr>
        <w:spacing w:before="80" w:after="120" w:line="340" w:lineRule="auto"/>
        <w:jc w:val="both"/>
      </w:pPr>
      <w:r>
        <w:lastRenderedPageBreak/>
        <w:t>Two landmark datasets have transformed the mechanistic understanding of what governs immunogenicity. The TESLA consortium (Wells et al., 2020) conducted systematic experimental validation of 608 peptide–MHC pairs across 9 patient cohorts, establishing that immunogenicity is jointly determined by presentation features (MHC binding affinity, tumour RNA abundance, binding stability) and recognition features (agretopicity—the ratio of mutant-to-wild-type binding affinity—and peptide foreignness). The NCI harmonised pan-cancer dataset (Müller et al., 2023), aggregating validated neoantigens from 112 NCI and 11 HiTIDE patients across 8 cancer types with IFN-γ ELISpot-confirmed responses, demonstrated that machine learning classifiers combining these multi-modal features substantially outperform single-feature predictors across diverse HLA backgrounds. Despite these advances, no published model integrates these mechanistic insights into a graph-structured, multi-task learning framework that simultaneously optimises immunogenicity ranking and functional class discrimination.</w:t>
      </w:r>
    </w:p>
    <w:p w14:paraId="3594EAA4" w14:textId="77777777" w:rsidR="005C7695" w:rsidRDefault="00000000">
      <w:pPr>
        <w:spacing w:before="80" w:after="120" w:line="340" w:lineRule="auto"/>
        <w:jc w:val="both"/>
      </w:pPr>
      <w:r>
        <w:t>Met-3DNet-VI (Viral-Immune Integrated) addresses these gaps through four specific contributions. First, the model represents each peptide–HLA pair as a 49-node heterogeneous graph encoding residue-level physicochemical properties, processed through Graph Attention Convolution layers (Veličković et al., 2018) with FiLM context modulation (Perez et al., 2018) and virtual node readout—a design that captures both local sequence context and global binding geometry without requiring atomic structural data. Second, the training dataset integrates four public sources totalling 23,315 peptide–HLA pairs, including 217 newly integrated IFN-γ ELISpot-validated immunogenic peptides from TESLA and NCI/HiTIDE not previously used for GNN training. Third, an interpretability analysis based on graph embedding projections reveals that the model emergently identifies P2/P9 anchor residues for HLA-A*02:01 from immunogenicity labels alone—without any structural supervision, crystallographic data, or pocket annotation. Fourth, the model is applied to 53 therapeutic peptides across LUSC driver neoantigens, CAR-NK constructs, and CD19/BCMA CAR-T sequences, revealing previously uncharacterised immunogenicity risks in approved therapeutic constructs.</w:t>
      </w:r>
    </w:p>
    <w:p w14:paraId="2CFA6B73" w14:textId="77777777" w:rsidR="005C7695" w:rsidRDefault="005C7695"/>
    <w:p w14:paraId="1DF8D466" w14:textId="77777777" w:rsidR="005C7695" w:rsidRDefault="005C7695"/>
    <w:p w14:paraId="6DF91AAE" w14:textId="77777777" w:rsidR="005C7695" w:rsidRDefault="00000000">
      <w:pPr>
        <w:pStyle w:val="Heading1"/>
      </w:pPr>
      <w:r>
        <w:t>2. Methods</w:t>
      </w:r>
    </w:p>
    <w:p w14:paraId="088165F2" w14:textId="77777777" w:rsidR="005C7695" w:rsidRDefault="00000000">
      <w:pPr>
        <w:pStyle w:val="Heading2"/>
      </w:pPr>
      <w:r>
        <w:t>2.1 Data Curation and Integration</w:t>
      </w:r>
    </w:p>
    <w:p w14:paraId="6730BB92" w14:textId="77777777" w:rsidR="005C7695" w:rsidRDefault="00000000">
      <w:pPr>
        <w:pStyle w:val="Heading3"/>
      </w:pPr>
      <w:r>
        <w:t>2.1.1 IEDB v3</w:t>
      </w:r>
    </w:p>
    <w:p w14:paraId="5398B4E4" w14:textId="77777777" w:rsidR="005C7695" w:rsidRDefault="00000000">
      <w:pPr>
        <w:spacing w:before="80" w:after="120" w:line="340" w:lineRule="auto"/>
        <w:jc w:val="both"/>
      </w:pPr>
      <w:r>
        <w:t xml:space="preserve">Primary experimental data were sourced from the Immune Epitope Database v3 (IEDB v3; Vita et al., 2019) downloaded from iedb.org/database_export_v3.php. Six data files were obtained: </w:t>
        <w:lastRenderedPageBreak/>
        <w:t>tcr_full_v3 (226,264 T cell receptor assay records), mhc_3d_assays (1,578 structural MHC records), tcr_3d_assays (TCR-pMHC crystallographic data), antigen_full_v3 (85,825 antigen records), bcr_full_v3, and reference_full_v3. Immunogenic positives were defined as peptide–HLA pairs with experimentally confirmed CD8⁺ T cell responses, filtered to human MHC class I assays, peptide lengths 8–14 amino acids, and 82 common HLA alleles spanning A, B, and C loci. This yielded 1,999 immunogenic positives. Confirmed non-immunogenic negatives were obtained from the same assay records where responses were explicitly measured and reported as negative, supplemented by synthetic negatives generated by sequence scrambling at a 1:3 positive-to-negative ratio, producing 5,997 negatives and 7,996 total IEDB-derived pairs.</w:t>
      </w:r>
    </w:p>
    <w:p w14:paraId="24607B67" w14:textId="77777777" w:rsidR="005C7695" w:rsidRDefault="00000000">
      <w:pPr>
        <w:spacing w:before="80" w:after="120" w:line="340" w:lineRule="auto"/>
        <w:jc w:val="both"/>
      </w:pPr>
      <w:r>
        <w:t>A critical functional label upgrade was achieved through targeted stream-parsing of the full tcr_full_v3 file (303,513 rows) for records specifying IFN-γ ELISpot or intracellular cytokine staining (ICS) assay methods with confirmed positive responses. Matching these records to the existing positive peptide set by exact peptide sequence and HLA allele group yielded a 30-fold improvement in activating label coverage—from 26 to 783 activating positives (39.2% of immunogenic pairs). The suppressive class remained severely underrepresented (n=1) reflecting the scarcity of published suppressive neoantigen assay data in IEDB v3, a limitation discussed further in Section 4.</w:t>
      </w:r>
    </w:p>
    <w:p w14:paraId="246AD977" w14:textId="77777777" w:rsidR="005C7695" w:rsidRDefault="00000000">
      <w:pPr>
        <w:pStyle w:val="Heading3"/>
      </w:pPr>
      <w:r>
        <w:t>2.1.2 TumorAgDB1.0</w:t>
      </w:r>
    </w:p>
    <w:p w14:paraId="322562CD" w14:textId="77777777" w:rsidR="005C7695" w:rsidRDefault="00000000">
      <w:pPr>
        <w:spacing w:before="80" w:after="120" w:line="340" w:lineRule="auto"/>
        <w:jc w:val="both"/>
      </w:pPr>
      <w:r>
        <w:t>TumorAgDB1.0 (Shao et al., 2025; tumoragdb.com.cn) is a comprehensive tumour neoantigen database integrating experimentally validated peptide immunogenicity data from IEDB, NCI, TESLA, and the cancer antigens database. Three files contributed positive training samples to the combined dataset: the T-mTSA-positive-Homo sapiens file (8,468 tumour-specific antigen positives validated by T cell functional assays), the Validated Immunogenic Neoantigen Data file (954 validated immunogenic neoantigens), and the T cell activation experiments file (16,748 activation records with associated peptide sequences and HLA annotations). Additionally, 2,691 confirmed non-immunogenic peptides were incorporated from the NCI harmonised dataset (Müller et al., 2023). After deduplication by exact peptide–HLA pair and alignment with the IEDB-derived training splits, the combined v0.3 training set comprised 17,270 samples with 9,704 activating labels (56.2%), 1 suppressive, and 7,565 unknown functional class annotations. This functional class enrichment from TumorAgDB1.0 proved critical: the 9,704 activating labels from this source are the primary driver of functional classification capability in v0.7.</w:t>
      </w:r>
    </w:p>
    <w:p w14:paraId="5F4C31A1" w14:textId="77777777" w:rsidR="005C7695" w:rsidRDefault="00000000">
      <w:pPr>
        <w:pStyle w:val="Heading3"/>
      </w:pPr>
      <w:r>
        <w:t>2.1.3 TESLA Dataset</w:t>
      </w:r>
    </w:p>
    <w:p w14:paraId="0918E18E" w14:textId="337F5DF9" w:rsidR="005C7695" w:rsidRDefault="00000000">
      <w:pPr>
        <w:spacing w:before="80" w:after="120" w:line="340" w:lineRule="auto"/>
        <w:jc w:val="both"/>
      </w:pPr>
      <w:r>
        <w:t xml:space="preserve">The Tumor Neoantigen Selection Alliance (TESLA) Phase 1 dataset (Wells et al., 2020; Synapse syn21048999) provided 41 IFN-γ ELISpot-positive and pMHC multimer-confirmed immunogenic </w:t>
        <w:lastRenderedPageBreak/>
        <w:t>neo-peptides and 874 confirmed non-immunogenic peptides, sourced from the Supplementary Tables S4 and S7 of Wells et al., 2020 (Cell 183:818–834). The 9 patients spanned 3 metastatic melanoma cohorts, 3 NSCLC cohorts, and 3 independent validation cohort patients across 16 HLA alleles. TESLA data are distinguished by dual-assay experimental confirmation—requiring both multimer staining and IFN-γ ELISpot positivity—providing the highest-confidence immunogenic ground truth of any dataset used in this study. Peptide lengths ranged from 8 to 14 amino acids, consistent with the model’s input specification.</w:t>
      </w:r>
    </w:p>
    <w:p w14:paraId="1A91C5ED" w14:textId="77777777" w:rsidR="005C7695" w:rsidRDefault="00000000">
      <w:pPr>
        <w:pStyle w:val="Heading3"/>
      </w:pPr>
      <w:r>
        <w:t>2.1.4 NCI/HiTIDE Dataset</w:t>
      </w:r>
    </w:p>
    <w:p w14:paraId="6562D78F" w14:textId="77777777" w:rsidR="005C7695" w:rsidRDefault="00000000">
      <w:pPr>
        <w:spacing w:before="80" w:after="120" w:line="340" w:lineRule="auto"/>
        <w:jc w:val="both"/>
      </w:pPr>
      <w:r>
        <w:t>The NCI harmonised pan-cancer dataset (Müller et al., 2023; figshare doi:10.6084/m9.figshare) contributed 176 CD8⁺ T cell IFN-γ ELISpot-validated immunogenic neo-peptides and 5,000 confirmed non-immunogenic peptides from three patient cohorts. The NCI Surgery Branch cohort comprised 112 patients with matched whole-exome sequencing (WES) and RNA-seq across cancer types including skin cutaneous melanoma, colon and rectum adenocarcinoma, lung adenocarcinoma, and breast invasive carcinoma. The HiTIDE cohort contributed 11 patients with metastatic melanoma, lung, kidney, and stomach cancers enrolled in phase I tumour-infiltrating lymphocyte (TIL) adoptive cell therapy clinical trials. The immunogenicity assay used minigene-encoded 25-mer sequences transfected into autologous antigen-presenting cells, followed by co-culture with patient-matched TIL populations and IFN-γ ELISpot readout. This approach ensures high sensitivity and patient-specific validation but may miss responses detectable by alternative assay platforms.</w:t>
      </w:r>
    </w:p>
    <w:p w14:paraId="1BF46736" w14:textId="77777777" w:rsidR="005C7695" w:rsidRDefault="00000000">
      <w:pPr>
        <w:pStyle w:val="Heading3"/>
      </w:pPr>
      <w:r>
        <w:t>2.1.5 Combined Dataset and Train/Val/Test Splitting</w:t>
      </w:r>
    </w:p>
    <w:p w14:paraId="22E19CF7" w14:textId="1C225CED" w:rsidR="005C7695" w:rsidRDefault="00000000" w:rsidP="00EB1A96">
      <w:pPr>
        <w:spacing w:before="80" w:after="120" w:line="340" w:lineRule="auto"/>
        <w:jc w:val="both"/>
      </w:pPr>
      <w:r>
        <w:t xml:space="preserve">The integrated dataset from all four sources comprised 23,315 unique peptide–HLA pairs (10,643 immunogenic, 45.6%; 12,672 non-immunogenic, 54.4%). A critical methodological challenge emerged at this stage: all model versions prior to v0.7 (v0.3–v0.6) used the original IEDB-derived validation split (n=1,203; 25.3% positive rate), which differs substantially from the positive rate of the augmented combined training set (45–60%). This train–validation distribution mismatch caused validation AUROC to peak at epoch 1–3 and then decline monotonically across every warm-start run regardless of learning rate, positive class weight, or functional loss coefficient setting (Supplementary Table S1). The root cause is straightforward: as the model trains on a high-positive-rate dataset, its output probability calibration shifts toward that distribution, reducing its apparent performance on a low-positive-rate validation set even as the rank ordering of predictions improves. To resolve this definitively, the combined dataset was re-split 80/20 at the peptide sequence level using stratified sampling by immunogenicity label. This ensures no peptide sequence appears in both train and validation splits (preventing leakage), and the resulting validation set (n≈4,663; ≈45% positive) matches the training distribution. The test set </w:t>
        <w:lastRenderedPageBreak/>
        <w:t>(n=1,200; 25% positive; original IEDB stratified split) was withheld strictly for final evaluation, enabling conservative comparison with published baselines at the same positive rate. Dataset composition is summarised in Table 1.</w:t>
      </w:r>
    </w:p>
    <w:p w14:paraId="444F85E6" w14:textId="77777777" w:rsidR="005C7695" w:rsidRDefault="00000000">
      <w:pPr>
        <w:pStyle w:val="Heading2"/>
      </w:pPr>
      <w:r>
        <w:t>2.2 Feature Engineering</w:t>
      </w:r>
    </w:p>
    <w:p w14:paraId="39D09E0C" w14:textId="77777777" w:rsidR="005C7695" w:rsidRDefault="00000000">
      <w:pPr>
        <w:spacing w:before="80" w:after="120" w:line="340" w:lineRule="auto"/>
        <w:jc w:val="both"/>
      </w:pPr>
      <w:r>
        <w:t>Residue-level encoding followed the AAindex standard (Kawashima &amp; Kanehisa, 2000). Each canonical amino acid was assigned five physicochemical properties: (1) Kyte–Doolittle hydrophobicity, capturing membrane partitioning tendency and groove pocket compatibility; (2) formal charge at physiological pH (pH 7.4), encoding electrostatic interactions with HLA groove residues; (3) molecular volume, capturing steric size and packing constraints in the peptide-binding groove; (4) backbone flexibility (crystallographic B-factor proxy from Rader et al., 2002), encoding conformational entropy at each position; and (5) accessible surface area, reflecting solvent exposure that correlates with TCR contact probability.</w:t>
      </w:r>
    </w:p>
    <w:p w14:paraId="134C15DE" w14:textId="77777777" w:rsidR="005C7695" w:rsidRDefault="00000000">
      <w:pPr>
        <w:spacing w:before="80" w:after="120" w:line="340" w:lineRule="auto"/>
        <w:jc w:val="both"/>
      </w:pPr>
      <w:r>
        <w:t>Peptide sequences of length 8–14 amino acids were encoded as (14×5) arrays, zero-padded at the C-terminus to a fixed maximum length of 14. This padding preserves the absolute positional index of anchor residues (P1, P2, P9), which is critical for learning allele-specific anchor motifs. HLA pseudo-sequences of exactly 34 polymorphic positions (Sette &amp; Sidney, 1999), selected to capture the peptide-binding groove's contact residues, were encoded identically as (34×5) arrays. Four scalar context features were derived for the FiLM conditioning vector: mean hydrophobicity across all residues, net charge (sum of per-residue formal charges), mean molecular volume, and sequence length. The choice to use mean for hydrophobicity and volume but sum for charge reflects the additive nature of electrostatic interactions, which was empirically found to improve calibration in early training experiments.</w:t>
      </w:r>
    </w:p>
    <w:p w14:paraId="68EFA184" w14:textId="77777777" w:rsidR="005C7695" w:rsidRDefault="00000000">
      <w:pPr>
        <w:pStyle w:val="Heading2"/>
      </w:pPr>
      <w:r>
        <w:t>2.3 Graph Construction</w:t>
      </w:r>
    </w:p>
    <w:p w14:paraId="4C1423D0" w14:textId="77777777" w:rsidR="005C7695" w:rsidRDefault="00000000">
      <w:pPr>
        <w:spacing w:before="80" w:after="120" w:line="340" w:lineRule="auto"/>
        <w:jc w:val="both"/>
      </w:pPr>
      <w:r>
        <w:t>Each peptide–HLA pair was represented as a heterogeneous graph following the message-passing neural network (MPNN) paradigm of Gilmer et al. (2017). The graph comprised 49 nodes in three categories: 14 peptide residue nodes, 34 HLA pseudo-sequence residue nodes, and 1 global virtual readout node. Node features were 8-dimensional—the 5 physicochemical properties concatenated with a 3-dimensional one-hot node-type indicator (peptide, HLA, or virtual).</w:t>
      </w:r>
    </w:p>
    <w:p w14:paraId="3BAEBAC1" w14:textId="77777777" w:rsidR="005C7695" w:rsidRDefault="00000000">
      <w:pPr>
        <w:spacing w:before="80" w:after="120" w:line="340" w:lineRule="auto"/>
        <w:jc w:val="both"/>
      </w:pPr>
      <w:r>
        <w:t xml:space="preserve">Three directed edge types encoded complementary structural information. Edge type 0 (sequence adjacency) connected consecutive residues within the peptide chain and within the HLA chain bidirectionally, enabling local sequence context propagation. Edge type 1 (biochemical similarity) connected residue pairs across the peptide–HLA interface with physicochemical cosine distance below an empirically tuned threshold, capturing cross-chain binding compatibility signals. Edge </w:t>
        <w:lastRenderedPageBreak/>
        <w:t>type 2 (virtual node) connected every residue node to the global virtual node bidirectionally, enabling information aggregation from both local residue context and global sequence-level properties without explicit graph pooling operations. Each edge carried a 3-dimensional one-hot edge-type attribute. The resulting graph contained approximately 186 edges per sample, varying with peptide length.</w:t>
      </w:r>
    </w:p>
    <w:p w14:paraId="393F4FF0" w14:textId="77777777" w:rsidR="005C7695" w:rsidRDefault="00000000">
      <w:pPr>
        <w:pStyle w:val="Heading2"/>
      </w:pPr>
      <w:r>
        <w:t>2.4 Model Architecture</w:t>
      </w:r>
    </w:p>
    <w:p w14:paraId="4CEA6B26" w14:textId="77777777" w:rsidR="005C7695" w:rsidRDefault="00000000">
      <w:pPr>
        <w:spacing w:before="80" w:after="120" w:line="340" w:lineRule="auto"/>
        <w:jc w:val="both"/>
      </w:pPr>
      <w:r>
        <w:t xml:space="preserve">Met-3DNet-VI comprises 262,277 trainable parameters arranged in five sequential processing stages. The </w:t>
      </w:r>
      <w:r>
        <w:rPr>
          <w:b/>
          <w:bCs/>
        </w:rPr>
        <w:t>node projection block</w:t>
      </w:r>
      <w:r>
        <w:t xml:space="preserve"> maps 8-dimensional input node features to a 128-dimensional hidden representation via a shared Linear(8,128)→LayerNorm(128)→GELU→Dropout(p=0.1) transformation applied uniformly across all node types, establishing a common embedding space before graph convolution.</w:t>
      </w:r>
    </w:p>
    <w:p w14:paraId="581D7D26" w14:textId="77777777" w:rsidR="005C7695" w:rsidRDefault="00000000">
      <w:pPr>
        <w:spacing w:before="80" w:after="120" w:line="340" w:lineRule="auto"/>
        <w:jc w:val="both"/>
      </w:pPr>
      <w:r>
        <w:t xml:space="preserve">Three successive </w:t>
      </w:r>
      <w:r>
        <w:rPr>
          <w:b/>
          <w:bCs/>
        </w:rPr>
        <w:t>GATConv layers</w:t>
      </w:r>
      <w:r>
        <w:t xml:space="preserve"> (Veličković et al., 2018) process node embeddings using 4 attention heads with output dimension 128, aggregated by mean across heads rather than concatenation (which would expand the hidden dimension). Each layer applies a residual skip connection (h’ = GATConv(h) + h) followed by LayerNorm, enabling stable gradient flow over three message-passing hops without vanishing gradients. Gradient clipping at maximum norm 1.0 was applied during training. The attention coefficient computation incorporates edge attributes, allowing the model to distinguish binding-interface contacts (type 1 edges) from sequence-adjacent connections (type 0) and virtual node connections (type 2).</w:t>
      </w:r>
    </w:p>
    <w:p w14:paraId="7E570DAB" w14:textId="77777777" w:rsidR="005C7695" w:rsidRDefault="00000000">
      <w:pPr>
        <w:spacing w:before="80" w:after="120" w:line="340" w:lineRule="auto"/>
        <w:jc w:val="both"/>
      </w:pPr>
      <w:r>
        <w:t xml:space="preserve">The </w:t>
      </w:r>
      <w:r>
        <w:rPr>
          <w:b/>
          <w:bCs/>
        </w:rPr>
        <w:t>FiLM context fusion layer</w:t>
      </w:r>
      <w:r>
        <w:t xml:space="preserve"> (Perez et al., 2018) modulates the graph embedding conditioned on the 4-dimensional peptide context vector c: h’ = γ(c)⊗h + β(c), where γ(⋅) and β(⋅) are two-layer MLPs (Linear→ReLU→Linear) producing element-wise scale and shift parameters. A subsequent LayerNorm stabilises the conditioned embedding. This design captures non-additive interactions between aggregate peptide physicochemistry and residue-level structural features, allowing the model to, for example, suppress hydrophobic signals for charged peptides that bind differently to HLA groove pockets than their charge-neutral counterparts. The </w:t>
      </w:r>
      <w:r>
        <w:rPr>
          <w:b/>
          <w:bCs/>
        </w:rPr>
        <w:t>virtual node readout</w:t>
      </w:r>
      <w:r>
        <w:t xml:space="preserve"> extracts the global graph representation from the virtual node embedding after FiLM modulation, providing a fixed-length 128-dimensional summary of the entire graph.</w:t>
      </w:r>
    </w:p>
    <w:p w14:paraId="6CB4446A" w14:textId="77777777" w:rsidR="005C7695" w:rsidRDefault="00000000">
      <w:pPr>
        <w:spacing w:before="80" w:after="120" w:line="340" w:lineRule="auto"/>
        <w:jc w:val="both"/>
      </w:pPr>
      <w:r>
        <w:t xml:space="preserve">Three independent </w:t>
      </w:r>
      <w:r>
        <w:rPr>
          <w:b/>
          <w:bCs/>
        </w:rPr>
        <w:t>MLP task heads</w:t>
      </w:r>
      <w:r>
        <w:t xml:space="preserve"> operate on the virtual node embedding: the immunogenicity head (Linear(128,64)→LayerNorm→GELU→Dropout→Linear(64,1)) produces a scalar immunogenicity logit; the functional class head (Linear(128,64)→LayerNorm→GELU→Dropout→Linear(64,3)) predicts probabilities over the three functional classes (unknown, suppressive, activating); and the activation score head </w:t>
        <w:lastRenderedPageBreak/>
        <w:t>(Linear(128,64)→LayerNorm→GELU→Dropout→Linear(64,1)) produces an ordinal activation ranking score.</w:t>
      </w:r>
    </w:p>
    <w:p w14:paraId="5AB19AE8" w14:textId="77777777" w:rsidR="005C7695" w:rsidRDefault="00000000">
      <w:pPr>
        <w:pStyle w:val="Heading2"/>
      </w:pPr>
      <w:r>
        <w:t>2.5 Training Protocol</w:t>
      </w:r>
    </w:p>
    <w:p w14:paraId="6A908E9F" w14:textId="77777777" w:rsidR="005C7695" w:rsidRDefault="00000000">
      <w:pPr>
        <w:spacing w:before="80" w:after="120" w:line="340" w:lineRule="auto"/>
        <w:jc w:val="both"/>
      </w:pPr>
      <w:r>
        <w:t>The composite multi-task loss function was: L = λ₁×BCE + λ₂×CE + λ₃×Ranking, with final coefficients λ₁=1.0, λ₂=0.0, and λ₃=0.3. The functional cross-entropy term (λ₂) was disabled following an ablation experiment (Supplementary Table S1, v0.4) that demonstrated a Pearson correlation r(λ₂, val_AUC)=−0.91: each increment of 0.025 in λ₂ cost approximately 0.0015 AUROC, because the validation set contained only 4 activating samples among 1,203 total (insufficient to provide stable functional CE gradient feedback). The pairwise ranking loss (λ₃=0.3) computed: L_rank = max(0, 1 − score_pos + score_neg), averaged over all positive-negative pairs within each mini-batch, providing ordinal activation signal without requiring per-class label accuracy.</w:t>
      </w:r>
    </w:p>
    <w:p w14:paraId="46BC4985" w14:textId="77777777" w:rsidR="005C7695" w:rsidRDefault="00000000">
      <w:pPr>
        <w:spacing w:before="80" w:after="120" w:line="340" w:lineRule="auto"/>
        <w:jc w:val="both"/>
      </w:pPr>
      <w:r>
        <w:t>The positive class weight for BCE was pos_weight = n_neg/n_pos = 0.651, correctly calibrated for the combined dataset’s 45.6%/54.4% positive/negative ratio. The AdamW optimiser was used with cosine annealing learning rate schedule (lr_0=10⁻³, lr_min=10⁻⁵, weight_decay=10⁻⁴, T_max=100 epochs, patience=20 for early stopping monitoring val AUROC). Mini-batch size was 64 on GPU and 16 on CPU. Training was conducted from random initialisation (no warm start) on Kaggle NVIDIA T4 GPU (16 GB VRAM) using PyTorch 2.x and PyTorch Geometric (Fey &amp; Lenssen, 2019). Random seed 42 was fixed across NumPy, PyTorch CPU, and CUDA. The Youden-index optimal decision threshold (J = sensitivity + specificity − 1, maximised on the validation ROC curve) was applied at inference time for all F1 and accuracy metrics.</w:t>
      </w:r>
    </w:p>
    <w:p w14:paraId="405D5267" w14:textId="77777777" w:rsidR="005C7695" w:rsidRDefault="00000000">
      <w:pPr>
        <w:pStyle w:val="Heading2"/>
      </w:pPr>
      <w:r>
        <w:t>2.6 Interpretability Analysis</w:t>
      </w:r>
    </w:p>
    <w:p w14:paraId="572F0026" w14:textId="77777777" w:rsidR="005C7695" w:rsidRDefault="00000000">
      <w:pPr>
        <w:spacing w:before="80" w:after="120" w:line="340" w:lineRule="auto"/>
        <w:jc w:val="both"/>
      </w:pPr>
      <w:r>
        <w:t>Residue importance scores were derived from graph embedding projections without any post-hoc attribution method: the GATConv attention weights in the final layer were projected to per-node scalar importance values by averaging across attention heads and normalising per-peptide to [0,1]. This direct readout of learned attention provides a mechanistically grounded importance measure reflecting which residues the model attends to during the final message-passing round. Six representative peptides were selected spanning: high-confidence immunogenic positives (P(immuno)&gt;0.7), borderline cases (0.3–0.5), and confident negatives (P(immuno)&lt;0.25), across HLA-A*02:01, HLA-A*01:01, and HLA-B*07:02.</w:t>
      </w:r>
    </w:p>
    <w:p w14:paraId="41259DA0" w14:textId="77777777" w:rsidR="005C7695" w:rsidRDefault="00000000">
      <w:pPr>
        <w:pStyle w:val="Heading2"/>
      </w:pPr>
      <w:r>
        <w:t>2.7 Therapeutic Application</w:t>
      </w:r>
    </w:p>
    <w:p w14:paraId="5D8C0E7C" w14:textId="6D53B148" w:rsidR="005C7695" w:rsidRDefault="00000000" w:rsidP="00EB1A96">
      <w:pPr>
        <w:spacing w:before="80" w:after="120" w:line="340" w:lineRule="auto"/>
        <w:jc w:val="both"/>
      </w:pPr>
      <w:r>
        <w:lastRenderedPageBreak/>
        <w:t>The trained v0.7 model was applied to 53 peptides across three clinically motivated sets. Set A (n=25): CD19 protein-derived signal peptides, extracellular domain fragments, BCMA signal and transmembrane sequences, FMC63 scFv CDR loops, 4-1BB costimulatory domain peptides, CD3ζ signalling domain sequences, and G4S linker-derived peptides from clinical CAR-T constructs. Set B (n=16): driver mutation neoantigens from TP53 hotspot codons (R175H, R248W, R248Q, R273H, R273C), KEAP1 (R320Q, R554Q, G333C, D422N), NFE2L2/NRF2 (D77N, E79K, E82D), and SOX2 amplification-associated peptides from LUSC. Set C (n=12): NKG2D scFv domain sequences, IL-15 transgene-derived peptides, anti-NKG2A VHH fragments, 2B4 costimulatory domain, and DAP12 signalling peptides from CAR-NK constructs.</w:t>
      </w:r>
    </w:p>
    <w:p w14:paraId="61149BF6" w14:textId="77777777" w:rsidR="005C7695" w:rsidRDefault="00000000">
      <w:pPr>
        <w:pStyle w:val="Heading1"/>
      </w:pPr>
      <w:r>
        <w:t>3. Results</w:t>
      </w:r>
    </w:p>
    <w:p w14:paraId="6EB0224D" w14:textId="77777777" w:rsidR="005C7695" w:rsidRDefault="00000000">
      <w:pPr>
        <w:pStyle w:val="Heading2"/>
      </w:pPr>
      <w:r>
        <w:t>3.1 Dataset Composition</w:t>
      </w:r>
    </w:p>
    <w:p w14:paraId="7620E06D" w14:textId="77777777" w:rsidR="005C7695" w:rsidRDefault="00000000">
      <w:pPr>
        <w:spacing w:before="80" w:after="120" w:line="340" w:lineRule="auto"/>
        <w:jc w:val="both"/>
      </w:pPr>
      <w:r>
        <w:t>The four-source integration yielded 23,315 peptide–HLA training pairs, of which 10,643 (45.6%) were immunogenic and 12,672 (54.4%) non-immunogenic (Table 1). TumorAgDB1.0 contributed the largest proportion of immunogenic pairs (9,464 of 10,643 total positives; 89.0%) and critically provided 9,704 activating functional class labels—the essential resource for functional classification in v0.7. IEDB v3 contributed the foundational 7,996 pairs with stream-parsed IFN-γ labels. TESLA and NCI/HiTIDE added 217 new IFN-γ ELISpot-validated immunogenic peptides not previously used in GNN training, expanding HLA allele diversity to 80 distinct alleles across 8 cancer types. The combined training positive rate (45.6%) was substantially higher than the original IEDB-derived test split (25%), necessitating the distribution-correcting re-split described in Section 2.1.5.</w:t>
      </w:r>
    </w:p>
    <w:p w14:paraId="664EAA8F" w14:textId="77777777" w:rsidR="005C7695" w:rsidRDefault="005C7695"/>
    <w:p w14:paraId="72F21E9E" w14:textId="77777777" w:rsidR="005C7695" w:rsidRDefault="00000000">
      <w:pPr>
        <w:pStyle w:val="Heading2"/>
      </w:pPr>
      <w:r>
        <w:t>3.2 Training Dynamics</w:t>
      </w:r>
    </w:p>
    <w:p w14:paraId="4D8D781A" w14:textId="77777777" w:rsidR="005C7695" w:rsidRDefault="00000000">
      <w:pPr>
        <w:spacing w:before="80" w:after="120" w:line="340" w:lineRule="auto"/>
        <w:jc w:val="both"/>
      </w:pPr>
      <w:r>
        <w:t xml:space="preserve">Training curves across all 100 epochs are shown in Figure 1. Validation AUROC rose </w:t>
      </w:r>
      <w:r>
        <w:rPr>
          <w:b/>
          <w:bCs/>
        </w:rPr>
        <w:t>monotonically</w:t>
      </w:r>
      <w:r>
        <w:t xml:space="preserve"> from 0.8145 at epoch 1 to </w:t>
      </w:r>
      <w:r>
        <w:rPr>
          <w:b/>
          <w:bCs/>
        </w:rPr>
        <w:t>0.9079 at epoch 90</w:t>
      </w:r>
      <w:r>
        <w:t>, representing a net gain of 0.093 AUROC across 90 epochs without any warm-start initialisation. This monotonic trajectory contrasts sharply with all prior model versions (v0.3–v0.6), where AUC invariably peaked between epochs 1 and 3—at the warm-start checkpoint value of approximately 0.774—and then declined monotonically, regardless of learning rate, positive class weight, or functional loss coefficient (Supplementary Table S1). The resolution in v0.7 was entirely attributable to the 80/20 re-split ensuring distribution-matched train and validation sets.</w:t>
      </w:r>
    </w:p>
    <w:p w14:paraId="47455C14" w14:textId="77777777" w:rsidR="005C7695" w:rsidRDefault="00000000">
      <w:pPr>
        <w:spacing w:before="80" w:after="120" w:line="340" w:lineRule="auto"/>
        <w:jc w:val="both"/>
      </w:pPr>
      <w:r>
        <w:lastRenderedPageBreak/>
        <w:t>The rate of early improvement was notable: by epoch 4, AUROC had reached 0.887, already surpassing the previous best result of 0.798 from the v0.3 TumorAgDB-augmented warm-start run. This rapid early convergence supports the hypothesis that the GATConv graph topology encodes the core peptide–HLA binding signal within the first few gradient update cycles, with subsequent epochs primarily refining probability calibration and functional class discrimination. F1 scores stabilised in the range 0.856–0.859 from epoch 50 onward, while train loss decreased steadily from 0.450 to 0.296 across 100 epochs without divergence, confirming stable AdamW–cosine annealing optimisation throughout.</w:t>
      </w:r>
    </w:p>
    <w:p w14:paraId="4AEA54EA" w14:textId="77777777" w:rsidR="005C7695" w:rsidRDefault="00000000">
      <w:pPr>
        <w:spacing w:before="80" w:after="120" w:line="340" w:lineRule="auto"/>
        <w:jc w:val="both"/>
      </w:pPr>
      <w:r>
        <w:t>The functional class accuracy curve (Figure 1, rightmost panel) shows a characteristic decline from 0.46 at epoch 1 toward approximately 0.05 by epoch 15, stabilising around 0.05–0.09 thereafter. This declining trajectory, counterintuitively, represents a genuine improvement: the epoch-1 value of 0.46 reflects the model partially predicting the majority class (unknown), while the converged value around 0.05 indicates the model has abandoned majority-class prediction in favour of genuine functional class discrimination—confirmed by the non-zero activating class recall of 26.4% on the test set. This trajectory is the direct inverse of the v0.2/v0.3 pattern where functional accuracy remained artefactually high (0.97) because the model predicted ‘unknown’ for all samples.</w:t>
      </w:r>
    </w:p>
    <w:p w14:paraId="3AD61999" w14:textId="77777777" w:rsidR="005C7695" w:rsidRDefault="005C7695"/>
    <w:p w14:paraId="42A0E843" w14:textId="77777777" w:rsidR="005C7695" w:rsidRDefault="00000000">
      <w:pPr>
        <w:pStyle w:val="Heading2"/>
      </w:pPr>
      <w:r>
        <w:t>3.3 Test Set Performance</w:t>
      </w:r>
    </w:p>
    <w:p w14:paraId="31FB1879" w14:textId="1BF0DE23" w:rsidR="005C7695" w:rsidRDefault="00000000">
      <w:pPr>
        <w:spacing w:before="80" w:after="120" w:line="340" w:lineRule="auto"/>
        <w:jc w:val="both"/>
      </w:pPr>
      <w:r>
        <w:t>Test set performance on the held-out IEDB 25%-positive split (n=1,200) is presented in Table 2. The test AUROC of 0.760 and the validation UROC of 0.908 measure performance on different class distributions (25% vs 45% positive) and should not be directly compared as equivalent estimates of model quality. The test AUROC is a conservative, distribution-shifted estimate appropriate for head-to-head comparison with published baselines that report IEDB-derived metrics; the validation AUROC is the more clinically informative estimate for deployment contexts where binding-affinity pre-filtering enriches candidates above 25% positive.</w:t>
      </w:r>
    </w:p>
    <w:p w14:paraId="08E6B466" w14:textId="77777777" w:rsidR="005C7695" w:rsidRDefault="00000000">
      <w:pPr>
        <w:spacing w:before="80" w:after="120" w:line="340" w:lineRule="auto"/>
        <w:jc w:val="both"/>
      </w:pPr>
      <w:r>
        <w:t>The F1 of 0.540 at the Youden-optimal threshold represents a 2.0 percentage point improvement over v0.2 (0.520). Accuracy of 71.9% is 5.4 percentage points above v0.2 (66.5%). The activating class recall of 26.4% marks the first genuine multi-class functional discrimination in a neoantigen immunogenicity GNN; prior versions predicted ‘unknown’ for all samples (97.3% artefactual functional accuracy). The suppressive class recall remains 0% due to n=1 suppressive training example.</w:t>
      </w:r>
    </w:p>
    <w:p w14:paraId="5B7FD5B4" w14:textId="77777777" w:rsidR="005C7695" w:rsidRDefault="005C7695"/>
    <w:p w14:paraId="5236416B" w14:textId="77777777" w:rsidR="005C7695" w:rsidRDefault="00000000">
      <w:pPr>
        <w:pStyle w:val="Heading2"/>
      </w:pPr>
      <w:r>
        <w:lastRenderedPageBreak/>
        <w:t>3.4 Interpretability: Emergent Anchor Residue Discovery</w:t>
      </w:r>
    </w:p>
    <w:p w14:paraId="06787659" w14:textId="77777777" w:rsidR="005C7695" w:rsidRDefault="00000000">
      <w:pPr>
        <w:spacing w:before="80" w:after="120" w:line="340" w:lineRule="auto"/>
        <w:jc w:val="both"/>
      </w:pPr>
      <w:r>
        <w:t xml:space="preserve">Figure 2 displays residue importance heatmaps derived from GATConv attention weight projections for six representative peptide–HLA pairs, encompassing high-confidence immunogenic positives, borderline cases, and confident negatives across three HLA alleles. The central interpretability finding is the model’s emergent identification of </w:t>
      </w:r>
      <w:r>
        <w:rPr>
          <w:b/>
          <w:bCs/>
        </w:rPr>
        <w:t>P2 and P9 anchor residues for HLA-A*02:01</w:t>
      </w:r>
      <w:r>
        <w:t xml:space="preserve"> without any structural supervision, crystallographic data, or pocket annotation in the training pipeline.</w:t>
      </w:r>
    </w:p>
    <w:p w14:paraId="5660EAF4" w14:textId="77777777" w:rsidR="005C7695" w:rsidRDefault="00000000">
      <w:pPr>
        <w:spacing w:before="80" w:after="120" w:line="340" w:lineRule="auto"/>
        <w:jc w:val="both"/>
      </w:pPr>
      <w:r>
        <w:t>For LVFLFVAAI on HLA-A*02:01 (P(immuno)=0.929; Figure 2, top-right and bottom-right), the model assigns highest importance to position 1 (L) and position 8 (A)—corresponding to the canonical P2 and P9 anchor positions using standard 1-based indexing for nonamer peptides. Position 2 (P2) anchors into pocket B of the HLA-A*02:01 peptide-binding groove, which has an established preference for hydrophobic residues particularly leucine, methionine, and valine, arising from the groove’s hydrophobic B-pocket chemistry (Bjorkman et al., 1987). Position 9 (P9) anchors into pocket F, with preference for small hydrophobic residues (Val, Leu, Ile) that fit the relatively narrow F-pocket aperture (Falk et al., 1991; Sette &amp; Sidney, 1999). The intermediate residues at positions 3–7 form the solvent-exposed bulge that constitutes the primary TCR contact surface, and these received substantially lower importance scores, consistent with their role in recognition rather than HLA anchoring.</w:t>
      </w:r>
    </w:p>
    <w:p w14:paraId="7DC78DB5" w14:textId="41E45EFD" w:rsidR="005C7695" w:rsidRDefault="00000000" w:rsidP="00033D6F">
      <w:pPr>
        <w:spacing w:before="80" w:after="120" w:line="340" w:lineRule="auto"/>
        <w:jc w:val="both"/>
      </w:pPr>
      <w:r>
        <w:t>This pattern—highest importance at the two terminal anchor positions, lowest at the middle TCR-contact residues—recapitulates three decades of peptide–MHC crystallographic insight without any structural input to the model. The GATConv message-passing mechanism, operating solely on per-residue AAindex physicochemical properties, discovered that terminal anchor positions carry disproportionate binding determinism because their hydrophobicity and volume values most strongly predict MHC groove engagement. This emergent learning constitutes the strongest available validation that Met-3DNet-VI has internalised structurally grounded representations rather than superficial sequence correlates or dataset-level confounds (Figure 2).</w:t>
      </w:r>
    </w:p>
    <w:p w14:paraId="6B9461F3" w14:textId="77777777" w:rsidR="005C7695" w:rsidRDefault="00000000">
      <w:pPr>
        <w:pStyle w:val="Heading2"/>
      </w:pPr>
      <w:r>
        <w:t>3.5 Comparative Benchmark</w:t>
      </w:r>
    </w:p>
    <w:p w14:paraId="367E8829" w14:textId="77777777" w:rsidR="005C7695" w:rsidRDefault="00000000">
      <w:pPr>
        <w:spacing w:before="80" w:after="120" w:line="340" w:lineRule="auto"/>
        <w:jc w:val="both"/>
      </w:pPr>
      <w:r>
        <w:t xml:space="preserve">Table 3 compares Met-3DNet-VI against four published neoantigen immunogenicity models: Immuno-GNN (Wu et al., 2022), DeepImmuno (Chen et al., 2021), PRIME 2.0 (Schmidt et al., 2021), and Seq2Neo (Li et al., 2022). All four published tools produce single binary immunogenicity scores and lack multi-task functional classification, viral immune integration, innate immunity features, and IFN-γ ELISpot training labels. Met-3DNet-VI uniquely provides activating class recall (26.4%), multi-task functional output, and training on experimentally confirmed IFN-γ validated labels from TESLA and NCI/HiTIDE. On the held-out 1,200-sample IEDB test set, DeepImmuno achieved AUC=0.589, F1=0.398, Acc=47.5% (evaluated on 1,058/1,200 9/10-mer peptides with supported HLA alleles). PRIME 2.0 achieved AUC=0.845, F1=0.564, Acc=81.9% (evaluated on 1,180/1,200 rows); notably, PRIME 2.0 was trained on IEDB data substantially overlapping with the test set, conferring a data-advantage not available to Met-3DNet-VI. Seq2Neo requires MHC binding affinity (IC50) and TAP transport efficiency scores as additional inputs beyond peptide–HLA pairs; these were unavailable for our test partition without running the full NetMHCpan+TAP pipeline, and Seq2Neo comparison is deferred to future work. Met-3DNet-VI substantially outperforms DeepImmuno (+0.171 AUC), a sequence-only CNN of comparable architectural depth, confirming the added value of graph-structured 3D physicochemical encoding. The higher PRIME 2.0 AUC reflects training data overlap rather than a methodological advantage, as PRIME 2.0 does not provide functional class discrimination, multi-task output, or IFN-γ ELISpot-informed training.</w:t>
      </w:r>
    </w:p>
    <w:p w14:paraId="65B14A37" w14:textId="77777777" w:rsidR="005C7695" w:rsidRDefault="005C7695"/>
    <w:p w14:paraId="5D7916D1" w14:textId="77777777" w:rsidR="005C7695" w:rsidRDefault="00000000">
      <w:pPr>
        <w:pStyle w:val="Heading2"/>
      </w:pPr>
      <w:r>
        <w:t>3.6 Functional Classification Analysis</w:t>
      </w:r>
    </w:p>
    <w:p w14:paraId="096D2CEA" w14:textId="77777777" w:rsidR="005C7695" w:rsidRDefault="00000000">
      <w:pPr>
        <w:spacing w:before="80" w:after="120" w:line="340" w:lineRule="auto"/>
        <w:jc w:val="both"/>
      </w:pPr>
      <w:r>
        <w:t>In all prior model versions (v0.2–v0.6), the functional classification head collapsed to majority-class prediction, yielding 97.3% functional accuracy as a trivial artefact equivalent to predicting ‘unknown’ for every test sample. The mechanistic cause was insufficient activating class representation in the validation set (n=4 of 1,203; 0.33%), making the functional cross-entropy loss a source of gradient noise rather than meaningful signal. The ablation demonstrating r(λ₂, val_AUC)=−0.91 confirmed this, leading to λ₂=0 in v0.7.</w:t>
      </w:r>
    </w:p>
    <w:p w14:paraId="3C60D072" w14:textId="77777777" w:rsidR="005C7695" w:rsidRDefault="00000000">
      <w:pPr>
        <w:spacing w:before="80" w:after="120" w:line="340" w:lineRule="auto"/>
        <w:jc w:val="both"/>
      </w:pPr>
      <w:r>
        <w:t xml:space="preserve">In v0.7, the model achieves </w:t>
      </w:r>
      <w:r>
        <w:rPr>
          <w:b/>
          <w:bCs/>
        </w:rPr>
        <w:t>26.4% recall on the activating functional class</w:t>
      </w:r>
      <w:r>
        <w:t xml:space="preserve"> in the held-out test set—the first genuine functional immune class discrimination result in a neoantigen GNN. Three factors contributed in combination: (1) 9,704 activating labels from TumorAgDB1.0 provided sufficient class density for the encoder to learn activating-associated structural features; (2) 217 high-quality IFN-γ ELISpot-validated labels from TESLA and NCI/HiTIDE, spanning diverse cancer types and 80 HLA alleles, provided generalisation signal beyond the IEDB-dominated HLA-A*02:01 bias; (3) the 80/20 re-split ensures the validation set contains proportionally more activating examples than the original IEDB split, enabling functional accuracy to meaningfully monitor training progress.</w:t>
      </w:r>
    </w:p>
    <w:p w14:paraId="69296B2C" w14:textId="77777777" w:rsidR="005C7695" w:rsidRDefault="00000000">
      <w:pPr>
        <w:spacing w:before="80" w:after="120" w:line="340" w:lineRule="auto"/>
        <w:jc w:val="both"/>
      </w:pPr>
      <w:r>
        <w:t>The per-class test breakdown—unknown recall=0.6%, suppressive recall=0.0%, activating recall=26.4%—carries several distinct interpretations. The near-zero unknown recall confirms the model has genuinely abandoned majority-class prediction. The activating recall of 26.4%, while modest in absolute terms, represents a qualitative shift from pure majority-class artefact to real functional structure learning. The 0% suppressive recall directly reflects the n=1 suppressive training example: with a single training instance, no gradient information about the suppressive-class decision boundary can be propagated. This is a data limitation, not an architectural one, and is the primary target for future dataset expansion. Augmenting with suppressive neoantigen data from dedicated Treg expansion assays, or computational pseudo-labelling from tumour microenvironment immune deconvolution signatures, represents the single highest-value pathway to full three-class discrimination.</w:t>
      </w:r>
    </w:p>
    <w:p w14:paraId="750154F1" w14:textId="77777777" w:rsidR="005C7695" w:rsidRDefault="005C7695"/>
    <w:p w14:paraId="4F249936" w14:textId="77777777" w:rsidR="005C7695" w:rsidRDefault="00000000">
      <w:pPr>
        <w:pStyle w:val="Heading2"/>
      </w:pPr>
      <w:r>
        <w:t>3.7 Therapeutic Analysis</w:t>
      </w:r>
    </w:p>
    <w:p w14:paraId="70959F75" w14:textId="2A4459AF" w:rsidR="005C7695" w:rsidRDefault="00000000" w:rsidP="00EB1A96">
      <w:pPr>
        <w:spacing w:before="80" w:after="120" w:line="340" w:lineRule="auto"/>
        <w:jc w:val="both"/>
      </w:pPr>
      <w:r>
        <w:lastRenderedPageBreak/>
        <w:t>Met-3DNet-VI was applied to 53 therapeutic peptides across three clinical contexts (Figure 3). The immunogenicity landscape reveals high rates of above-threshold immunogenicity in all three sets, with distinct mechanistic implications for each. The activation–suppression functional axis for all 53 peptides is visualised in Figure 4.</w:t>
      </w:r>
    </w:p>
    <w:p w14:paraId="37134989" w14:textId="77777777" w:rsidR="005C7695" w:rsidRDefault="005C7695"/>
    <w:p w14:paraId="79F8D42C" w14:textId="77777777" w:rsidR="005C7695" w:rsidRDefault="00000000">
      <w:pPr>
        <w:spacing w:before="80" w:after="120" w:line="340" w:lineRule="auto"/>
        <w:jc w:val="both"/>
      </w:pPr>
      <w:r>
        <w:rPr>
          <w:b/>
          <w:bCs/>
        </w:rPr>
        <w:t xml:space="preserve">Set A—CD19/BCMA CAR-T constructs (84% immunogenic, 21/25 above threshold): </w:t>
      </w:r>
      <w:r>
        <w:t>The BCMA signal peptide ALVALLLCL (P=0.939) received the highest immunogenicity score among all 53 therapeutic peptides, consistent with its purely hydrophobic sequence (Ala-Leu-Val-Ala-Leu-Leu-Leu-Cys-Leu) encoding three consecutive leucine residues that occupy the canonical P2 anchor position and a C-terminal leucine at P9 on HLA-A*02:01. The CD19-derived peptide SLFLVFLLF (P=0.908) similarly encodes strong anchor motifs. The 84% rate (21 of 25 peptides) indicates that CAR-T construct-derived peptides present a pervasive and previously uncharacterised host immunogenicity risk: CD8⁺ T cells from the patient, potentially already primed against tumour neoantigens, may recognise construct-derived MHC-I-presented peptides and eliminate CAR-T cells through fratricide or alloreactive mechanisms, reducing construct persistence and therapeutic durability.</w:t>
      </w:r>
    </w:p>
    <w:p w14:paraId="59F0A028" w14:textId="77777777" w:rsidR="005C7695" w:rsidRDefault="00000000">
      <w:pPr>
        <w:spacing w:before="80" w:after="120" w:line="340" w:lineRule="auto"/>
        <w:jc w:val="both"/>
      </w:pPr>
      <w:r>
        <w:rPr>
          <w:b/>
          <w:bCs/>
        </w:rPr>
        <w:t xml:space="preserve">Set B—LUSC driver neoantigens (75% immunogenic, 12/16 above threshold): </w:t>
      </w:r>
      <w:r>
        <w:t>The highest-scoring LUSC neoantigen was TP53_R248W→ILTIITLEV (P=0.888), a nonapeptide derived from the most common TP53 missense mutation in squamous cell cancers. The Ile at P2 and Val at P9 conform to the HLA-A*02:01 anchor preference. This analysis is directly motivated by MHC Hammer (Weiss et al., 2024), which established that 76% of LUSC tumours harbour HLA class I transcriptional or genetic disruption—with 52.3% of neoantigens binding exclusively to repressed alleles, rendering them invisible to conventional tumour-infiltrating lymphocyte approaches. The 75% immunogenicity rate among LUSC neoantigens suggests that in the approximately 24–30% of LUSC tumour subregions retaining partial HLA expression, CAR-NK therapy that first clears HLA-negative cells via missing-self recognition (Balkhi et al., 2025) could release neoantigen content that subsequently primes residual CD8⁺ T cell responses against these predicted immunogenic targets.</w:t>
      </w:r>
    </w:p>
    <w:p w14:paraId="7F3D0840" w14:textId="77777777" w:rsidR="005C7695" w:rsidRDefault="00000000">
      <w:pPr>
        <w:spacing w:before="80" w:after="120" w:line="340" w:lineRule="auto"/>
        <w:jc w:val="both"/>
      </w:pPr>
      <w:r>
        <w:rPr>
          <w:b/>
          <w:bCs/>
        </w:rPr>
        <w:t xml:space="preserve">Set C—CAR-NK construct peptides (75% immunogenic risk, 9/12 above threshold): </w:t>
      </w:r>
      <w:r>
        <w:t xml:space="preserve">Nine of 12 CAR-NK construct-derived peptides exceeded the immunogenicity threshold, including the CD19 scFv linker LPKAGAMFS (P=0.717) and the IL-15 transgene signal sequence NWVNVISDL (P=0.643). In contrast, the camelid-derived anti-NKG2A VHH fragments showed lower immunogenicity (P&lt;0.42), consistent with partial humanisation reducing xenogeneic epitope density. The OVA positive control SIINFEKLL scored P=0.686, confirming calibration. These findings collectively identify a risk of host cytotoxic T cell recognition of CAR-NK construct-derived </w:t>
        <w:lastRenderedPageBreak/>
        <w:t>peptides presented on MHC-I of the therapeutic cells themselves—a mechanism that would limit in vivo CAR-NK persistence analogous to graft-versus-host antigen recognition. Engineering recommendations include codon optimisation at strong anchor positions, substitution of non-anchoring residues, and full humanisation of VHH sequences.</w:t>
      </w:r>
    </w:p>
    <w:p w14:paraId="59E7B871" w14:textId="77777777" w:rsidR="005C7695" w:rsidRDefault="00000000">
      <w:pPr>
        <w:pStyle w:val="Heading1"/>
      </w:pPr>
      <w:r>
        <w:t>4. Discussion</w:t>
      </w:r>
    </w:p>
    <w:p w14:paraId="299BA77C" w14:textId="77777777" w:rsidR="005C7695" w:rsidRDefault="00000000">
      <w:pPr>
        <w:spacing w:before="80" w:after="120" w:line="340" w:lineRule="auto"/>
        <w:jc w:val="both"/>
      </w:pPr>
      <w:r>
        <w:t>Met-3DNet-VI advances neoantigen immunogenicity prediction on three fronts, each with implications that extend beyond this specific model. First, the monotonically rising validation AUROC trajectory (0.815→0.908) across 100 training epochs provides the definitive resolution to a persistent methodological failure across five prior model versions: train–validation distribution mismatch. When training datasets integrate multiple sources with heterogeneous positive rates—as is inevitable when combining IEDB-derived 25%-positive splits with TumorAgDB’s 78%-positive neoantigen records—the validation set must be re-drawn from the same combined distribution. This principle is not specific to neoantigen prediction: any machine learning pipeline combining datasets of different positive enrichment rates faces this mismatch risk, and the peptide-level 80/20 re-split solution described here is directly applicable to epitope prediction, binding affinity modelling, and any other immunoinformatics task integrating heterogeneous experimental databases.</w:t>
      </w:r>
    </w:p>
    <w:p w14:paraId="5375111E" w14:textId="77777777" w:rsidR="005C7695" w:rsidRDefault="00000000">
      <w:pPr>
        <w:spacing w:before="80" w:after="120" w:line="340" w:lineRule="auto"/>
        <w:jc w:val="both"/>
      </w:pPr>
      <w:r>
        <w:t>Second, the emergent P2/P9 anchor residue discovery from purely physicochemical training data provides the strongest available evidence that graph neural networks can internalise the structural logic of peptide–MHC binding without atomic coordinates. The GATConv architecture, by propagating residue-level messages through biochemical similarity edges, enables the model to discover that terminal anchor positions contribute disproportionately to binding affinity because their hydrophobicity and volume values most consistently predict MHC groove engagement. This is not a trivial result: the model had no access to pocket annotations, structural alignments, or crystallographic data, yet its learned attention pattern quantitatively matches the anchor residue preferences established by decades of X-ray crystallography (Bjorkman et al., 1987; Falk et al., 1991). The finding suggests that graph representations encoding physicochemical properties may encode sufficient information to learn pocket-specific binding preferences without structure, offering a computationally accessible interpretability framework for future neoantigen models.</w:t>
      </w:r>
    </w:p>
    <w:p w14:paraId="4D1E9A44" w14:textId="77777777" w:rsidR="005C7695" w:rsidRDefault="00000000">
      <w:pPr>
        <w:spacing w:before="80" w:after="120" w:line="340" w:lineRule="auto"/>
        <w:jc w:val="both"/>
      </w:pPr>
      <w:r>
        <w:t>Third, the first genuine activating class recall (26.4%) establishes a new baseline for functional neoantigen immune outcome prediction. The primary lesson from the progression through model versions v0.2–v0.7 is that functional classification capability is limited by data availability, not model architecture: the functional classification head has been present since v0.2, but genuine discrimination was not achievable until 9,704 activating labels from TumorAgDB1.0 and 217 IFN-</w:t>
        <w:lastRenderedPageBreak/>
        <w:t>γ validated labels from TESLA and NCI/HiTIDE were incorporated. This finding has direct implications for future dataset priorities in the neoantigen community: systematic collection and deposition of functional class labels (particularly suppressive) should be prioritised over collection of additional binary immunogenicity annotations.</w:t>
      </w:r>
    </w:p>
    <w:p w14:paraId="2A1111E6" w14:textId="1DEE7B9C" w:rsidR="005C7695" w:rsidRDefault="00000000">
      <w:pPr>
        <w:spacing w:before="80" w:after="120" w:line="340" w:lineRule="auto"/>
        <w:jc w:val="both"/>
      </w:pPr>
      <w:r>
        <w:t>The primary limitation is the suppressive functional class (0% recall, n=1 training example). Suppressive neoantigen characterisation requires dedicated Treg expansion assays and longitudinal immune monitoring that are not systematically performed in academic immunogenicity studies. Current public databases—IEDB v3, TumorAgDB, TESLA, and NCI/HiTIDE—all report binary immunogenic/non-immunogenic outcomes without distinguishing between truly non-immunogenic (no T cell response) and suppression-inducing (Treg-priming) peptides. This represents a fundamental gap that cannot be addressed computationally without new experimental data. A TESLA-style consortium effort specifically targeting suppressive neoantigens—using Treg expansion assays and PD-1⁺ D8⁺ exhaustion markers as endpoints—would be the single highest-value experimental investment for advancing the field.</w:t>
      </w:r>
    </w:p>
    <w:p w14:paraId="6BE86D4F" w14:textId="77777777" w:rsidR="005C7695" w:rsidRDefault="00000000">
      <w:pPr>
        <w:spacing w:before="80" w:after="120" w:line="340" w:lineRule="auto"/>
        <w:jc w:val="both"/>
      </w:pPr>
      <w:r>
        <w:t>The test AUROC of 0.760 on the IEDB 25%-positive split deserves careful interpretation. This metric is deliberately conservative—the model was trained on a 45%-positive distribution, introducing a calibration shift at test time that reduces the threshold-dependent metrics (F1, accuracy) while leaving AUROC largely unaffected as a rank-ordering metric. In actual clinical deployment, neoantigen vaccine pipelines pre-filter candidates by MHC binding affinity (typically requiring IC50 &lt;500 nM by NetMHCpan-4.1; Reynisson et al., 2020), RNA expression level (&gt;1 TPM), and variant allele frequency, steps that collectively enrich positive rates substantially above 25%. The validation AUROC of 0.908 measured on the distribution-matched re-split (45% positive) more closely approximates the performance that would be observed in such pre-filtered clinical deployment contexts. Both metrics are reported transparently and the distinction is explicitly noted to avoid misleading comparison with tools trained and tested on matched IEDB distributions.</w:t>
      </w:r>
    </w:p>
    <w:p w14:paraId="4EB657D9" w14:textId="77777777" w:rsidR="005C7695" w:rsidRDefault="005C7695"/>
    <w:p w14:paraId="44550C1A" w14:textId="77777777" w:rsidR="005C7695" w:rsidRDefault="005C7695"/>
    <w:p w14:paraId="0DBE2D58" w14:textId="77777777" w:rsidR="005C7695" w:rsidRDefault="00000000">
      <w:pPr>
        <w:pStyle w:val="Heading1"/>
      </w:pPr>
      <w:r>
        <w:t>5. Conclusions</w:t>
      </w:r>
    </w:p>
    <w:p w14:paraId="53DE5206" w14:textId="77777777" w:rsidR="005C7695" w:rsidRDefault="00000000">
      <w:pPr>
        <w:spacing w:before="80" w:after="120" w:line="340" w:lineRule="auto"/>
        <w:jc w:val="both"/>
      </w:pPr>
      <w:r>
        <w:t xml:space="preserve">Met-3DNet-VI establishes three capabilities that advance the field of computational neoantigen immunogenicity prediction. The graph neural network architecture operating on residue physicochemical properties can internalise structural constraints of peptide–HLA binding and emergently identify canonical anchor residues without crystallographic supervision—a finding that validates the mechanistic appropriateness of GATConv-based representations for </w:t>
        <w:lastRenderedPageBreak/>
        <w:t>immunogenicity modelling. Multi-task functional immune class prediction becomes tractable when sufficient IFN-γ ELISpot-validated training data are integrated, with the first genuine activating class recall (26.4%) achieved by combining TumorAgDB1.0, TESLA, and NCI/HiTIDE labels. Therapeutically, the model identifies clinically actionable immunogenicity patterns in LUSC driver neoantigens and reveals a previously uncharacterised host immune recognition risk in CAR-NK and CAR-T construct sequences with direct implications for construct engineering.</w:t>
      </w:r>
    </w:p>
    <w:p w14:paraId="12FD8DD8" w14:textId="77777777" w:rsidR="005C7695" w:rsidRDefault="00000000">
      <w:pPr>
        <w:spacing w:before="80" w:after="120" w:line="340" w:lineRule="auto"/>
        <w:jc w:val="both"/>
      </w:pPr>
      <w:r>
        <w:t>The validation AUROC of 0.908, achieved on a 23,315-sample combined dataset without any structural supervision, establishes Met-3DNet-VI as a competitive foundation for next-generation functional neoantigen quality models. The methodological finding that peptide-level 80/20 re-splitting is necessary for stable multi-source training is transferable to any neoantigen or epitope prediction pipeline integrating datasets with heterogeneous positive rates. Future work will focus on suppressive label augmentation through targeted Treg expansion assay data collection, HLA allele coverage expansion through NetMHCpan-4.1 pseudo-labelling (Reynisson et al., 2020), and prospective validation against neoantigen vaccine response data from published clinical trials.</w:t>
      </w:r>
    </w:p>
    <w:p w14:paraId="24374CE5" w14:textId="77777777" w:rsidR="005C7695" w:rsidRDefault="005C7695"/>
    <w:p w14:paraId="788DB438" w14:textId="77777777" w:rsidR="005C7695" w:rsidRDefault="005C7695"/>
    <w:p w14:paraId="6F47D009" w14:textId="77777777" w:rsidR="005C7695" w:rsidRDefault="00000000">
      <w:pPr>
        <w:pStyle w:val="Heading1"/>
      </w:pPr>
      <w:r>
        <w:t>Declarations</w:t>
      </w:r>
    </w:p>
    <w:p w14:paraId="3104E7AD" w14:textId="77777777" w:rsidR="005C7695" w:rsidRDefault="00000000">
      <w:pPr>
        <w:pStyle w:val="Heading2"/>
      </w:pPr>
      <w:r>
        <w:t>Ethics Approval and Consent to Participate</w:t>
      </w:r>
    </w:p>
    <w:p w14:paraId="24389BCF" w14:textId="77777777" w:rsidR="005C7695" w:rsidRDefault="00000000">
      <w:pPr>
        <w:spacing w:before="80" w:after="120" w:line="340" w:lineRule="auto"/>
        <w:jc w:val="both"/>
      </w:pPr>
      <w:r>
        <w:t>This study is a computational analysis using publicly available, previously published, and de-identified datasets. No new patient data were collected or analysed. Ethical approval and informed consent were not required. IEDB v3 data (Vita et al., 2019) are publicly available at iedb.org. TESLA data (Wells et al., 2020) were obtained from Synapse (syn21048999) under open data use agreement. NCI/HiTIDE data (Müller et al., 2023) were obtained from figshare under open access licence.</w:t>
      </w:r>
    </w:p>
    <w:p w14:paraId="2ABE2460" w14:textId="77777777" w:rsidR="005C7695" w:rsidRDefault="00000000">
      <w:pPr>
        <w:pStyle w:val="Heading2"/>
      </w:pPr>
      <w:r>
        <w:t>Competing Interests</w:t>
      </w:r>
    </w:p>
    <w:p w14:paraId="5B8637FD" w14:textId="77777777" w:rsidR="005C7695" w:rsidRDefault="00000000">
      <w:pPr>
        <w:spacing w:before="80" w:after="120" w:line="340" w:lineRule="auto"/>
        <w:jc w:val="both"/>
      </w:pPr>
      <w:r>
        <w:t>The author declares no competing financial or non-financial interests in relation to this work.</w:t>
      </w:r>
    </w:p>
    <w:p w14:paraId="471EB8D4" w14:textId="77777777" w:rsidR="005C7695" w:rsidRDefault="00000000">
      <w:pPr>
        <w:pStyle w:val="Heading2"/>
      </w:pPr>
      <w:r>
        <w:t>Funding</w:t>
      </w:r>
    </w:p>
    <w:p w14:paraId="00A587A5" w14:textId="77777777" w:rsidR="005C7695" w:rsidRDefault="00000000">
      <w:pPr>
        <w:spacing w:before="80" w:after="120" w:line="340" w:lineRule="auto"/>
        <w:jc w:val="both"/>
      </w:pPr>
      <w:r>
        <w:t>This work was conducted independently with no external funding. Computational resources were provided through Kaggle’s free GPU tier (NVIDIA T4, 16 GB VRAM).</w:t>
      </w:r>
    </w:p>
    <w:p w14:paraId="69516442" w14:textId="77777777" w:rsidR="005C7695" w:rsidRDefault="00000000">
      <w:pPr>
        <w:pStyle w:val="Heading2"/>
      </w:pPr>
      <w:r>
        <w:t>Author Contributions</w:t>
      </w:r>
    </w:p>
    <w:p w14:paraId="72803554" w14:textId="77777777" w:rsidR="005C7695" w:rsidRDefault="00000000">
      <w:pPr>
        <w:spacing w:before="80" w:after="120" w:line="340" w:lineRule="auto"/>
        <w:jc w:val="both"/>
      </w:pPr>
      <w:r>
        <w:lastRenderedPageBreak/>
        <w:t>Neetu Singh: Conceptualisation, Methodology, Software, Data Curation, Formal Analysis, Investigation, Visualisation, Writing – Original Draft, Writing – Review and Editing.</w:t>
      </w:r>
    </w:p>
    <w:p w14:paraId="5990B36F" w14:textId="77777777" w:rsidR="005C7695" w:rsidRDefault="005C7695"/>
    <w:p w14:paraId="1F4085F0" w14:textId="77777777" w:rsidR="005C7695" w:rsidRDefault="00000000">
      <w:pPr>
        <w:pStyle w:val="Heading1"/>
      </w:pPr>
      <w:r>
        <w:t>Acknowledgements</w:t>
      </w:r>
    </w:p>
    <w:p w14:paraId="095F0F26" w14:textId="2504AC76" w:rsidR="005C7695" w:rsidRDefault="00000000">
      <w:pPr>
        <w:spacing w:before="80" w:after="120" w:line="340" w:lineRule="auto"/>
        <w:jc w:val="both"/>
      </w:pPr>
      <w:r>
        <w:t>The author acknowledges the use of Anthropic, Claude .ai for validated the graph neural network architecture design, Python implementation, training pipeline development and manuscript formatting. All experimental design, manuscript preparation, scientific interpretation, and final decisions are the sole responsibility of the author. Computation was performed using Kaggle GPU resources. The author thanks the IEDB curation team (Vita et al., 2019), the TESLA consortium (Wells et al., 2020), and the NCI harmonised dataset team (Müller et al., 2023) for making their data publicly available without restriction.</w:t>
      </w:r>
    </w:p>
    <w:p w14:paraId="1ED4D8CF" w14:textId="77777777" w:rsidR="005C7695" w:rsidRDefault="005C7695"/>
    <w:p w14:paraId="668E32EC" w14:textId="77777777" w:rsidR="005C7695" w:rsidRDefault="00000000">
      <w:pPr>
        <w:pStyle w:val="Heading1"/>
      </w:pPr>
      <w:r>
        <w:t>Artificial Intelligence Use Statement</w:t>
      </w:r>
    </w:p>
    <w:p w14:paraId="78446AA3" w14:textId="02DAC61A" w:rsidR="005C7695" w:rsidRDefault="00000000">
      <w:pPr>
        <w:spacing w:before="80" w:after="120" w:line="340" w:lineRule="auto"/>
        <w:jc w:val="both"/>
      </w:pPr>
      <w:r>
        <w:t>Claude AI (Anthropic) was used in the formatting of this manuscript and was used for validation of code generation, graph neural network architecture design, training pipeline debugging. The author reviewed and approved all AI-generated content and takes full responsibility for the accuracy, integrity, and reproducibility of all reported results. This statement is provided in accordance with ICMJE and COPE guidelines on AI-assisted authorship.</w:t>
      </w:r>
    </w:p>
    <w:p w14:paraId="73BBE66C" w14:textId="77777777" w:rsidR="005C7695" w:rsidRDefault="005C7695"/>
    <w:p w14:paraId="0A83BD24" w14:textId="77777777" w:rsidR="005C7695" w:rsidRDefault="00000000">
      <w:pPr>
        <w:pStyle w:val="Heading1"/>
      </w:pPr>
      <w:r>
        <w:t>Data Availability</w:t>
      </w:r>
    </w:p>
    <w:p w14:paraId="7AFBC3F3" w14:textId="77777777" w:rsidR="005C7695" w:rsidRDefault="00000000">
      <w:pPr>
        <w:spacing w:before="80" w:after="120" w:line="340" w:lineRule="auto"/>
        <w:jc w:val="both"/>
      </w:pPr>
      <w:r>
        <w:t>All code, trained model checkpoints (best_model.pt, best_model_v7.pt), training histories, processed parquet data splits, and analysis notebooks are freely available at https://github.com/neetuaashi/neetuaashi. Raw data sources: IEDB v3 at iedb.org/database_export_v3.php; TumorAgDB1.0 at tumoragdb.com.cn; TESLA at Synapse syn21048999; NCI/HiTIDE annotations at figshare.com/s/147e67dde683fb769908.</w:t>
      </w:r>
    </w:p>
    <w:p w14:paraId="2799321F" w14:textId="77777777" w:rsidR="005C7695" w:rsidRDefault="005C7695"/>
    <w:p w14:paraId="3B2497DE" w14:textId="77777777" w:rsidR="005C7695" w:rsidRDefault="005C7695"/>
    <w:p w14:paraId="05E2F9DE" w14:textId="77777777" w:rsidR="005C7695" w:rsidRDefault="00000000">
      <w:pPr>
        <w:pStyle w:val="Heading1"/>
      </w:pPr>
      <w:r>
        <w:t>References</w:t>
      </w:r>
    </w:p>
    <w:p w14:paraId="6F98616F" w14:textId="77777777" w:rsidR="005C7695" w:rsidRDefault="00000000">
      <w:pPr>
        <w:spacing w:before="40" w:after="60" w:line="340" w:lineRule="auto"/>
        <w:jc w:val="both"/>
      </w:pPr>
      <w:r>
        <w:rPr>
          <w:i/>
          <w:iCs/>
        </w:rPr>
        <w:t xml:space="preserve">Balkhi et al., 2025: </w:t>
      </w:r>
      <w:r>
        <w:t>Balkhi S et al. CAR-NK cell therapy: promise and challenges in solid tumors. Frontiers in Immunology. 2025;16:1574742.</w:t>
      </w:r>
    </w:p>
    <w:p w14:paraId="43DECA79" w14:textId="77777777" w:rsidR="005C7695" w:rsidRDefault="00000000">
      <w:pPr>
        <w:spacing w:before="40" w:after="60" w:line="340" w:lineRule="auto"/>
        <w:jc w:val="both"/>
      </w:pPr>
      <w:r>
        <w:rPr>
          <w:i/>
          <w:iCs/>
        </w:rPr>
        <w:lastRenderedPageBreak/>
        <w:t xml:space="preserve">Bjorkman et al., 1987: </w:t>
      </w:r>
      <w:r>
        <w:t>Bjorkman PJ et al. Structure of the human class I histocompatibility antigen, HLA-A2. Nature. 1987;329(6139):506–512.</w:t>
      </w:r>
    </w:p>
    <w:p w14:paraId="550A540E" w14:textId="77777777" w:rsidR="005C7695" w:rsidRDefault="00000000">
      <w:pPr>
        <w:spacing w:before="40" w:after="60" w:line="340" w:lineRule="auto"/>
        <w:jc w:val="both"/>
      </w:pPr>
      <w:r>
        <w:rPr>
          <w:i/>
          <w:iCs/>
        </w:rPr>
        <w:t xml:space="preserve">Chen et al., 2021: </w:t>
      </w:r>
      <w:r>
        <w:t>Chen H et al. DeepImmuno: deep learning-empowered prediction and generation of immunogenic peptides. Briefings in Bioinformatics. 2021;22(6):bbab160.</w:t>
      </w:r>
    </w:p>
    <w:p w14:paraId="08477D99" w14:textId="77777777" w:rsidR="005C7695" w:rsidRDefault="00000000">
      <w:pPr>
        <w:spacing w:before="40" w:after="60" w:line="340" w:lineRule="auto"/>
        <w:jc w:val="both"/>
      </w:pPr>
      <w:r>
        <w:rPr>
          <w:i/>
          <w:iCs/>
        </w:rPr>
        <w:t xml:space="preserve">Falk et al., 1991: </w:t>
      </w:r>
      <w:r>
        <w:t>Falk K et al. Allele-specific motifs revealed by sequencing of self-peptides eluted from MHC molecules. Nature. 1991;351(6324):290–296.</w:t>
      </w:r>
    </w:p>
    <w:p w14:paraId="39AA0843" w14:textId="77777777" w:rsidR="005C7695" w:rsidRDefault="00000000">
      <w:pPr>
        <w:spacing w:before="40" w:after="60" w:line="340" w:lineRule="auto"/>
        <w:jc w:val="both"/>
      </w:pPr>
      <w:r>
        <w:rPr>
          <w:i/>
          <w:iCs/>
        </w:rPr>
        <w:t xml:space="preserve">Fey &amp; Lenssen, 2019: </w:t>
      </w:r>
      <w:r>
        <w:t>Fey M, Lenssen JE. Fast Graph Representation Learning with PyTorch Geometric. ICLR Workshop on Representation Learning on Graphs and Manifolds. 2019.</w:t>
      </w:r>
    </w:p>
    <w:p w14:paraId="4B0BB639" w14:textId="77777777" w:rsidR="005C7695" w:rsidRDefault="00000000">
      <w:pPr>
        <w:spacing w:before="40" w:after="60" w:line="340" w:lineRule="auto"/>
        <w:jc w:val="both"/>
      </w:pPr>
      <w:r>
        <w:rPr>
          <w:i/>
          <w:iCs/>
        </w:rPr>
        <w:t xml:space="preserve">Gilmer et al., 2017: </w:t>
      </w:r>
      <w:r>
        <w:t>Gilmer J et al. Neural Message Passing for Quantum Chemistry. Proceedings of the 34th International Conference on Machine Learning (ICML). 2017.</w:t>
      </w:r>
    </w:p>
    <w:p w14:paraId="1B5A9847" w14:textId="77777777" w:rsidR="005C7695" w:rsidRDefault="00000000">
      <w:pPr>
        <w:spacing w:before="40" w:after="60" w:line="340" w:lineRule="auto"/>
        <w:jc w:val="both"/>
      </w:pPr>
      <w:r>
        <w:rPr>
          <w:i/>
          <w:iCs/>
        </w:rPr>
        <w:t xml:space="preserve">Kawashima &amp; Kanehisa, 2000: </w:t>
      </w:r>
      <w:r>
        <w:t>Kawashima S, Kanehisa M. AAindex: amino acid index database. Nucleic Acids Research. 2000;28(1):374.</w:t>
      </w:r>
    </w:p>
    <w:p w14:paraId="7D90A106" w14:textId="77777777" w:rsidR="005C7695" w:rsidRDefault="00000000">
      <w:pPr>
        <w:spacing w:before="40" w:after="60" w:line="340" w:lineRule="auto"/>
        <w:jc w:val="both"/>
      </w:pPr>
      <w:r>
        <w:rPr>
          <w:i/>
          <w:iCs/>
        </w:rPr>
        <w:t xml:space="preserve">Li et al., 2022: </w:t>
      </w:r>
      <w:r>
        <w:t>Li G et al. Seq2Neo-CNN: a new framework for neoantigen immunogenicity prediction. Briefings in Bioinformatics. 2022;23(5):bbac292.</w:t>
      </w:r>
    </w:p>
    <w:p w14:paraId="307E5D17" w14:textId="77777777" w:rsidR="005C7695" w:rsidRDefault="00000000">
      <w:pPr>
        <w:spacing w:before="40" w:after="60" w:line="340" w:lineRule="auto"/>
        <w:jc w:val="both"/>
      </w:pPr>
      <w:r>
        <w:rPr>
          <w:i/>
          <w:iCs/>
        </w:rPr>
        <w:t xml:space="preserve">Müller et al., 2023: </w:t>
      </w:r>
      <w:r>
        <w:t>Müller M et al. Machine learning methods and harmonized datasets improve immunogenic neoantigen prediction. Immunity. 2023;56(11):2650–2663. doi:10.1016/j.immuni.2023.09.002.</w:t>
      </w:r>
    </w:p>
    <w:p w14:paraId="7AC60335" w14:textId="77777777" w:rsidR="005C7695" w:rsidRDefault="00000000">
      <w:pPr>
        <w:spacing w:before="40" w:after="60" w:line="340" w:lineRule="auto"/>
        <w:jc w:val="both"/>
      </w:pPr>
      <w:r>
        <w:rPr>
          <w:i/>
          <w:iCs/>
        </w:rPr>
        <w:t xml:space="preserve">Perez et al., 2018: </w:t>
      </w:r>
      <w:r>
        <w:t>Perez E et al. FiLM: Visual Reasoning with a General Conditioning Layer. Proceedings of the AAAI Conference on Artificial Intelligence. 2018;32(1).</w:t>
      </w:r>
    </w:p>
    <w:p w14:paraId="19760FE0" w14:textId="77777777" w:rsidR="005C7695" w:rsidRDefault="00000000">
      <w:pPr>
        <w:spacing w:before="40" w:after="60" w:line="340" w:lineRule="auto"/>
        <w:jc w:val="both"/>
      </w:pPr>
      <w:r>
        <w:rPr>
          <w:i/>
          <w:iCs/>
        </w:rPr>
        <w:t xml:space="preserve">Reynisson et al., 2020: </w:t>
      </w:r>
      <w:r>
        <w:t>Reynisson B et al. NetMHCpan-4.1 and NetMHCIIpan-4.0: improved predictions of MHC antigen presentation by concurrent motif deconvolution and integration of MS MHC eluted ligand data. Nucleic Acids Research. 2020;48(W1):W449–W454.</w:t>
      </w:r>
    </w:p>
    <w:p w14:paraId="614BD55F" w14:textId="77777777" w:rsidR="005C7695" w:rsidRDefault="00000000">
      <w:pPr>
        <w:spacing w:before="40" w:after="60" w:line="340" w:lineRule="auto"/>
        <w:jc w:val="both"/>
      </w:pPr>
      <w:r>
        <w:rPr>
          <w:i/>
          <w:iCs/>
        </w:rPr>
        <w:t xml:space="preserve">Schmidt et al., 2021: </w:t>
      </w:r>
      <w:r>
        <w:t>Schmidt J et al. Prediction of neo-epitope immunogenicity reveals TCR recognition determinants and provides insight into immunoediting. Cell Reports Medicine. 2021;2(2):100194.</w:t>
      </w:r>
    </w:p>
    <w:p w14:paraId="354584EA" w14:textId="77777777" w:rsidR="005C7695" w:rsidRDefault="00000000">
      <w:pPr>
        <w:spacing w:before="40" w:after="60" w:line="340" w:lineRule="auto"/>
        <w:jc w:val="both"/>
      </w:pPr>
      <w:r>
        <w:rPr>
          <w:i/>
          <w:iCs/>
        </w:rPr>
        <w:t xml:space="preserve">Schumacher &amp; Schreiber, 2015: </w:t>
      </w:r>
      <w:r>
        <w:t>Schumacher TN, Schreiber RD. Neoantigens in cancer immunotherapy. Science. 2015;348(6230):69–74.</w:t>
      </w:r>
    </w:p>
    <w:p w14:paraId="4708D1F6" w14:textId="77777777" w:rsidR="005C7695" w:rsidRDefault="00000000">
      <w:pPr>
        <w:spacing w:before="40" w:after="60" w:line="340" w:lineRule="auto"/>
        <w:jc w:val="both"/>
      </w:pPr>
      <w:r>
        <w:rPr>
          <w:i/>
          <w:iCs/>
        </w:rPr>
        <w:t xml:space="preserve">Sette &amp; Sidney, 1999: </w:t>
      </w:r>
      <w:r>
        <w:t>Sette A, Sidney J. Nine major HLA class I supertypes account for the vast preponderance of HLA-A and -B polymorphism. Immunogenetics. 1999;50(3–4):201–212.</w:t>
      </w:r>
    </w:p>
    <w:p w14:paraId="386B92C0" w14:textId="77777777" w:rsidR="005C7695" w:rsidRDefault="00000000">
      <w:pPr>
        <w:spacing w:before="40" w:after="60" w:line="340" w:lineRule="auto"/>
        <w:jc w:val="both"/>
      </w:pPr>
      <w:r>
        <w:rPr>
          <w:i/>
          <w:iCs/>
        </w:rPr>
        <w:t xml:space="preserve">Shao et al., 2025: </w:t>
      </w:r>
      <w:r>
        <w:t>Shao Y et al. TumorAgDB1.0: tumor neoantigen database platform. Database (Oxford). 2025;2025:baaf010.</w:t>
      </w:r>
    </w:p>
    <w:p w14:paraId="11E99510" w14:textId="77777777" w:rsidR="005C7695" w:rsidRDefault="00000000">
      <w:pPr>
        <w:spacing w:before="40" w:after="60" w:line="340" w:lineRule="auto"/>
        <w:jc w:val="both"/>
      </w:pPr>
      <w:r>
        <w:rPr>
          <w:i/>
          <w:iCs/>
        </w:rPr>
        <w:t xml:space="preserve">Veličković et al., 2018: </w:t>
      </w:r>
      <w:r>
        <w:t>Veličković P et al. Graph Attention Networks. International Conference on Learning Representations (ICLR). 2018.</w:t>
      </w:r>
    </w:p>
    <w:p w14:paraId="49083AF6" w14:textId="77777777" w:rsidR="005C7695" w:rsidRDefault="00000000">
      <w:pPr>
        <w:spacing w:before="40" w:after="60" w:line="340" w:lineRule="auto"/>
        <w:jc w:val="both"/>
      </w:pPr>
      <w:r>
        <w:rPr>
          <w:i/>
          <w:iCs/>
        </w:rPr>
        <w:lastRenderedPageBreak/>
        <w:t xml:space="preserve">Vita et al., 2019: </w:t>
      </w:r>
      <w:r>
        <w:t>Vita R et al. The Immune Epitope Database (IEDB): 2018 update. Nucleic Acids Research. 2019;47(D1):D339–D343.</w:t>
      </w:r>
    </w:p>
    <w:p w14:paraId="5BCAD964" w14:textId="77777777" w:rsidR="005C7695" w:rsidRDefault="00000000">
      <w:pPr>
        <w:spacing w:before="40" w:after="60" w:line="340" w:lineRule="auto"/>
        <w:jc w:val="both"/>
      </w:pPr>
      <w:r>
        <w:rPr>
          <w:i/>
          <w:iCs/>
        </w:rPr>
        <w:t xml:space="preserve">Weiss et al., 2024: </w:t>
      </w:r>
      <w:r>
        <w:t>Weiss G et al. MHC Hammer reveals genetic and non-genetic HLA disruption in cancer evolution. Nature Genetics. 2024;56:2121–2131.</w:t>
      </w:r>
    </w:p>
    <w:p w14:paraId="1002ABFF" w14:textId="77777777" w:rsidR="005C7695" w:rsidRDefault="00000000">
      <w:pPr>
        <w:spacing w:before="40" w:after="60" w:line="340" w:lineRule="auto"/>
        <w:jc w:val="both"/>
      </w:pPr>
      <w:r>
        <w:rPr>
          <w:i/>
          <w:iCs/>
        </w:rPr>
        <w:t xml:space="preserve">Wells et al., 2020: </w:t>
      </w:r>
      <w:r>
        <w:t>Wells DK et al. Key parameters of tumor epitope immunogenicity revealed through a consortium approach improve neoantigen prediction. Cell. 2020;183(3):818–834.</w:t>
      </w:r>
    </w:p>
    <w:p w14:paraId="518D00DF" w14:textId="77777777" w:rsidR="005C7695" w:rsidRDefault="00000000">
      <w:pPr>
        <w:spacing w:before="40" w:after="60" w:line="340" w:lineRule="auto"/>
        <w:jc w:val="both"/>
      </w:pPr>
      <w:r>
        <w:rPr>
          <w:i/>
          <w:iCs/>
        </w:rPr>
        <w:t xml:space="preserve">Wu et al., 2022: </w:t>
      </w:r>
      <w:r>
        <w:t>Wu S et al. Neodb: A comprehensive neoantigen database and discovery platform. XSLiuLab/Neodb, GitHub 2022.</w:t>
      </w:r>
    </w:p>
    <w:p w14:paraId="29673D6F" w14:textId="77777777" w:rsidR="005C7695" w:rsidRDefault="00000000">
      <w:pPr>
        <w:spacing w:before="40" w:after="60" w:line="340" w:lineRule="auto"/>
        <w:jc w:val="both"/>
      </w:pPr>
      <w:r>
        <w:rPr>
          <w:i/>
          <w:iCs/>
        </w:rPr>
        <w:t xml:space="preserve">Yarchoan et al., 2017: </w:t>
      </w:r>
      <w:r>
        <w:t>Yarchoan M et al. Targeting neoantigens to augment antitumour immunity. Nature Reviews Cancer. 2017;17(4):209–222.</w:t>
      </w:r>
    </w:p>
    <w:p w14:paraId="78AC9DAB" w14:textId="77777777" w:rsidR="005C7695" w:rsidRDefault="005C7695"/>
    <w:p w14:paraId="11299ADE" w14:textId="77777777" w:rsidR="005C7695" w:rsidRDefault="005C7695"/>
    <w:p w14:paraId="0426DFCA" w14:textId="77777777" w:rsidR="005C7695" w:rsidRDefault="00000000">
      <w:pPr>
        <w:pStyle w:val="Heading1"/>
      </w:pPr>
      <w:r>
        <w:t>Figure Legends</w:t>
      </w:r>
    </w:p>
    <w:p w14:paraId="6263F124" w14:textId="77777777" w:rsidR="005C7695" w:rsidRDefault="005C7695"/>
    <w:p w14:paraId="2F26EB17" w14:textId="77777777" w:rsidR="005C7695" w:rsidRDefault="00000000">
      <w:pPr>
        <w:spacing w:before="80" w:after="120" w:line="340" w:lineRule="auto"/>
        <w:jc w:val="both"/>
      </w:pPr>
      <w:r>
        <w:rPr>
          <w:b/>
          <w:bCs/>
        </w:rPr>
        <w:t xml:space="preserve">Figure 1. </w:t>
      </w:r>
      <w:r>
        <w:t>Met-3DNet-VI v0.7 training curves across 100 epochs. Four panels left to right: (a) Training loss (blue solid line; grey dashed = v0.2 test loss reference, 1.336), decreasing from 0.450 at epoch 1 to 0.296 at epoch 100 without divergence. (b) Validation AUROC (green solid; grey dashed = v0.2 AUROC=0.756; orange dashed = v0.3-best AUROC=0.798), rising monotonically from 0.8145 at epoch 1 to 0.9079 at epoch 90, surpassing both prior-version reference lines by epoch 4. (c) Validation F1 at Youden-optimal threshold (purple solid; grey dashed = v0.2 F1=0.520), stabilising at 0.856–0.859 from epoch 50 onward. (d) Functional class accuracy (orange solid; grey dashed = v0.2 artefact=0.973; silver dotted = random baseline=0.333), declining from 0.46 at epoch 1 to ≈0.05 by epoch 15, indicating the model abandoning majority-class prediction in favour of genuine functional class learning. Val set: ≈4,663 samples, 45% positive. The clean monotonic AUC trajectory results from eliminating train–validation distribution mismatch via peptide-level 80/20 re-split of the combined 23,315-sample dataset.</w:t>
      </w:r>
    </w:p>
    <w:p w14:paraId="0315923F" w14:textId="77777777" w:rsidR="005C7695" w:rsidRDefault="005C7695"/>
    <w:p w14:paraId="6D9839E6" w14:textId="77777777" w:rsidR="005C7695" w:rsidRDefault="00000000">
      <w:pPr>
        <w:spacing w:before="80" w:after="120" w:line="340" w:lineRule="auto"/>
        <w:jc w:val="both"/>
      </w:pPr>
      <w:r>
        <w:rPr>
          <w:b/>
          <w:bCs/>
        </w:rPr>
        <w:t xml:space="preserve">Figure 2. </w:t>
      </w:r>
      <w:r>
        <w:t xml:space="preserve">Residue importance heatmaps derived from GATConv attention weight projections for six representative peptide–HLA pairs. Top row: v0.2 model predictions; bottom row: v0.7 model predictions for the same peptides. Colour scale: white = zero importance, dark crimson = maximum importance (normalised per peptide to [0,1]). Top-left: ILFTRFFYV / HLA-A*02:01 (P(immuno)=0.733, true positive; functional prediction=unknown). Top-centre: TSDPTTFHL / HLA-A*01:01 (P(immuno)=0.321, true positive; functional=unknown). Top-right and bottom-right: </w:t>
        <w:lastRenderedPageBreak/>
        <w:t>LVFLFVAAI / HLA-A*02:01 (P(immuno)=0.929, true positive; functional=unknown)—canonical P2/P9 anchor positions (L at position 1, A at position 8) receive highest importance, matching HLA-A*02:01 anchor residue preferences established by crystallography (Falk et al., 1991; Bjorkman et al., 1987; Sette &amp; Sidney, 1999). Bottom-left: MMCVDLIAG / HLA-A*02:01 (P=0.871, false positive; true=negative). Bottom-centre: TWHIMFDPC / HLA-A*02:01 (P=0.461, true negative). Bottom-right: HIQWTEKRT / HLA-B*07:02 (P=0.179, true negative). All importance patterns were learned without structural supervision.</w:t>
      </w:r>
    </w:p>
    <w:p w14:paraId="03F2238C" w14:textId="77777777" w:rsidR="005C7695" w:rsidRDefault="005C7695"/>
    <w:p w14:paraId="7B4A66FB" w14:textId="77777777" w:rsidR="005C7695" w:rsidRDefault="00000000">
      <w:pPr>
        <w:spacing w:before="80" w:after="120" w:line="340" w:lineRule="auto"/>
        <w:jc w:val="both"/>
      </w:pPr>
      <w:r>
        <w:rPr>
          <w:b/>
          <w:bCs/>
        </w:rPr>
        <w:t xml:space="preserve">Figure 3. </w:t>
      </w:r>
      <w:r>
        <w:t>Met-3DNet-VI immunogenicity landscape across three therapeutic contexts. Horizontal bar charts showing P(immunogenic) for each therapeutic peptide sorted by score within each set. Set A (left panel): CD19/BCMA CAR-T construct-derived peptides (n=25; 21/25 = 84% above Youden threshold, dashed line at P=0.42). Set B (centre): LUSC driver mutation neoantigens from TP53 (R175H, R248W, R248Q, R273H, R273C), KEAP1 (R320Q, R554Q, G333C, D422N), NFE2L2/NRF2 (D77N, E79K, E82D), and SOX2 amplification (n=16; 12/16 = 75% immunogenic). Set C (right): CAR-NK construct-derived peptides from NKG2D scFv, IL-15 transgene, anti-NKG2A VHH, 2B4, and DAP12 (n=12; 9/12 = 75% immunogenic risk). Bar colours indicate predicted functional class (grey=unknown, green=activating, red=suppressive). The OVA positive control SIINFEKLL (Set C) correctly scored P=0.686, confirming calibration against a known strong HLA-A*02:01 binder.</w:t>
      </w:r>
    </w:p>
    <w:p w14:paraId="705DA311" w14:textId="77777777" w:rsidR="005C7695" w:rsidRDefault="005C7695"/>
    <w:p w14:paraId="5345B4FE" w14:textId="77777777" w:rsidR="005C7695" w:rsidRDefault="00000000">
      <w:pPr>
        <w:spacing w:before="80" w:after="120" w:line="340" w:lineRule="auto"/>
        <w:jc w:val="both"/>
      </w:pPr>
      <w:r>
        <w:rPr>
          <w:b/>
          <w:bCs/>
        </w:rPr>
        <w:t xml:space="preserve">Figure 4. </w:t>
      </w:r>
      <w:r>
        <w:t>Activation–suppression functional axis for all 53 therapeutic peptides plotted simultaneously. X-axis: P(activating functional class) ranging 0–1.0. Y-axis: P(suppressive functional class) ranging 0–1.0. Marker colour encodes therapeutic set: blue circles = CD19/BCMA CAR-T (Set A, n=25); orange circles = LUSC driver neoantigens (Set B, n=16); purple circles = CAR-NK construct (Set C, n=12). All peptides cluster in the low-activating (P_act&lt;0.05), low-suppressive (P_sup&lt;0.45) quadrant. ALVALLLCL (BCMA signal peptide) occupies the highest suppressive probability position (P_sup≈0.40), consistent with its predicted high immunogenicity (P(immuno)=0.939) and the model’s early training–stage tendency to assign unknown/suppressive labels to high-confidence binders before activating-class calibration stabilises. The functional axis is expected to become clinically informative for distinguishing vaccine-grade neoantigens (high activating, low suppressive) from immune-escape candidates (high suppressive) following suppressive label augmentation in future model versions.</w:t>
      </w:r>
    </w:p>
    <w:p w14:paraId="343D4AD1" w14:textId="77777777" w:rsidR="005C7695" w:rsidRDefault="005C7695"/>
    <w:p w14:paraId="2E6C05E6" w14:textId="77777777" w:rsidR="005C7695" w:rsidRDefault="005C7695"/>
    <w:p w14:paraId="012B1775" w14:textId="77777777" w:rsidR="005C7695" w:rsidRDefault="00000000">
      <w:pPr>
        <w:pStyle w:val="Heading1"/>
      </w:pPr>
      <w:r>
        <w:lastRenderedPageBreak/>
        <w:t>Supplementary Information</w:t>
      </w:r>
    </w:p>
    <w:p w14:paraId="6D2FA13E" w14:textId="77777777" w:rsidR="005C7695" w:rsidRDefault="00000000">
      <w:pPr>
        <w:spacing w:before="40" w:after="120"/>
      </w:pPr>
      <w:r>
        <w:rPr>
          <w:i/>
          <w:iCs/>
          <w:color w:val="555555"/>
          <w:sz w:val="20"/>
          <w:szCs w:val="20"/>
        </w:rPr>
        <w:t>Full supplementary tables and methods notes are provided as a separate Supplementary Data file. Key tables are reproduced below for reviewer convenience.</w:t>
      </w:r>
    </w:p>
    <w:p w14:paraId="5749BB23" w14:textId="77777777" w:rsidR="005C7695" w:rsidRDefault="005C7695"/>
    <w:p w14:paraId="429D1D6F" w14:textId="77777777" w:rsidR="005C7695" w:rsidRDefault="00000000">
      <w:pPr>
        <w:pStyle w:val="Heading2"/>
      </w:pPr>
      <w:r>
        <w:t>Supplementary Table S1. Model 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4124"/>
        <w:gridCol w:w="1762"/>
        <w:gridCol w:w="2486"/>
      </w:tblGrid>
      <w:tr w:rsidR="005C7695" w14:paraId="1F708C39"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207EFE7F" w14:textId="77777777" w:rsidR="005C7695" w:rsidRDefault="00000000">
            <w:r>
              <w:rPr>
                <w:b/>
                <w:bCs/>
                <w:sz w:val="20"/>
                <w:szCs w:val="20"/>
              </w:rPr>
              <w:t>Version</w:t>
            </w:r>
          </w:p>
        </w:tc>
        <w:tc>
          <w:tcPr>
            <w:tcW w:w="0" w:type="auto"/>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42F61971" w14:textId="77777777" w:rsidR="005C7695" w:rsidRDefault="00000000">
            <w:r>
              <w:rPr>
                <w:b/>
                <w:bCs/>
                <w:sz w:val="20"/>
                <w:szCs w:val="20"/>
              </w:rPr>
              <w:t>Training data</w:t>
            </w:r>
          </w:p>
        </w:tc>
        <w:tc>
          <w:tcPr>
            <w:tcW w:w="0" w:type="auto"/>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763ACC94" w14:textId="77777777" w:rsidR="005C7695" w:rsidRDefault="00000000">
            <w:r>
              <w:rPr>
                <w:b/>
                <w:bCs/>
                <w:sz w:val="20"/>
                <w:szCs w:val="20"/>
              </w:rPr>
              <w:t>Key configuration</w:t>
            </w:r>
          </w:p>
        </w:tc>
        <w:tc>
          <w:tcPr>
            <w:tcW w:w="0" w:type="auto"/>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48C74360" w14:textId="77777777" w:rsidR="005C7695" w:rsidRDefault="00000000">
            <w:r>
              <w:rPr>
                <w:b/>
                <w:bCs/>
                <w:sz w:val="20"/>
                <w:szCs w:val="20"/>
              </w:rPr>
              <w:t>Results and diagnosis</w:t>
            </w:r>
          </w:p>
        </w:tc>
      </w:tr>
      <w:tr w:rsidR="005C7695" w14:paraId="3A7EF6D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C03216" w14:textId="77777777" w:rsidR="005C7695" w:rsidRDefault="00000000">
            <w:r>
              <w:rPr>
                <w:sz w:val="20"/>
                <w:szCs w:val="20"/>
              </w:rPr>
              <w:t>v0.2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4E457D" w14:textId="77777777" w:rsidR="005C7695" w:rsidRDefault="00000000">
            <w:r>
              <w:rPr>
                <w:sz w:val="20"/>
                <w:szCs w:val="20"/>
              </w:rPr>
              <w:t>IEDB v3 (5,593 pairs)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CCC1E5" w14:textId="77777777" w:rsidR="005C7695" w:rsidRDefault="00000000">
            <w:r>
              <w:rPr>
                <w:sz w:val="20"/>
                <w:szCs w:val="20"/>
              </w:rPr>
              <w:t>lr=1e-3; pos_w=3.0; λ₂=0.8; scratch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376733" w14:textId="77777777" w:rsidR="005C7695" w:rsidRDefault="00000000">
            <w:r>
              <w:rPr>
                <w:sz w:val="20"/>
                <w:szCs w:val="20"/>
              </w:rPr>
              <w:t>Test AUC=0.756, F1=0.520. IFN-γ stream-parsing added 783 activating labels (30× improvement). Best val AUC=0.774 at epoch 30.</w:t>
            </w:r>
          </w:p>
        </w:tc>
      </w:tr>
      <w:tr w:rsidR="005C7695" w14:paraId="22A9CB6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D0F59E" w14:textId="77777777" w:rsidR="005C7695" w:rsidRDefault="00000000">
            <w:r>
              <w:rPr>
                <w:sz w:val="20"/>
                <w:szCs w:val="20"/>
              </w:rPr>
              <w:t>v0.3 best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6B81DE" w14:textId="77777777" w:rsidR="005C7695" w:rsidRDefault="00000000">
            <w:r>
              <w:rPr>
                <w:sz w:val="20"/>
                <w:szCs w:val="20"/>
              </w:rPr>
              <w:t>IEDB+TumorAgDB (17,270 pairs)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6208D4" w14:textId="77777777" w:rsidR="005C7695" w:rsidRDefault="00000000">
            <w:r>
              <w:rPr>
                <w:sz w:val="20"/>
                <w:szCs w:val="20"/>
              </w:rPr>
              <w:t>lr=1e-4; pos_w=3.0 uncorrected; λ₂=0.5; warm-start from v0.2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F96523" w14:textId="77777777" w:rsidR="005C7695" w:rsidRDefault="00000000">
            <w:r>
              <w:rPr>
                <w:sz w:val="20"/>
                <w:szCs w:val="20"/>
              </w:rPr>
              <w:t>Val AUC=0.818, Test AUC=0.798. Warm-start; pos_weight=3.0 accidentally compensated for distribution mismatch. Train 60% positive vs val 25%—mismatch undetected.</w:t>
            </w:r>
          </w:p>
        </w:tc>
      </w:tr>
      <w:tr w:rsidR="005C7695" w14:paraId="43105E2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EDFB06" w14:textId="77777777" w:rsidR="005C7695" w:rsidRDefault="00000000">
            <w:r>
              <w:rPr>
                <w:sz w:val="20"/>
                <w:szCs w:val="20"/>
              </w:rPr>
              <w:t>v0.4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C3FAA2" w14:textId="77777777" w:rsidR="005C7695" w:rsidRDefault="00000000">
            <w:r>
              <w:rPr>
                <w:sz w:val="20"/>
                <w:szCs w:val="20"/>
              </w:rPr>
              <w:t>17,270 (warm-start)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72F071" w14:textId="77777777" w:rsidR="005C7695" w:rsidRDefault="00000000">
            <w:r>
              <w:rPr>
                <w:sz w:val="20"/>
                <w:szCs w:val="20"/>
              </w:rPr>
              <w:t>lr=1e-4; λ₂ ramp 0.05→0.3; pos_w=0.652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7F05DB" w14:textId="77777777" w:rsidR="005C7695" w:rsidRDefault="00000000">
            <w:r>
              <w:rPr>
                <w:sz w:val="20"/>
                <w:szCs w:val="20"/>
              </w:rPr>
              <w:t>FAILED. r(λ₂, AUC)=−0.91. AUC peaked epoch 3 (0.774) then fell monotonically. Functional CE loss degrading shared encoder.</w:t>
            </w:r>
          </w:p>
        </w:tc>
      </w:tr>
      <w:tr w:rsidR="005C7695" w14:paraId="40EC713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F7DAF9" w14:textId="77777777" w:rsidR="005C7695" w:rsidRDefault="00000000">
            <w:r>
              <w:rPr>
                <w:sz w:val="20"/>
                <w:szCs w:val="20"/>
              </w:rPr>
              <w:t>v0.5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986B21" w14:textId="77777777" w:rsidR="005C7695" w:rsidRDefault="00000000">
            <w:r>
              <w:rPr>
                <w:sz w:val="20"/>
                <w:szCs w:val="20"/>
              </w:rPr>
              <w:t>17,270 (warm-start)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52C7AD" w14:textId="77777777" w:rsidR="005C7695" w:rsidRDefault="00000000">
            <w:r>
              <w:rPr>
                <w:sz w:val="20"/>
                <w:szCs w:val="20"/>
              </w:rPr>
              <w:t>lr=1e-4; λ₂=0.0; pos_w=0.652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C306E5" w14:textId="77777777" w:rsidR="005C7695" w:rsidRDefault="00000000">
            <w:r>
              <w:rPr>
                <w:sz w:val="20"/>
                <w:szCs w:val="20"/>
              </w:rPr>
              <w:t>FAILED. AUC peaked epoch 3 (0.774) then declined. Root cause identified: train/val distribution mismatch. Warm-start encoder adapted to 60%-positive training away from 25%-positive val.</w:t>
            </w:r>
          </w:p>
        </w:tc>
      </w:tr>
      <w:tr w:rsidR="005C7695" w14:paraId="6E02AC3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C0CFCE" w14:textId="77777777" w:rsidR="005C7695" w:rsidRDefault="00000000">
            <w:r>
              <w:rPr>
                <w:sz w:val="20"/>
                <w:szCs w:val="20"/>
              </w:rPr>
              <w:t>v0.6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F0F6D8" w14:textId="77777777" w:rsidR="005C7695" w:rsidRDefault="00000000">
            <w:r>
              <w:rPr>
                <w:sz w:val="20"/>
                <w:szCs w:val="20"/>
              </w:rPr>
              <w:t>17,270 (scratch)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3A6A40" w14:textId="77777777" w:rsidR="005C7695" w:rsidRDefault="00000000">
            <w:r>
              <w:rPr>
                <w:sz w:val="20"/>
                <w:szCs w:val="20"/>
              </w:rPr>
              <w:t>lr=1e-3; λ₂=0.0; pos_w=0.652; no warm start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0AF269" w14:textId="77777777" w:rsidR="005C7695" w:rsidRDefault="00000000">
            <w:r>
              <w:rPr>
                <w:sz w:val="20"/>
                <w:szCs w:val="20"/>
              </w:rPr>
              <w:t>FAILED. Same distribution mismatch persisted. AUC 0.739→0.726 at epochs 1→2. Scratch training did not resolve mismatch because val set remained original IEDB 25%-positive split.</w:t>
            </w:r>
          </w:p>
        </w:tc>
      </w:tr>
      <w:tr w:rsidR="005C7695" w14:paraId="58D3459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94ABFD" w14:textId="77777777" w:rsidR="005C7695" w:rsidRDefault="00000000">
            <w:r>
              <w:rPr>
                <w:b/>
                <w:bCs/>
                <w:sz w:val="20"/>
                <w:szCs w:val="20"/>
              </w:rPr>
              <w:lastRenderedPageBreak/>
              <w:t>v0.7 (final)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97012C" w14:textId="77777777" w:rsidR="005C7695" w:rsidRDefault="00000000">
            <w:r>
              <w:rPr>
                <w:b/>
                <w:bCs/>
                <w:sz w:val="20"/>
                <w:szCs w:val="20"/>
              </w:rPr>
              <w:t>23,315 (IEDB+TumorAgDB+TESLA+NCI/HiTIDE)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14BCFE" w14:textId="77777777" w:rsidR="005C7695" w:rsidRDefault="00000000">
            <w:r>
              <w:rPr>
                <w:b/>
                <w:bCs/>
                <w:sz w:val="20"/>
                <w:szCs w:val="20"/>
              </w:rPr>
              <w:t>lr=1e-3; λ₂=0.0; λ₃=0.3; pos_w=0.651; scratch; 80/20 re-split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A3251B" w14:textId="77777777" w:rsidR="005C7695" w:rsidRDefault="00000000">
            <w:r>
              <w:rPr>
                <w:b/>
                <w:bCs/>
                <w:sz w:val="20"/>
                <w:szCs w:val="20"/>
              </w:rPr>
              <w:t>Val AUC=0.908 (epoch 90), Test AUC=0.760, F1=0.540. Monotonically rising AUC (0.815→0.908). 80/20 re-split definitively resolves distribution mismatch. First genuine activating recall (26.4%).</w:t>
            </w:r>
          </w:p>
        </w:tc>
      </w:tr>
    </w:tbl>
    <w:p w14:paraId="3C208D77" w14:textId="77777777" w:rsidR="005C7695" w:rsidRDefault="005C7695"/>
    <w:p w14:paraId="47DFD423" w14:textId="77777777" w:rsidR="005C7695" w:rsidRDefault="00000000">
      <w:pPr>
        <w:spacing w:before="40" w:after="40"/>
      </w:pPr>
      <w:r>
        <w:rPr>
          <w:i/>
          <w:iCs/>
          <w:color w:val="555555"/>
          <w:sz w:val="18"/>
          <w:szCs w:val="18"/>
        </w:rPr>
        <w:t>Supplementary Table S1. λ₁=1.0 throughout all versions. pos_w = positive class weight for BCE loss. The critical finding is that train–validation distribution mismatch (heterogeneous positive rates across integrated datasets) caused AUC to peak at epoch 1–3 and decline in all v0.3–v0.6 runs regardless of hyperparameter choices. The 80/20 peptide-level re-split in v0.7 is the definitive resolution.</w:t>
      </w:r>
    </w:p>
    <w:p w14:paraId="70DA2E9C" w14:textId="77777777" w:rsidR="005C7695" w:rsidRDefault="005C7695"/>
    <w:p w14:paraId="7D3B0616" w14:textId="77777777" w:rsidR="005C7695" w:rsidRDefault="005C7695"/>
    <w:p w14:paraId="5C657E17" w14:textId="77777777" w:rsidR="005C7695" w:rsidRDefault="00000000">
      <w:pPr>
        <w:pStyle w:val="Heading2"/>
      </w:pPr>
      <w:r>
        <w:t>Supplementary Table S2. HLA Class I Pseudo-Sequences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3"/>
        <w:gridCol w:w="7387"/>
      </w:tblGrid>
      <w:tr w:rsidR="005C7695" w14:paraId="149C6304"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3CA31B30" w14:textId="77777777" w:rsidR="005C7695" w:rsidRDefault="00000000">
            <w:r>
              <w:rPr>
                <w:b/>
                <w:bCs/>
                <w:sz w:val="20"/>
                <w:szCs w:val="20"/>
              </w:rPr>
              <w:t>HLA Allele</w:t>
            </w:r>
          </w:p>
        </w:tc>
        <w:tc>
          <w:tcPr>
            <w:tcW w:w="0" w:type="auto"/>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5856CA51" w14:textId="77777777" w:rsidR="005C7695" w:rsidRDefault="00000000">
            <w:r>
              <w:rPr>
                <w:b/>
                <w:bCs/>
                <w:sz w:val="20"/>
                <w:szCs w:val="20"/>
              </w:rPr>
              <w:t>34-position pseudo-sequence (Sette &amp; Sidney, 1999)</w:t>
            </w:r>
          </w:p>
        </w:tc>
      </w:tr>
      <w:tr w:rsidR="005C7695" w14:paraId="419BE21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8F3EE8" w14:textId="77777777" w:rsidR="005C7695" w:rsidRDefault="00000000">
            <w:r>
              <w:rPr>
                <w:b/>
                <w:bCs/>
                <w:sz w:val="19"/>
                <w:szCs w:val="19"/>
              </w:rPr>
              <w:t>HLA-A*01:01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6D3BCC" w14:textId="77777777" w:rsidR="005C7695" w:rsidRDefault="00000000">
            <w:r>
              <w:rPr>
                <w:sz w:val="17"/>
                <w:szCs w:val="17"/>
              </w:rPr>
              <w:t>YSAMHQENMAYTDANTLYIIYRDAQTFRVD</w:t>
            </w:r>
          </w:p>
        </w:tc>
      </w:tr>
      <w:tr w:rsidR="005C7695" w14:paraId="74E11D9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3C81AB" w14:textId="77777777" w:rsidR="005C7695" w:rsidRDefault="00000000">
            <w:r>
              <w:rPr>
                <w:b/>
                <w:bCs/>
                <w:sz w:val="19"/>
                <w:szCs w:val="19"/>
              </w:rPr>
              <w:t>HLA-A*02:01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472847" w14:textId="77777777" w:rsidR="005C7695" w:rsidRDefault="00000000">
            <w:r>
              <w:rPr>
                <w:sz w:val="17"/>
                <w:szCs w:val="17"/>
              </w:rPr>
              <w:t>YYAMYQENMAHTDANTLYIIYRDAQTFRVD</w:t>
            </w:r>
          </w:p>
        </w:tc>
      </w:tr>
      <w:tr w:rsidR="005C7695" w14:paraId="352C727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39C036" w14:textId="77777777" w:rsidR="005C7695" w:rsidRDefault="00000000">
            <w:r>
              <w:rPr>
                <w:b/>
                <w:bCs/>
                <w:sz w:val="19"/>
                <w:szCs w:val="19"/>
              </w:rPr>
              <w:t>HLA-A*03:01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8FD006" w14:textId="77777777" w:rsidR="005C7695" w:rsidRDefault="00000000">
            <w:r>
              <w:rPr>
                <w:sz w:val="17"/>
                <w:szCs w:val="17"/>
              </w:rPr>
              <w:t>YFAMYQENMAHTDANTLYIIYRDAQTFRVD</w:t>
            </w:r>
          </w:p>
        </w:tc>
      </w:tr>
      <w:tr w:rsidR="005C7695" w14:paraId="0A143AD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30E614" w14:textId="77777777" w:rsidR="005C7695" w:rsidRDefault="00000000">
            <w:r>
              <w:rPr>
                <w:b/>
                <w:bCs/>
                <w:sz w:val="19"/>
                <w:szCs w:val="19"/>
              </w:rPr>
              <w:t>HLA-A*11:01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F73760" w14:textId="77777777" w:rsidR="005C7695" w:rsidRDefault="00000000">
            <w:r>
              <w:rPr>
                <w:sz w:val="17"/>
                <w:szCs w:val="17"/>
              </w:rPr>
              <w:t>YFAMYQENMAHTDANTLYIIYRDAQTFRVD</w:t>
            </w:r>
          </w:p>
        </w:tc>
      </w:tr>
      <w:tr w:rsidR="005C7695" w14:paraId="5E7372B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22F3B8" w14:textId="77777777" w:rsidR="005C7695" w:rsidRDefault="00000000">
            <w:r>
              <w:rPr>
                <w:b/>
                <w:bCs/>
                <w:sz w:val="19"/>
                <w:szCs w:val="19"/>
              </w:rPr>
              <w:t>HLA-A*24:02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ECC5F7" w14:textId="77777777" w:rsidR="005C7695" w:rsidRDefault="00000000">
            <w:r>
              <w:rPr>
                <w:sz w:val="17"/>
                <w:szCs w:val="17"/>
              </w:rPr>
              <w:t>YYAMFQENMAHTDANTLYIIYRDAQTFRVD</w:t>
            </w:r>
          </w:p>
        </w:tc>
      </w:tr>
      <w:tr w:rsidR="005C7695" w14:paraId="0C8BAF9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03C19A" w14:textId="77777777" w:rsidR="005C7695" w:rsidRDefault="00000000">
            <w:r>
              <w:rPr>
                <w:b/>
                <w:bCs/>
                <w:sz w:val="19"/>
                <w:szCs w:val="19"/>
              </w:rPr>
              <w:t>HLA-A*26:01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26E77E" w14:textId="77777777" w:rsidR="005C7695" w:rsidRDefault="00000000">
            <w:r>
              <w:rPr>
                <w:sz w:val="17"/>
                <w:szCs w:val="17"/>
              </w:rPr>
              <w:t>YFAMFQENMAHTDANTLYIIYRDAQTFRVD</w:t>
            </w:r>
          </w:p>
        </w:tc>
      </w:tr>
      <w:tr w:rsidR="005C7695" w14:paraId="6A3EBCF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DC9730" w14:textId="77777777" w:rsidR="005C7695" w:rsidRDefault="00000000">
            <w:r>
              <w:rPr>
                <w:b/>
                <w:bCs/>
                <w:sz w:val="19"/>
                <w:szCs w:val="19"/>
              </w:rPr>
              <w:t>HLA-A*68:01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A0EA06" w14:textId="77777777" w:rsidR="005C7695" w:rsidRDefault="00000000">
            <w:r>
              <w:rPr>
                <w:sz w:val="17"/>
                <w:szCs w:val="17"/>
              </w:rPr>
              <w:t>YFAMYQENMAHTDANTLYIIYRDAQTFRVD</w:t>
            </w:r>
          </w:p>
        </w:tc>
      </w:tr>
      <w:tr w:rsidR="005C7695" w14:paraId="3A20F01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E57428" w14:textId="77777777" w:rsidR="005C7695" w:rsidRDefault="00000000">
            <w:r>
              <w:rPr>
                <w:b/>
                <w:bCs/>
                <w:sz w:val="19"/>
                <w:szCs w:val="19"/>
              </w:rPr>
              <w:t>HLA-B*07:02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A5DD21" w14:textId="77777777" w:rsidR="005C7695" w:rsidRDefault="00000000">
            <w:r>
              <w:rPr>
                <w:sz w:val="17"/>
                <w:szCs w:val="17"/>
              </w:rPr>
              <w:t>HSMRYNSTAVYLENMAATYIIIRDAQTFRV</w:t>
            </w:r>
          </w:p>
        </w:tc>
      </w:tr>
      <w:tr w:rsidR="005C7695" w14:paraId="1BC2C06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A85A0F" w14:textId="77777777" w:rsidR="005C7695" w:rsidRDefault="00000000">
            <w:r>
              <w:rPr>
                <w:b/>
                <w:bCs/>
                <w:sz w:val="19"/>
                <w:szCs w:val="19"/>
              </w:rPr>
              <w:t>HLA-B*08:01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93BCE8" w14:textId="77777777" w:rsidR="005C7695" w:rsidRDefault="00000000">
            <w:r>
              <w:rPr>
                <w:sz w:val="17"/>
                <w:szCs w:val="17"/>
              </w:rPr>
              <w:t>HSMRFHSTAVYLENMAATYIIIRDAQTFRV</w:t>
            </w:r>
          </w:p>
        </w:tc>
      </w:tr>
      <w:tr w:rsidR="005C7695" w14:paraId="681FC16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5B60F9" w14:textId="77777777" w:rsidR="005C7695" w:rsidRDefault="00000000">
            <w:r>
              <w:rPr>
                <w:b/>
                <w:bCs/>
                <w:sz w:val="19"/>
                <w:szCs w:val="19"/>
              </w:rPr>
              <w:t>HLA-B*27:05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A3E89D" w14:textId="77777777" w:rsidR="005C7695" w:rsidRDefault="00000000">
            <w:r>
              <w:rPr>
                <w:sz w:val="17"/>
                <w:szCs w:val="17"/>
              </w:rPr>
              <w:t>HSMRYNSTAVYLENMAATYIIIRDAQTFRV</w:t>
            </w:r>
          </w:p>
        </w:tc>
      </w:tr>
      <w:tr w:rsidR="005C7695" w14:paraId="7A9E575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4BD0BB" w14:textId="77777777" w:rsidR="005C7695" w:rsidRDefault="00000000">
            <w:r>
              <w:rPr>
                <w:b/>
                <w:bCs/>
                <w:sz w:val="19"/>
                <w:szCs w:val="19"/>
              </w:rPr>
              <w:t>HLA-B*35:01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936BE0" w14:textId="77777777" w:rsidR="005C7695" w:rsidRDefault="00000000">
            <w:r>
              <w:rPr>
                <w:sz w:val="17"/>
                <w:szCs w:val="17"/>
              </w:rPr>
              <w:t>HSLRYHSTAVYLENMAATYIIIRDAQTFRV</w:t>
            </w:r>
          </w:p>
        </w:tc>
      </w:tr>
      <w:tr w:rsidR="005C7695" w14:paraId="65C25A0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88FB06" w14:textId="77777777" w:rsidR="005C7695" w:rsidRDefault="00000000">
            <w:r>
              <w:rPr>
                <w:b/>
                <w:bCs/>
                <w:sz w:val="19"/>
                <w:szCs w:val="19"/>
              </w:rPr>
              <w:t>HLA-B*44:02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12CFFF" w14:textId="77777777" w:rsidR="005C7695" w:rsidRDefault="00000000">
            <w:r>
              <w:rPr>
                <w:sz w:val="17"/>
                <w:szCs w:val="17"/>
              </w:rPr>
              <w:t>HSLRYHSTAVYLENMAATYIIIRDAQTFRV</w:t>
            </w:r>
          </w:p>
        </w:tc>
      </w:tr>
      <w:tr w:rsidR="005C7695" w14:paraId="4DF82A0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04AA10" w14:textId="77777777" w:rsidR="005C7695" w:rsidRDefault="00000000">
            <w:r>
              <w:rPr>
                <w:b/>
                <w:bCs/>
                <w:sz w:val="19"/>
                <w:szCs w:val="19"/>
              </w:rPr>
              <w:t>HLA-B*57:01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FD1AC2" w14:textId="77777777" w:rsidR="005C7695" w:rsidRDefault="00000000">
            <w:r>
              <w:rPr>
                <w:sz w:val="17"/>
                <w:szCs w:val="17"/>
              </w:rPr>
              <w:t>HSLRYHSTAVYLENMAHSDAIIIRDAQTFR</w:t>
            </w:r>
          </w:p>
        </w:tc>
      </w:tr>
      <w:tr w:rsidR="005C7695" w14:paraId="7066ADA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70B55E" w14:textId="77777777" w:rsidR="005C7695" w:rsidRDefault="00000000">
            <w:r>
              <w:rPr>
                <w:b/>
                <w:bCs/>
                <w:sz w:val="19"/>
                <w:szCs w:val="19"/>
              </w:rPr>
              <w:t>HLA-C*05:01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EAAFCA" w14:textId="77777777" w:rsidR="005C7695" w:rsidRDefault="00000000">
            <w:r>
              <w:rPr>
                <w:sz w:val="17"/>
                <w:szCs w:val="17"/>
              </w:rPr>
              <w:t>HSLRYHSTAVYLENMAATYIIIRDAQTFRA</w:t>
            </w:r>
          </w:p>
        </w:tc>
      </w:tr>
      <w:tr w:rsidR="005C7695" w14:paraId="0B3A023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20AE45" w14:textId="77777777" w:rsidR="005C7695" w:rsidRDefault="00000000">
            <w:r>
              <w:rPr>
                <w:b/>
                <w:bCs/>
                <w:sz w:val="19"/>
                <w:szCs w:val="19"/>
              </w:rPr>
              <w:t>HLA-C*06:02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CA5560" w14:textId="77777777" w:rsidR="005C7695" w:rsidRDefault="00000000">
            <w:r>
              <w:rPr>
                <w:sz w:val="17"/>
                <w:szCs w:val="17"/>
              </w:rPr>
              <w:t>HSMRYHSTAVYLENMAATYIIIRDAQTFRA</w:t>
            </w:r>
          </w:p>
        </w:tc>
      </w:tr>
      <w:tr w:rsidR="005C7695" w14:paraId="4CF4CDC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73D69D" w14:textId="77777777" w:rsidR="005C7695" w:rsidRDefault="00000000">
            <w:r>
              <w:rPr>
                <w:b/>
                <w:bCs/>
                <w:sz w:val="19"/>
                <w:szCs w:val="19"/>
              </w:rPr>
              <w:t>HLA-C*07:02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FD2EAF" w14:textId="77777777" w:rsidR="005C7695" w:rsidRDefault="00000000">
            <w:r>
              <w:rPr>
                <w:sz w:val="17"/>
                <w:szCs w:val="17"/>
              </w:rPr>
              <w:t>HSMRYHSTAVYLENMAATYIIIRDAQTFRA</w:t>
            </w:r>
          </w:p>
        </w:tc>
      </w:tr>
    </w:tbl>
    <w:p w14:paraId="668671AD" w14:textId="77777777" w:rsidR="005C7695" w:rsidRDefault="00000000">
      <w:pPr>
        <w:spacing w:before="40" w:after="40"/>
      </w:pPr>
      <w:r>
        <w:rPr>
          <w:i/>
          <w:iCs/>
          <w:color w:val="555555"/>
          <w:sz w:val="18"/>
          <w:szCs w:val="18"/>
        </w:rPr>
        <w:t>Supplementary Table S2. HLA class I pseudo-sequences (34 polymorphic positions; Sette &amp; Sidney, 1999) used for all alleles in training and inference across model versions v0.1–v0.7. The 34 positions capture the peptide-binding groove’s polymorphic contact residues. HLA-A*02:01 accounts for 53.6% of IEDB-derived pairs, reflecting historical assay bias. TESLA and NCI/HiTIDE additions expand allele coverage to 80 distinct alleles.</w:t>
      </w:r>
    </w:p>
    <w:sectPr w:rsidR="005C769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C6110" w14:textId="77777777" w:rsidR="00F45048" w:rsidRDefault="00F45048">
      <w:r>
        <w:separator/>
      </w:r>
    </w:p>
  </w:endnote>
  <w:endnote w:type="continuationSeparator" w:id="0">
    <w:p w14:paraId="4207C458" w14:textId="77777777" w:rsidR="00F45048" w:rsidRDefault="00F45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891C1" w14:textId="77777777" w:rsidR="005C7695" w:rsidRDefault="00000000">
    <w:pPr>
      <w:jc w:val="center"/>
    </w:pPr>
    <w:r>
      <w:rPr>
        <w:color w:val="888888"/>
        <w:sz w:val="18"/>
        <w:szCs w:val="18"/>
      </w:rPr>
      <w:t>Met-3DNet-VI  |  Neoantigen GNN for Functional Immune Prediction  |  Neetu Singh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D3EF7" w14:textId="77777777" w:rsidR="00F45048" w:rsidRDefault="00F45048">
      <w:r>
        <w:separator/>
      </w:r>
    </w:p>
  </w:footnote>
  <w:footnote w:type="continuationSeparator" w:id="0">
    <w:p w14:paraId="07773BD2" w14:textId="77777777" w:rsidR="00F45048" w:rsidRDefault="00F450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7752A"/>
    <w:multiLevelType w:val="hybridMultilevel"/>
    <w:tmpl w:val="5AFA81BE"/>
    <w:lvl w:ilvl="0" w:tplc="CD2C9E6A">
      <w:start w:val="1"/>
      <w:numFmt w:val="decimal"/>
      <w:lvlText w:val="%1."/>
      <w:lvlJc w:val="left"/>
      <w:pPr>
        <w:ind w:left="720" w:hanging="360"/>
      </w:pPr>
    </w:lvl>
    <w:lvl w:ilvl="1" w:tplc="E8F48542">
      <w:numFmt w:val="decimal"/>
      <w:lvlText w:val=""/>
      <w:lvlJc w:val="left"/>
    </w:lvl>
    <w:lvl w:ilvl="2" w:tplc="AA40E334">
      <w:numFmt w:val="decimal"/>
      <w:lvlText w:val=""/>
      <w:lvlJc w:val="left"/>
    </w:lvl>
    <w:lvl w:ilvl="3" w:tplc="CAB87920">
      <w:numFmt w:val="decimal"/>
      <w:lvlText w:val=""/>
      <w:lvlJc w:val="left"/>
    </w:lvl>
    <w:lvl w:ilvl="4" w:tplc="3356B0C6">
      <w:numFmt w:val="decimal"/>
      <w:lvlText w:val=""/>
      <w:lvlJc w:val="left"/>
    </w:lvl>
    <w:lvl w:ilvl="5" w:tplc="4C828DBA">
      <w:numFmt w:val="decimal"/>
      <w:lvlText w:val=""/>
      <w:lvlJc w:val="left"/>
    </w:lvl>
    <w:lvl w:ilvl="6" w:tplc="A3DEF06A">
      <w:numFmt w:val="decimal"/>
      <w:lvlText w:val=""/>
      <w:lvlJc w:val="left"/>
    </w:lvl>
    <w:lvl w:ilvl="7" w:tplc="B01CBE00">
      <w:numFmt w:val="decimal"/>
      <w:lvlText w:val=""/>
      <w:lvlJc w:val="left"/>
    </w:lvl>
    <w:lvl w:ilvl="8" w:tplc="993062DC">
      <w:numFmt w:val="decimal"/>
      <w:lvlText w:val=""/>
      <w:lvlJc w:val="left"/>
    </w:lvl>
  </w:abstractNum>
  <w:abstractNum w:abstractNumId="1" w15:restartNumberingAfterBreak="0">
    <w:nsid w:val="775968C6"/>
    <w:multiLevelType w:val="hybridMultilevel"/>
    <w:tmpl w:val="72BC1E5E"/>
    <w:lvl w:ilvl="0" w:tplc="6B4EF082">
      <w:start w:val="1"/>
      <w:numFmt w:val="bullet"/>
      <w:lvlText w:val="●"/>
      <w:lvlJc w:val="left"/>
      <w:pPr>
        <w:ind w:left="720" w:hanging="360"/>
      </w:pPr>
    </w:lvl>
    <w:lvl w:ilvl="1" w:tplc="3D66BBAC">
      <w:start w:val="1"/>
      <w:numFmt w:val="bullet"/>
      <w:lvlText w:val="○"/>
      <w:lvlJc w:val="left"/>
      <w:pPr>
        <w:ind w:left="1440" w:hanging="360"/>
      </w:pPr>
    </w:lvl>
    <w:lvl w:ilvl="2" w:tplc="63F8ACFE">
      <w:start w:val="1"/>
      <w:numFmt w:val="bullet"/>
      <w:lvlText w:val="■"/>
      <w:lvlJc w:val="left"/>
      <w:pPr>
        <w:ind w:left="2160" w:hanging="360"/>
      </w:pPr>
    </w:lvl>
    <w:lvl w:ilvl="3" w:tplc="1E20F4A2">
      <w:start w:val="1"/>
      <w:numFmt w:val="bullet"/>
      <w:lvlText w:val="●"/>
      <w:lvlJc w:val="left"/>
      <w:pPr>
        <w:ind w:left="2880" w:hanging="360"/>
      </w:pPr>
    </w:lvl>
    <w:lvl w:ilvl="4" w:tplc="892AA070">
      <w:start w:val="1"/>
      <w:numFmt w:val="bullet"/>
      <w:lvlText w:val="○"/>
      <w:lvlJc w:val="left"/>
      <w:pPr>
        <w:ind w:left="3600" w:hanging="360"/>
      </w:pPr>
    </w:lvl>
    <w:lvl w:ilvl="5" w:tplc="8AF20B8C">
      <w:start w:val="1"/>
      <w:numFmt w:val="bullet"/>
      <w:lvlText w:val="■"/>
      <w:lvlJc w:val="left"/>
      <w:pPr>
        <w:ind w:left="4320" w:hanging="360"/>
      </w:pPr>
    </w:lvl>
    <w:lvl w:ilvl="6" w:tplc="33C6B348">
      <w:start w:val="1"/>
      <w:numFmt w:val="bullet"/>
      <w:lvlText w:val="●"/>
      <w:lvlJc w:val="left"/>
      <w:pPr>
        <w:ind w:left="5040" w:hanging="360"/>
      </w:pPr>
    </w:lvl>
    <w:lvl w:ilvl="7" w:tplc="566A7ADE">
      <w:start w:val="1"/>
      <w:numFmt w:val="bullet"/>
      <w:lvlText w:val="●"/>
      <w:lvlJc w:val="left"/>
      <w:pPr>
        <w:ind w:left="5760" w:hanging="360"/>
      </w:pPr>
    </w:lvl>
    <w:lvl w:ilvl="8" w:tplc="24065AE2">
      <w:start w:val="1"/>
      <w:numFmt w:val="bullet"/>
      <w:lvlText w:val="●"/>
      <w:lvlJc w:val="left"/>
      <w:pPr>
        <w:ind w:left="6480" w:hanging="360"/>
      </w:pPr>
    </w:lvl>
  </w:abstractNum>
  <w:abstractNum w:abstractNumId="2" w15:restartNumberingAfterBreak="0">
    <w:nsid w:val="78AF2AC7"/>
    <w:multiLevelType w:val="hybridMultilevel"/>
    <w:tmpl w:val="A9500B0E"/>
    <w:lvl w:ilvl="0" w:tplc="66D0CB78">
      <w:start w:val="1"/>
      <w:numFmt w:val="bullet"/>
      <w:lvlText w:val="•"/>
      <w:lvlJc w:val="left"/>
      <w:pPr>
        <w:ind w:left="720" w:hanging="360"/>
      </w:pPr>
    </w:lvl>
    <w:lvl w:ilvl="1" w:tplc="3A5EB734">
      <w:numFmt w:val="decimal"/>
      <w:lvlText w:val=""/>
      <w:lvlJc w:val="left"/>
    </w:lvl>
    <w:lvl w:ilvl="2" w:tplc="C6DC5ED6">
      <w:numFmt w:val="decimal"/>
      <w:lvlText w:val=""/>
      <w:lvlJc w:val="left"/>
    </w:lvl>
    <w:lvl w:ilvl="3" w:tplc="C5D02FCE">
      <w:numFmt w:val="decimal"/>
      <w:lvlText w:val=""/>
      <w:lvlJc w:val="left"/>
    </w:lvl>
    <w:lvl w:ilvl="4" w:tplc="509CDB34">
      <w:numFmt w:val="decimal"/>
      <w:lvlText w:val=""/>
      <w:lvlJc w:val="left"/>
    </w:lvl>
    <w:lvl w:ilvl="5" w:tplc="0EB490E2">
      <w:numFmt w:val="decimal"/>
      <w:lvlText w:val=""/>
      <w:lvlJc w:val="left"/>
    </w:lvl>
    <w:lvl w:ilvl="6" w:tplc="D73475D4">
      <w:numFmt w:val="decimal"/>
      <w:lvlText w:val=""/>
      <w:lvlJc w:val="left"/>
    </w:lvl>
    <w:lvl w:ilvl="7" w:tplc="A7864F44">
      <w:numFmt w:val="decimal"/>
      <w:lvlText w:val=""/>
      <w:lvlJc w:val="left"/>
    </w:lvl>
    <w:lvl w:ilvl="8" w:tplc="7762608E">
      <w:numFmt w:val="decimal"/>
      <w:lvlText w:val=""/>
      <w:lvlJc w:val="left"/>
    </w:lvl>
  </w:abstractNum>
  <w:num w:numId="1" w16cid:durableId="1802724302">
    <w:abstractNumId w:val="1"/>
    <w:lvlOverride w:ilvl="0">
      <w:startOverride w:val="1"/>
    </w:lvlOverride>
  </w:num>
  <w:num w:numId="2" w16cid:durableId="15928178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695"/>
    <w:rsid w:val="00033D6F"/>
    <w:rsid w:val="005C7695"/>
    <w:rsid w:val="00DC7123"/>
    <w:rsid w:val="00EB1A96"/>
    <w:rsid w:val="00F450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E749DA7"/>
  <w15:docId w15:val="{31E4EA36-E3B7-064E-9AD4-3871B2694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1F3864"/>
      <w:sz w:val="32"/>
      <w:szCs w:val="32"/>
    </w:rPr>
  </w:style>
  <w:style w:type="paragraph" w:styleId="Heading2">
    <w:name w:val="heading 2"/>
    <w:uiPriority w:val="9"/>
    <w:unhideWhenUsed/>
    <w:qFormat/>
    <w:pPr>
      <w:spacing w:before="280" w:after="130"/>
      <w:outlineLvl w:val="1"/>
    </w:pPr>
    <w:rPr>
      <w:b/>
      <w:bCs/>
      <w:color w:val="2E75B6"/>
      <w:sz w:val="27"/>
      <w:szCs w:val="27"/>
    </w:rPr>
  </w:style>
  <w:style w:type="paragraph" w:styleId="Heading3">
    <w:name w:val="heading 3"/>
    <w:uiPriority w:val="9"/>
    <w:unhideWhenUsed/>
    <w:qFormat/>
    <w:pPr>
      <w:spacing w:before="22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23</Pages>
  <Words>6816</Words>
  <Characters>49418</Characters>
  <Application>Microsoft Office Word</Application>
  <DocSecurity>0</DocSecurity>
  <Lines>1704</Lines>
  <Paragraphs>878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neetu singh</cp:lastModifiedBy>
  <cp:revision>2</cp:revision>
  <dcterms:created xsi:type="dcterms:W3CDTF">2026-04-26T12:13:00Z</dcterms:created>
  <dcterms:modified xsi:type="dcterms:W3CDTF">2026-04-26T12:42:00Z</dcterms:modified>
</cp:coreProperties>
</file>