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spacing w:line="300" w:lineRule="auto" w:before="0" w:after="120"/>
        <w:jc w:val="center"/>
      </w:pPr>
      <w:r>
        <w:rPr>
          <w:rFonts w:ascii="Times New Roman" w:hAnsi="Times New Roman"/>
          <w:b/>
          <w:i w:val="0"/>
          <w:color w:val="000000"/>
          <w:sz w:val="28"/>
          <w:caps w:val="0"/>
        </w:rPr>
        <w:t>1 ТЕСТОВЫЙ ДОКУМЕНТ ФОРМУЛ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Данный документ предназначен для проверки корректного рендеринга формул в формате ГОСТ 7.32-2001.</w:t>
      </w:r>
    </w:p>
    <w:p>
      <w:pPr>
        <w:pStyle w:val="Heading2"/>
        <w:spacing w:line="300" w:lineRule="auto" w:before="240" w:after="120"/>
        <w:jc w:val="left"/>
      </w:pPr>
      <w:r>
        <w:rPr>
          <w:rFonts w:ascii="Times New Roman" w:hAnsi="Times New Roman"/>
          <w:b/>
          <w:i w:val="0"/>
          <w:color w:val="000000"/>
          <w:sz w:val="28"/>
          <w:caps w:val="0"/>
        </w:rPr>
        <w:t>1.1 Простые формулы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Закон Ньютона описывает зависимость силы от массы и ускорения: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8192"/>
        <w:gridCol w:w="1446"/>
      </w:tblGrid>
      <w:tr>
        <w:tc>
          <w:tcPr>
            <w:tcW w:type="dxa" w:w="4819"/>
          </w:tcPr>
          <w:p>
            <w:pPr>
              <w:spacing w:before="120" w:after="120"/>
              <w:jc w:val="center"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=</m:t>
                </m:r>
                <m:r>
                  <m:t>m</m:t>
                </m:r>
                <m:r>
                  <m:rPr>
                    <m:sty m:val="p"/>
                  </m:rPr>
                  <m:t>⋅</m:t>
                </m:r>
                <m:r>
                  <m:t>a</m:t>
                </m:r>
              </m:oMath>
            </m:oMathPara>
          </w:p>
        </w:tc>
        <w:tc>
          <w:tcPr>
            <w:tcW w:type="dxa" w:w="4819"/>
          </w:tcPr>
          <w:p>
            <w:pPr>
              <w:spacing w:before="120" w:after="120"/>
              <w:jc w:val="right"/>
            </w:pPr>
            <w:r>
              <w:rPr>
                <w:rFonts w:ascii="Times New Roman" w:hAnsi="Times New Roman"/>
                <w:sz w:val="28"/>
              </w:rPr>
              <w:t>(1)</w:t>
            </w:r>
          </w:p>
        </w:tc>
      </w:tr>
    </w:tbl>
    <w:p>
      <w:pPr>
        <w:ind w:firstLine="709"/>
        <w:jc w:val="left"/>
      </w:pPr>
      <w:r>
        <w:rPr>
          <w:rFonts w:ascii="Times New Roman" w:hAnsi="Times New Roman"/>
          <w:sz w:val="28"/>
        </w:rPr>
        <w:t xml:space="preserve">где </w:t>
      </w:r>
      <m:oMathPara>
        <m:oMathParaPr>
          <m:jc m:val="center"/>
        </m:oMathParaPr>
        <m:oMath>
          <m:r>
            <m:t>F</m:t>
          </m:r>
        </m:oMath>
      </m:oMathPara>
      <w:r>
        <w:rPr>
          <w:rFonts w:ascii="Times New Roman" w:hAnsi="Times New Roman"/>
          <w:sz w:val="28"/>
        </w:rPr>
        <w:t xml:space="preserve"> — сила (Н), </w:t>
      </w:r>
      <m:oMathPara>
        <m:oMathParaPr>
          <m:jc m:val="center"/>
        </m:oMathParaPr>
        <m:oMath>
          <m:r>
            <m:t>m</m:t>
          </m:r>
        </m:oMath>
      </m:oMathPara>
      <w:r>
        <w:rPr>
          <w:rFonts w:ascii="Times New Roman" w:hAnsi="Times New Roman"/>
          <w:sz w:val="28"/>
        </w:rPr>
        <w:t xml:space="preserve"> — масса тела (кг), </w:t>
      </w:r>
      <m:oMathPara>
        <m:oMathParaPr>
          <m:jc m:val="center"/>
        </m:oMathParaPr>
        <m:oMath>
          <m:r>
            <m:t>a</m:t>
          </m:r>
        </m:oMath>
      </m:oMathPara>
      <w:r>
        <w:rPr>
          <w:rFonts w:ascii="Times New Roman" w:hAnsi="Times New Roman"/>
          <w:sz w:val="28"/>
        </w:rPr>
        <w:t xml:space="preserve"> — ускорение (м/с²).</w:t>
      </w:r>
    </w:p>
    <w:p/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Закон Ома для участка цепи: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8192"/>
        <w:gridCol w:w="1446"/>
      </w:tblGrid>
      <w:tr>
        <w:tc>
          <w:tcPr>
            <w:tcW w:type="dxa" w:w="4819"/>
          </w:tcPr>
          <w:p>
            <w:pPr>
              <w:spacing w:before="120" w:after="120"/>
              <w:jc w:val="center"/>
            </w:pPr>
            <m:oMathPara>
              <m:oMathParaPr>
                <m:jc m:val="center"/>
              </m:oMathParaPr>
              <m:oMath>
                <m:r>
                  <m:t>U</m:t>
                </m:r>
                <m:r>
                  <m:rPr>
                    <m:sty m:val="p"/>
                  </m:rPr>
                  <m:t>=</m:t>
                </m:r>
                <m:r>
                  <m:t>I</m:t>
                </m:r>
                <m:r>
                  <m:rPr>
                    <m:sty m:val="p"/>
                  </m:rPr>
                  <m:t>⋅</m:t>
                </m:r>
                <m:r>
                  <m:t>R</m:t>
                </m:r>
              </m:oMath>
            </m:oMathPara>
          </w:p>
        </w:tc>
        <w:tc>
          <w:tcPr>
            <w:tcW w:type="dxa" w:w="4819"/>
          </w:tcPr>
          <w:p>
            <w:pPr>
              <w:spacing w:before="120" w:after="120"/>
              <w:jc w:val="right"/>
            </w:pPr>
            <w:r>
              <w:rPr>
                <w:rFonts w:ascii="Times New Roman" w:hAnsi="Times New Roman"/>
                <w:sz w:val="28"/>
              </w:rPr>
              <w:t>(2)</w:t>
            </w:r>
          </w:p>
        </w:tc>
      </w:tr>
    </w:tbl>
    <w:p>
      <w:pPr>
        <w:ind w:firstLine="709"/>
        <w:jc w:val="left"/>
      </w:pPr>
      <w:r>
        <w:rPr>
          <w:rFonts w:ascii="Times New Roman" w:hAnsi="Times New Roman"/>
          <w:sz w:val="28"/>
        </w:rPr>
        <w:t xml:space="preserve">где </w:t>
      </w:r>
      <m:oMathPara>
        <m:oMathParaPr>
          <m:jc m:val="center"/>
        </m:oMathParaPr>
        <m:oMath>
          <m:r>
            <m:t>U</m:t>
          </m:r>
        </m:oMath>
      </m:oMathPara>
      <w:r>
        <w:rPr>
          <w:rFonts w:ascii="Times New Roman" w:hAnsi="Times New Roman"/>
          <w:sz w:val="28"/>
        </w:rPr>
        <w:t xml:space="preserve"> — напряжение (В), </w:t>
      </w:r>
      <m:oMathPara>
        <m:oMathParaPr>
          <m:jc m:val="center"/>
        </m:oMathParaPr>
        <m:oMath>
          <m:r>
            <m:t>I</m:t>
          </m:r>
        </m:oMath>
      </m:oMathPara>
      <w:r>
        <w:rPr>
          <w:rFonts w:ascii="Times New Roman" w:hAnsi="Times New Roman"/>
          <w:sz w:val="28"/>
        </w:rPr>
        <w:t xml:space="preserve"> — сила тока (А), </w:t>
      </w:r>
      <m:oMathPara>
        <m:oMathParaPr>
          <m:jc m:val="center"/>
        </m:oMathParaPr>
        <m:oMath>
          <m:r>
            <m:t>R</m:t>
          </m:r>
        </m:oMath>
      </m:oMathPara>
      <w:r>
        <w:rPr>
          <w:rFonts w:ascii="Times New Roman" w:hAnsi="Times New Roman"/>
          <w:sz w:val="28"/>
        </w:rPr>
        <w:t xml:space="preserve"> — сопротивление (Ом).</w:t>
      </w:r>
    </w:p>
    <w:p/>
    <w:p>
      <w:pPr>
        <w:pStyle w:val="Heading2"/>
        <w:spacing w:line="300" w:lineRule="auto" w:before="240" w:after="120"/>
        <w:jc w:val="left"/>
      </w:pPr>
      <w:r>
        <w:rPr>
          <w:rFonts w:ascii="Times New Roman" w:hAnsi="Times New Roman"/>
          <w:b/>
          <w:i w:val="0"/>
          <w:color w:val="000000"/>
          <w:sz w:val="28"/>
          <w:caps w:val="0"/>
        </w:rPr>
        <w:t>1.2 Дроби и корни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Формула для вычисления среднеквадратичного отклонения: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8192"/>
        <w:gridCol w:w="1446"/>
      </w:tblGrid>
      <w:tr>
        <w:tc>
          <w:tcPr>
            <w:tcW w:type="dxa" w:w="4819"/>
          </w:tcPr>
          <w:p>
            <w:pPr>
              <w:spacing w:before="120" w:after="120"/>
              <w:jc w:val="center"/>
            </w:pPr>
            <m:oMathPara>
              <m:oMathParaPr>
                <m:jc m:val="center"/>
              </m:oMathParaPr>
              <m:oMath>
                <m:r>
                  <m:t>σ</m:t>
                </m:r>
                <m:r>
                  <m:rPr>
                    <m:sty m:val="p"/>
                  </m:rPr>
                  <m:t>=</m:t>
                </m:r>
                <m:rad>
                  <m:radPr>
                    <m:degHide m:val="on"/>
                  </m:radPr>
                  <m:deg/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N</m:t>
                        </m:r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ty m:val="p"/>
                          </m:rPr>
                          <m:t>(</m:t>
                        </m:r>
                      </m:e>
                    </m:nary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μ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</m:rad>
              </m:oMath>
            </m:oMathPara>
          </w:p>
        </w:tc>
        <w:tc>
          <w:tcPr>
            <w:tcW w:type="dxa" w:w="4819"/>
          </w:tcPr>
          <w:p>
            <w:pPr>
              <w:spacing w:before="120" w:after="120"/>
              <w:jc w:val="right"/>
            </w:pPr>
            <w:r>
              <w:rPr>
                <w:rFonts w:ascii="Times New Roman" w:hAnsi="Times New Roman"/>
                <w:sz w:val="28"/>
              </w:rPr>
              <w:t>(3)</w:t>
            </w:r>
          </w:p>
        </w:tc>
      </w:tr>
    </w:tbl>
    <w:p>
      <w:pPr>
        <w:ind w:firstLine="709"/>
        <w:jc w:val="left"/>
      </w:pPr>
      <w:r>
        <w:rPr>
          <w:rFonts w:ascii="Times New Roman" w:hAnsi="Times New Roman"/>
          <w:sz w:val="28"/>
        </w:rPr>
        <w:t xml:space="preserve">где </w:t>
      </w:r>
      <m:oMathPara>
        <m:oMathParaPr>
          <m:jc m:val="center"/>
        </m:oMathParaPr>
        <m:oMath>
          <m:r>
            <m:t>σ</m:t>
          </m:r>
        </m:oMath>
      </m:oMathPara>
      <w:r>
        <w:rPr>
          <w:rFonts w:ascii="Times New Roman" w:hAnsi="Times New Roman"/>
          <w:sz w:val="28"/>
        </w:rPr>
        <w:t xml:space="preserve"> — среднеквадратичное отклонение, </w:t>
      </w:r>
      <m:oMathPara>
        <m:oMathParaPr>
          <m:jc m:val="center"/>
        </m:oMathParaPr>
        <m:oMath>
          <m:r>
            <m:t>N</m:t>
          </m:r>
        </m:oMath>
      </m:oMathPara>
      <w:r>
        <w:rPr>
          <w:rFonts w:ascii="Times New Roman" w:hAnsi="Times New Roman"/>
          <w:sz w:val="28"/>
        </w:rPr>
        <w:t xml:space="preserve"> — количество элементов, </w:t>
      </w:r>
      <m:oMathPara>
        <m:oMathParaPr>
          <m:jc m:val="center"/>
        </m:oMathParaPr>
        <m:oMath>
          <m:r>
            <m:t>μ</m:t>
          </m:r>
        </m:oMath>
      </m:oMathPara>
      <w:r>
        <w:rPr>
          <w:rFonts w:ascii="Times New Roman" w:hAnsi="Times New Roman"/>
          <w:sz w:val="28"/>
        </w:rPr>
        <w:t xml:space="preserve"> — среднее значение выборки.</w:t>
      </w:r>
    </w:p>
    <w:p/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Формула дискриминанта квадратного уравнения $ax^2 + bx + c = 0$: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8192"/>
        <w:gridCol w:w="1446"/>
      </w:tblGrid>
      <w:tr>
        <w:tc>
          <w:tcPr>
            <w:tcW w:type="dxa" w:w="4819"/>
          </w:tcPr>
          <w:p>
            <w:pPr>
              <w:spacing w:before="120" w:after="120"/>
              <w:jc w:val="center"/>
            </w:pPr>
            <m:oMathPara>
              <m:oMathParaPr>
                <m:jc m:val="center"/>
              </m:oMathParaPr>
              <m:oMath>
                <m:sSub>
                  <m:e>
                    <m:r>
                      <m:t>x</m:t>
                    </m:r>
                  </m:e>
                  <m:sub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−</m:t>
                    </m:r>
                    <m:r>
                      <m:t>b</m:t>
                    </m:r>
                    <m:r>
                      <m:rPr>
                        <m:sty m:val="p"/>
                      </m:rPr>
                      <m:t>±</m:t>
                    </m:r>
                    <m:rad>
                      <m:radPr>
                        <m:degHide m:val="on"/>
                      </m:radPr>
                      <m:deg/>
                      <m:e>
                        <m:sSup>
                          <m:e>
                            <m:r>
                              <m:t>b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4</m:t>
                        </m:r>
                        <m:r>
                          <m:t>a</m:t>
                        </m:r>
                        <m:r>
                          <m:t>c</m:t>
                        </m:r>
                      </m:e>
                    </m:rad>
                  </m:num>
                  <m:den>
                    <m:r>
                      <m:t>2</m:t>
                    </m:r>
                    <m:r>
                      <m:t>a</m:t>
                    </m:r>
                  </m:den>
                </m:f>
              </m:oMath>
            </m:oMathPara>
          </w:p>
        </w:tc>
        <w:tc>
          <w:tcPr>
            <w:tcW w:type="dxa" w:w="4819"/>
          </w:tcPr>
          <w:p>
            <w:pPr>
              <w:spacing w:before="120" w:after="120"/>
              <w:jc w:val="right"/>
            </w:pPr>
            <w:r>
              <w:rPr>
                <w:rFonts w:ascii="Times New Roman" w:hAnsi="Times New Roman"/>
                <w:sz w:val="28"/>
              </w:rPr>
              <w:t>(4)</w:t>
            </w:r>
          </w:p>
        </w:tc>
      </w:tr>
    </w:tbl>
    <w:p>
      <w:pPr>
        <w:ind w:firstLine="709"/>
        <w:jc w:val="left"/>
      </w:pPr>
      <w:r>
        <w:rPr>
          <w:rFonts w:ascii="Times New Roman" w:hAnsi="Times New Roman"/>
          <w:sz w:val="28"/>
        </w:rPr>
        <w:t xml:space="preserve">где </w:t>
      </w:r>
      <m:oMathPara>
        <m:oMathParaPr>
          <m:jc m:val="center"/>
        </m:oMathParaPr>
        <m:oMath>
          <m:r>
            <m:t>a</m:t>
          </m:r>
        </m:oMath>
      </m:oMathPara>
      <w:r>
        <w:rPr>
          <w:rFonts w:ascii="Times New Roman" w:hAnsi="Times New Roman"/>
          <w:sz w:val="28"/>
        </w:rPr>
        <w:t xml:space="preserve">, </w:t>
      </w:r>
      <m:oMathPara>
        <m:oMathParaPr>
          <m:jc m:val="center"/>
        </m:oMathParaPr>
        <m:oMath>
          <m:r>
            <m:t>b</m:t>
          </m:r>
        </m:oMath>
      </m:oMathPara>
      <w:r>
        <w:rPr>
          <w:rFonts w:ascii="Times New Roman" w:hAnsi="Times New Roman"/>
          <w:sz w:val="28"/>
        </w:rPr>
        <w:t xml:space="preserve">, </w:t>
      </w:r>
      <m:oMathPara>
        <m:oMathParaPr>
          <m:jc m:val="center"/>
        </m:oMathParaPr>
        <m:oMath>
          <m:r>
            <m:t>c</m:t>
          </m:r>
        </m:oMath>
      </m:oMathPara>
      <w:r>
        <w:rPr>
          <w:rFonts w:ascii="Times New Roman" w:hAnsi="Times New Roman"/>
          <w:sz w:val="28"/>
        </w:rPr>
        <w:t xml:space="preserve"> — коэффициенты уравнения.</w:t>
      </w:r>
    </w:p>
    <w:p/>
    <w:p>
      <w:pPr>
        <w:pStyle w:val="Heading2"/>
        <w:spacing w:line="300" w:lineRule="auto" w:before="240" w:after="120"/>
        <w:jc w:val="left"/>
      </w:pPr>
      <w:r>
        <w:rPr>
          <w:rFonts w:ascii="Times New Roman" w:hAnsi="Times New Roman"/>
          <w:b/>
          <w:i w:val="0"/>
          <w:color w:val="000000"/>
          <w:sz w:val="28"/>
          <w:caps w:val="0"/>
        </w:rPr>
        <w:t>1.3 Суммы и интегралы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Формула суммы геометрической прогрессии: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8192"/>
        <w:gridCol w:w="1446"/>
      </w:tblGrid>
      <w:tr>
        <w:tc>
          <w:tcPr>
            <w:tcW w:type="dxa" w:w="4819"/>
          </w:tcPr>
          <w:p>
            <w:pPr>
              <w:spacing w:before="120" w:after="120"/>
              <w:jc w:val="center"/>
            </w:pPr>
            <m:oMathPara>
              <m:oMathParaPr>
                <m:jc m:val="center"/>
              </m:oMathParaPr>
              <m:oMath>
                <m:sSub>
                  <m:e>
                    <m:r>
                      <m:t>S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b>
                  <m:sup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  <m:e>
                    <m:sSub>
                      <m:e>
                        <m:r>
                          <m:t>b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</m:nary>
                <m:r>
                  <m:rPr>
                    <m:sty m:val="p"/>
                  </m:rPr>
                  <m:t>⋅</m:t>
                </m:r>
                <m:sSup>
                  <m:e>
                    <m:r>
                      <m:t>q</m:t>
                    </m:r>
                  </m:e>
                  <m:sup>
                    <m:r>
                      <m:t>i</m:t>
                    </m:r>
                  </m:sup>
                </m:sSup>
                <m:r>
                  <m:rPr>
                    <m:sty m:val="p"/>
                  </m:rPr>
                  <m:t>=</m:t>
                </m:r>
                <m:sSub>
                  <m:e>
                    <m:r>
                      <m:t>b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⋅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q</m:t>
                        </m:r>
                      </m:e>
                      <m:sup>
                        <m:r>
                          <m:t>n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num>
                  <m:den>
                    <m:r>
                      <m:t>q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den>
                </m:f>
              </m:oMath>
            </m:oMathPara>
          </w:p>
        </w:tc>
        <w:tc>
          <w:tcPr>
            <w:tcW w:type="dxa" w:w="4819"/>
          </w:tcPr>
          <w:p>
            <w:pPr>
              <w:spacing w:before="120" w:after="120"/>
              <w:jc w:val="right"/>
            </w:pPr>
            <w:r>
              <w:rPr>
                <w:rFonts w:ascii="Times New Roman" w:hAnsi="Times New Roman"/>
                <w:sz w:val="28"/>
              </w:rPr>
              <w:t>(5)</w:t>
            </w:r>
          </w:p>
        </w:tc>
      </w:tr>
    </w:tbl>
    <w:p>
      <w:pPr>
        <w:ind w:firstLine="709"/>
        <w:jc w:val="left"/>
      </w:pPr>
      <w:r>
        <w:rPr>
          <w:rFonts w:ascii="Times New Roman" w:hAnsi="Times New Roman"/>
          <w:sz w:val="28"/>
        </w:rPr>
        <w:t xml:space="preserve">где </w:t>
      </w:r>
      <m:oMathPara>
        <m:oMathParaPr>
          <m:jc m:val="center"/>
        </m:oMathParaPr>
        <m:oMath>
          <m:sSub>
            <m:e>
              <m:r>
                <m:t>b</m:t>
              </m:r>
            </m:e>
            <m:sub>
              <m:r>
                <m:t>1</m:t>
              </m:r>
            </m:sub>
          </m:sSub>
        </m:oMath>
      </m:oMathPara>
      <w:r>
        <w:rPr>
          <w:rFonts w:ascii="Times New Roman" w:hAnsi="Times New Roman"/>
          <w:sz w:val="28"/>
        </w:rPr>
        <w:t xml:space="preserve"> — первый член прогрессии, </w:t>
      </w:r>
      <m:oMathPara>
        <m:oMathParaPr>
          <m:jc m:val="center"/>
        </m:oMathParaPr>
        <m:oMath>
          <m:r>
            <m:t>q</m:t>
          </m:r>
        </m:oMath>
      </m:oMathPara>
      <w:r>
        <w:rPr>
          <w:rFonts w:ascii="Times New Roman" w:hAnsi="Times New Roman"/>
          <w:sz w:val="28"/>
        </w:rPr>
        <w:t xml:space="preserve"> — знаменатель прогрессии, </w:t>
      </w:r>
      <m:oMathPara>
        <m:oMathParaPr>
          <m:jc m:val="center"/>
        </m:oMathParaPr>
        <m:oMath>
          <m:r>
            <m:t>n</m:t>
          </m:r>
        </m:oMath>
      </m:oMathPara>
      <w:r>
        <w:rPr>
          <w:rFonts w:ascii="Times New Roman" w:hAnsi="Times New Roman"/>
          <w:sz w:val="28"/>
        </w:rPr>
        <w:t xml:space="preserve"> — количество членов.</w:t>
      </w:r>
    </w:p>
    <w:p/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Интеграл Гаусса: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8192"/>
        <w:gridCol w:w="1446"/>
      </w:tblGrid>
      <w:tr>
        <w:tc>
          <w:tcPr>
            <w:tcW w:type="dxa" w:w="4819"/>
          </w:tcPr>
          <w:p>
            <w:pPr>
              <w:spacing w:before="120" w:after="120"/>
              <w:jc w:val="center"/>
            </w:pPr>
            <m:oMathPara>
              <m:oMathParaPr>
                <m:jc m:val="center"/>
              </m:oMathParaPr>
              <m:oMath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∞</m:t>
                    </m:r>
                  </m:sub>
                  <m:sup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∞</m:t>
                    </m:r>
                  </m:sup>
                  <m:e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sup>
                    </m:sSup>
                  </m:e>
                </m:nary>
                <m:r>
                  <m:t>d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ad>
                  <m:radPr>
                    <m:degHide m:val="on"/>
                  </m:radPr>
                  <m:deg/>
                  <m:e>
                    <m:r>
                      <m:t>π</m:t>
                    </m:r>
                  </m:e>
                </m:rad>
              </m:oMath>
            </m:oMathPara>
          </w:p>
        </w:tc>
        <w:tc>
          <w:tcPr>
            <w:tcW w:type="dxa" w:w="4819"/>
          </w:tcPr>
          <w:p>
            <w:pPr>
              <w:spacing w:before="120" w:after="120"/>
              <w:jc w:val="right"/>
            </w:pPr>
            <w:r>
              <w:rPr>
                <w:rFonts w:ascii="Times New Roman" w:hAnsi="Times New Roman"/>
                <w:sz w:val="28"/>
              </w:rPr>
              <w:t>(6)</w:t>
            </w:r>
          </w:p>
        </w:tc>
      </w:tr>
    </w:tbl>
    <w:p/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Формула Эйлера через интеграл: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8192"/>
        <w:gridCol w:w="1446"/>
      </w:tblGrid>
      <w:tr>
        <w:tc>
          <w:tcPr>
            <w:tcW w:type="dxa" w:w="4819"/>
          </w:tcPr>
          <w:p>
            <w:pPr>
              <w:spacing w:before="120" w:after="120"/>
              <w:jc w:val="center"/>
            </w:pPr>
            <m:oMathPara>
              <m:oMathParaPr>
                <m:jc m:val="center"/>
              </m:oMathParaPr>
              <m:oMath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0</m:t>
                    </m:r>
                  </m:sub>
                  <m:sup>
                    <m:r>
                      <m:rPr>
                        <m:sty m:val="p"/>
                      </m:rPr>
                      <m:t>∞</m:t>
                    </m:r>
                  </m:sup>
                  <m:e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sup>
                        </m:sSup>
                      </m:num>
                      <m:den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x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den>
                    </m:f>
                  </m:e>
                </m:nary>
                <m:r>
                  <m:t>d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Γ</m:t>
                </m:r>
                <m:r>
                  <m:rPr>
                    <m:sty m:val="p"/>
                  </m:rPr>
                  <m:t>(</m:t>
                </m:r>
                <m:r>
                  <m:t>n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⋅</m:t>
                </m:r>
                <m:r>
                  <m:t>ζ</m:t>
                </m:r>
                <m:r>
                  <m:rPr>
                    <m:sty m:val="p"/>
                  </m:rPr>
                  <m:t>(</m:t>
                </m:r>
                <m:r>
                  <m:t>n</m:t>
                </m:r>
                <m:r>
                  <m:rPr>
                    <m:sty m:val="p"/>
                  </m:rPr>
                  <m:t>)</m:t>
                </m:r>
              </m:oMath>
            </m:oMathPara>
          </w:p>
        </w:tc>
        <w:tc>
          <w:tcPr>
            <w:tcW w:type="dxa" w:w="4819"/>
          </w:tcPr>
          <w:p>
            <w:pPr>
              <w:spacing w:before="120" w:after="120"/>
              <w:jc w:val="right"/>
            </w:pPr>
            <w:r>
              <w:rPr>
                <w:rFonts w:ascii="Times New Roman" w:hAnsi="Times New Roman"/>
                <w:sz w:val="28"/>
              </w:rPr>
              <w:t>(7)</w:t>
            </w:r>
          </w:p>
        </w:tc>
      </w:tr>
    </w:tbl>
    <w:p>
      <w:pPr>
        <w:ind w:firstLine="709"/>
        <w:jc w:val="left"/>
      </w:pPr>
      <w:r>
        <w:rPr>
          <w:rFonts w:ascii="Times New Roman" w:hAnsi="Times New Roman"/>
          <w:sz w:val="28"/>
        </w:rPr>
        <w:t xml:space="preserve">где </w:t>
      </w:r>
      <m:oMathPara>
        <m:oMathParaPr>
          <m:jc m:val="center"/>
        </m:oMathParaPr>
        <m:oMath>
          <m:r>
            <m:rPr>
              <m:sty m:val="p"/>
            </m:rPr>
            <m:t>Γ</m:t>
          </m:r>
          <m:r>
            <m:rPr>
              <m:sty m:val="p"/>
            </m:rPr>
            <m:t>(</m:t>
          </m:r>
          <m:r>
            <m:t>n</m:t>
          </m:r>
          <m:r>
            <m:rPr>
              <m:sty m:val="p"/>
            </m:rPr>
            <m:t>)</m:t>
          </m:r>
        </m:oMath>
      </m:oMathPara>
      <w:r>
        <w:rPr>
          <w:rFonts w:ascii="Times New Roman" w:hAnsi="Times New Roman"/>
          <w:sz w:val="28"/>
        </w:rPr>
        <w:t xml:space="preserve"> — гамма-функция, </w:t>
      </w:r>
      <m:oMathPara>
        <m:oMathParaPr>
          <m:jc m:val="center"/>
        </m:oMathParaPr>
        <m:oMath>
          <m:r>
            <m:t>ζ</m:t>
          </m:r>
          <m:r>
            <m:rPr>
              <m:sty m:val="p"/>
            </m:rPr>
            <m:t>(</m:t>
          </m:r>
          <m:r>
            <m:t>n</m:t>
          </m:r>
          <m:r>
            <m:rPr>
              <m:sty m:val="p"/>
            </m:rPr>
            <m:t>)</m:t>
          </m:r>
        </m:oMath>
      </m:oMathPara>
      <w:r>
        <w:rPr>
          <w:rFonts w:ascii="Times New Roman" w:hAnsi="Times New Roman"/>
          <w:sz w:val="28"/>
        </w:rPr>
        <w:t xml:space="preserve"> — дзета-функция Римана.</w:t>
      </w:r>
    </w:p>
    <w:p/>
    <w:p>
      <w:pPr>
        <w:pStyle w:val="Heading2"/>
        <w:spacing w:line="300" w:lineRule="auto" w:before="240" w:after="120"/>
        <w:jc w:val="left"/>
      </w:pPr>
      <w:r>
        <w:rPr>
          <w:rFonts w:ascii="Times New Roman" w:hAnsi="Times New Roman"/>
          <w:b/>
          <w:i w:val="0"/>
          <w:color w:val="000000"/>
          <w:sz w:val="28"/>
          <w:caps w:val="0"/>
        </w:rPr>
        <w:t>1.4 Матрицы и системы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Система линейных уравнений в матричной форме: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8192"/>
        <w:gridCol w:w="1446"/>
      </w:tblGrid>
      <w:tr>
        <w:tc>
          <w:tcPr>
            <w:tcW w:type="dxa" w:w="4819"/>
          </w:tcPr>
          <w:p>
            <w:pPr>
              <w:spacing w:before="120" w:after="120"/>
              <w:jc w:val="center"/>
            </w:pPr>
            <m:oMathPara>
              <m:oMathParaPr>
                <m:jc m:val="center"/>
              </m:oMathParaPr>
              <m:oMath>
                <m:d>
                  <m:dPr>
                    <m:begChr m:val="("/>
                    <m:sepChr m:val=""/>
                    <m:endChr m:val=")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11</m:t>
                              </m:r>
                            </m:sub>
                          </m:sSub>
                        </m:e>
                        <m:e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12</m:t>
                              </m:r>
                            </m:sub>
                          </m:sSub>
                        </m:e>
                        <m:e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13</m:t>
                              </m:r>
                            </m:sub>
                          </m:sSub>
                        </m:e>
                      </m:mr>
                      <m:mr>
                        <m:e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21</m:t>
                              </m:r>
                            </m:sub>
                          </m:sSub>
                        </m:e>
                        <m:e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22</m:t>
                              </m:r>
                            </m:sub>
                          </m:sSub>
                        </m:e>
                        <m:e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23</m:t>
                              </m:r>
                            </m:sub>
                          </m:sSub>
                        </m:e>
                      </m:mr>
                      <m:mr>
                        <m:e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31</m:t>
                              </m:r>
                            </m:sub>
                          </m:sSub>
                        </m:e>
                        <m:e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32</m:t>
                              </m:r>
                            </m:sub>
                          </m:sSub>
                        </m:e>
                        <m:e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33</m:t>
                              </m:r>
                            </m:sub>
                          </m:sSub>
                        </m:e>
                      </m:mr>
                    </m:m>
                  </m:e>
                </m:d>
                <m:r>
                  <m:rPr>
                    <m:sty m:val="p"/>
                  </m:rPr>
                  <m:t>⋅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</m:e>
                      </m:mr>
                      <m:m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</m:e>
                      </m:mr>
                      <m:m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3</m:t>
                              </m:r>
                            </m:sub>
                          </m:sSub>
                        </m:e>
                      </m:mr>
                    </m:m>
                  </m:e>
                </m:d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sSub>
                            <m:e>
                              <m:r>
                                <m:t>b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</m:e>
                      </m:mr>
                      <m:mr>
                        <m:e>
                          <m:sSub>
                            <m:e>
                              <m:r>
                                <m:t>b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</m:e>
                      </m:mr>
                      <m:mr>
                        <m:e>
                          <m:sSub>
                            <m:e>
                              <m:r>
                                <m:t>b</m:t>
                              </m:r>
                            </m:e>
                            <m:sub>
                              <m:r>
                                <m:t>3</m:t>
                              </m:r>
                            </m:sub>
                          </m:sSub>
                        </m:e>
                      </m:mr>
                    </m:m>
                  </m:e>
                </m:d>
              </m:oMath>
            </m:oMathPara>
          </w:p>
        </w:tc>
        <w:tc>
          <w:tcPr>
            <w:tcW w:type="dxa" w:w="4819"/>
          </w:tcPr>
          <w:p>
            <w:pPr>
              <w:spacing w:before="120" w:after="120"/>
              <w:jc w:val="right"/>
            </w:pPr>
            <w:r>
              <w:rPr>
                <w:rFonts w:ascii="Times New Roman" w:hAnsi="Times New Roman"/>
                <w:sz w:val="28"/>
              </w:rPr>
              <w:t>(8)</w:t>
            </w:r>
          </w:p>
        </w:tc>
      </w:tr>
    </w:tbl>
    <w:p>
      <w:pPr>
        <w:ind w:firstLine="709"/>
        <w:jc w:val="left"/>
      </w:pPr>
      <w:r>
        <w:rPr>
          <w:rFonts w:ascii="Times New Roman" w:hAnsi="Times New Roman"/>
          <w:sz w:val="28"/>
        </w:rPr>
        <w:t xml:space="preserve">где </w:t>
      </w: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  <w:r>
        <w:rPr>
          <w:rFonts w:ascii="Times New Roman" w:hAnsi="Times New Roman"/>
          <w:sz w:val="28"/>
        </w:rPr>
        <w:t xml:space="preserve"> — коэффициенты системы, </w:t>
      </w: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t>i</m:t>
              </m:r>
            </m:sub>
          </m:sSub>
        </m:oMath>
      </m:oMathPara>
      <w:r>
        <w:rPr>
          <w:rFonts w:ascii="Times New Roman" w:hAnsi="Times New Roman"/>
          <w:sz w:val="28"/>
        </w:rPr>
        <w:t xml:space="preserve"> — неизвестные, </w:t>
      </w:r>
      <m:oMathPara>
        <m:oMathParaPr>
          <m:jc m:val="center"/>
        </m:oMathParaPr>
        <m:oMath>
          <m:sSub>
            <m:e>
              <m:r>
                <m:t>b</m:t>
              </m:r>
            </m:e>
            <m:sub>
              <m:r>
                <m:t>i</m:t>
              </m:r>
            </m:sub>
          </m:sSub>
        </m:oMath>
      </m:oMathPara>
      <w:r>
        <w:rPr>
          <w:rFonts w:ascii="Times New Roman" w:hAnsi="Times New Roman"/>
          <w:sz w:val="28"/>
        </w:rPr>
        <w:t xml:space="preserve"> — свободные члены.</w:t>
      </w:r>
    </w:p>
    <w:p/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Определитель матрицы 2×2: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8192"/>
        <w:gridCol w:w="1446"/>
      </w:tblGrid>
      <w:tr>
        <w:tc>
          <w:tcPr>
            <w:tcW w:type="dxa" w:w="4819"/>
          </w:tcPr>
          <w:p>
            <w:pPr>
              <w:spacing w:before="120" w:after="120"/>
              <w:jc w:val="center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det</m:t>
                </m:r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d>
                  <m:dPr>
                    <m:begChr m:val="∣"/>
                    <m:sepChr m:val=""/>
                    <m:endChr m:val="∣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t>a</m:t>
                          </m:r>
                        </m:e>
                        <m:e>
                          <m:r>
                            <m:t>b</m:t>
                          </m:r>
                        </m:e>
                      </m:mr>
                      <m:mr>
                        <m:e>
                          <m:r>
                            <m:t>c</m:t>
                          </m:r>
                        </m:e>
                        <m:e>
                          <m:r>
                            <m:t>d</m:t>
                          </m:r>
                        </m:e>
                      </m:mr>
                    </m:m>
                  </m:e>
                </m:d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t>d</m:t>
                </m:r>
                <m:r>
                  <m:rPr>
                    <m:sty m:val="p"/>
                  </m:rPr>
                  <m:t>−</m:t>
                </m:r>
                <m:r>
                  <m:t>b</m:t>
                </m:r>
                <m:r>
                  <m:t>c</m:t>
                </m:r>
              </m:oMath>
            </m:oMathPara>
          </w:p>
        </w:tc>
        <w:tc>
          <w:tcPr>
            <w:tcW w:type="dxa" w:w="4819"/>
          </w:tcPr>
          <w:p>
            <w:pPr>
              <w:spacing w:before="120" w:after="120"/>
              <w:jc w:val="right"/>
            </w:pPr>
            <w:r>
              <w:rPr>
                <w:rFonts w:ascii="Times New Roman" w:hAnsi="Times New Roman"/>
                <w:sz w:val="28"/>
              </w:rPr>
              <w:t>(9)</w:t>
            </w:r>
          </w:p>
        </w:tc>
      </w:tr>
    </w:tbl>
    <w:p/>
    <w:p>
      <w:pPr>
        <w:pStyle w:val="Heading2"/>
        <w:spacing w:line="300" w:lineRule="auto" w:before="240" w:after="120"/>
        <w:jc w:val="left"/>
      </w:pPr>
      <w:r>
        <w:rPr>
          <w:rFonts w:ascii="Times New Roman" w:hAnsi="Times New Roman"/>
          <w:b/>
          <w:i w:val="0"/>
          <w:color w:val="000000"/>
          <w:sz w:val="28"/>
          <w:caps w:val="0"/>
        </w:rPr>
        <w:t>1.5 Греческие символы и физика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Уравнение Шрёдингера (стационарное):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8192"/>
        <w:gridCol w:w="1446"/>
      </w:tblGrid>
      <w:tr>
        <w:tc>
          <w:tcPr>
            <w:tcW w:type="dxa" w:w="4819"/>
          </w:tcPr>
          <w:p>
            <w:pPr>
              <w:spacing w:before="120" w:after="120"/>
              <w:jc w:val="center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rPr>
                            <m:sty m:val="p"/>
                          </m:rPr>
                          <m:t>ℏ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num>
                  <m:den>
                    <m:r>
                      <m:t>2</m:t>
                    </m:r>
                    <m:r>
                      <m:t>m</m:t>
                    </m:r>
                  </m:den>
                </m:f>
                <m:sSup>
                  <m:e>
                    <m:r>
                      <m:rPr>
                        <m:sty m:val="p"/>
                      </m:rPr>
                      <m:t>∇</m:t>
                    </m:r>
                  </m:e>
                  <m:sup>
                    <m:r>
                      <m:t>2</m:t>
                    </m:r>
                  </m:sup>
                </m:sSup>
                <m:r>
                  <m:t>ψ</m:t>
                </m:r>
                <m:r>
                  <m:rPr>
                    <m:sty m:val="p"/>
                  </m:rPr>
                  <m:t>+</m:t>
                </m:r>
                <m:r>
                  <m:t>V</m:t>
                </m:r>
                <m:r>
                  <m:t>ψ</m:t>
                </m:r>
                <m:r>
                  <m:rPr>
                    <m:sty m:val="p"/>
                  </m:rPr>
                  <m:t>=</m:t>
                </m:r>
                <m:r>
                  <m:t>E</m:t>
                </m:r>
                <m:r>
                  <m:t>ψ</m:t>
                </m:r>
              </m:oMath>
            </m:oMathPara>
          </w:p>
        </w:tc>
        <w:tc>
          <w:tcPr>
            <w:tcW w:type="dxa" w:w="4819"/>
          </w:tcPr>
          <w:p>
            <w:pPr>
              <w:spacing w:before="120" w:after="120"/>
              <w:jc w:val="right"/>
            </w:pPr>
            <w:r>
              <w:rPr>
                <w:rFonts w:ascii="Times New Roman" w:hAnsi="Times New Roman"/>
                <w:sz w:val="28"/>
              </w:rPr>
              <w:t>(10)</w:t>
            </w:r>
          </w:p>
        </w:tc>
      </w:tr>
    </w:tbl>
    <w:p>
      <w:pPr>
        <w:ind w:firstLine="709"/>
        <w:jc w:val="left"/>
      </w:pPr>
      <w:r>
        <w:rPr>
          <w:rFonts w:ascii="Times New Roman" w:hAnsi="Times New Roman"/>
          <w:sz w:val="28"/>
        </w:rPr>
        <w:t xml:space="preserve">где </w:t>
      </w:r>
      <m:oMathPara>
        <m:oMathParaPr>
          <m:jc m:val="center"/>
        </m:oMathParaPr>
        <m:oMath>
          <m:r>
            <m:rPr>
              <m:sty m:val="p"/>
            </m:rPr>
            <m:t>ℏ</m:t>
          </m:r>
        </m:oMath>
      </m:oMathPara>
      <w:r>
        <w:rPr>
          <w:rFonts w:ascii="Times New Roman" w:hAnsi="Times New Roman"/>
          <w:sz w:val="28"/>
        </w:rPr>
        <w:t xml:space="preserve"> — редуцированная постоянная Планка, </w:t>
      </w:r>
      <m:oMathPara>
        <m:oMathParaPr>
          <m:jc m:val="center"/>
        </m:oMathParaPr>
        <m:oMath>
          <m:r>
            <m:t>m</m:t>
          </m:r>
        </m:oMath>
      </m:oMathPara>
      <w:r>
        <w:rPr>
          <w:rFonts w:ascii="Times New Roman" w:hAnsi="Times New Roman"/>
          <w:sz w:val="28"/>
        </w:rPr>
        <w:t xml:space="preserve"> — масса частицы, </w:t>
      </w:r>
      <m:oMathPara>
        <m:oMathParaPr>
          <m:jc m:val="center"/>
        </m:oMathParaPr>
        <m:oMath>
          <m:r>
            <m:t>ψ</m:t>
          </m:r>
        </m:oMath>
      </m:oMathPara>
      <w:r>
        <w:rPr>
          <w:rFonts w:ascii="Times New Roman" w:hAnsi="Times New Roman"/>
          <w:sz w:val="28"/>
        </w:rPr>
        <w:t xml:space="preserve"> — волновая функция, </w:t>
      </w:r>
      <m:oMathPara>
        <m:oMathParaPr>
          <m:jc m:val="center"/>
        </m:oMathParaPr>
        <m:oMath>
          <m:r>
            <m:t>V</m:t>
          </m:r>
        </m:oMath>
      </m:oMathPara>
      <w:r>
        <w:rPr>
          <w:rFonts w:ascii="Times New Roman" w:hAnsi="Times New Roman"/>
          <w:sz w:val="28"/>
        </w:rPr>
        <w:t xml:space="preserve"> — потенциальная энергия, </w:t>
      </w:r>
      <m:oMathPara>
        <m:oMathParaPr>
          <m:jc m:val="center"/>
        </m:oMathParaPr>
        <m:oMath>
          <m:r>
            <m:t>E</m:t>
          </m:r>
        </m:oMath>
      </m:oMathPara>
      <w:r>
        <w:rPr>
          <w:rFonts w:ascii="Times New Roman" w:hAnsi="Times New Roman"/>
          <w:sz w:val="28"/>
        </w:rPr>
        <w:t xml:space="preserve"> — полная энергия.</w:t>
      </w:r>
    </w:p>
    <w:p/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Формула закона всемирного тяготения Ньютона: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8192"/>
        <w:gridCol w:w="1446"/>
      </w:tblGrid>
      <w:tr>
        <w:tc>
          <w:tcPr>
            <w:tcW w:type="dxa" w:w="4819"/>
          </w:tcPr>
          <w:p>
            <w:pPr>
              <w:spacing w:before="120" w:after="120"/>
              <w:jc w:val="center"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=</m:t>
                </m:r>
                <m:r>
                  <m:t>G</m:t>
                </m:r>
                <m:r>
                  <m:rPr>
                    <m:sty m:val="p"/>
                  </m:rPr>
                  <m:t>⋅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m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sSub>
                      <m:e>
                        <m:r>
                          <m:t>m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num>
                  <m:den>
                    <m:sSup>
                      <m:e>
                        <m:r>
                          <m:t>r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</m:oMath>
            </m:oMathPara>
          </w:p>
        </w:tc>
        <w:tc>
          <w:tcPr>
            <w:tcW w:type="dxa" w:w="4819"/>
          </w:tcPr>
          <w:p>
            <w:pPr>
              <w:spacing w:before="120" w:after="120"/>
              <w:jc w:val="right"/>
            </w:pPr>
            <w:r>
              <w:rPr>
                <w:rFonts w:ascii="Times New Roman" w:hAnsi="Times New Roman"/>
                <w:sz w:val="28"/>
              </w:rPr>
              <w:t>(11)</w:t>
            </w:r>
          </w:p>
        </w:tc>
      </w:tr>
    </w:tbl>
    <w:p>
      <w:pPr>
        <w:ind w:firstLine="709"/>
        <w:jc w:val="left"/>
      </w:pPr>
      <w:r>
        <w:rPr>
          <w:rFonts w:ascii="Times New Roman" w:hAnsi="Times New Roman"/>
          <w:sz w:val="28"/>
        </w:rPr>
        <w:t xml:space="preserve">где </w:t>
      </w: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=</m:t>
          </m:r>
          <m:r>
            <m:t>6.674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11</m:t>
              </m:r>
            </m:sup>
          </m:sSup>
        </m:oMath>
      </m:oMathPara>
      <w:r>
        <w:rPr>
          <w:rFonts w:ascii="Times New Roman" w:hAnsi="Times New Roman"/>
          <w:sz w:val="28"/>
        </w:rPr>
        <w:t xml:space="preserve"> Н·м²/кг² — гравитационная постоянная, </w:t>
      </w:r>
      <m:oMathPara>
        <m:oMathParaPr>
          <m:jc m:val="center"/>
        </m:oMathParaPr>
        <m:oMath>
          <m:sSub>
            <m:e>
              <m:r>
                <m:t>m</m:t>
              </m:r>
            </m:e>
            <m:sub>
              <m:r>
                <m:t>1</m:t>
              </m:r>
            </m:sub>
          </m:sSub>
        </m:oMath>
      </m:oMathPara>
      <w:r>
        <w:rPr>
          <w:rFonts w:ascii="Times New Roman" w:hAnsi="Times New Roman"/>
          <w:sz w:val="28"/>
        </w:rPr>
        <w:t xml:space="preserve">, </w:t>
      </w:r>
      <m:oMathPara>
        <m:oMathParaPr>
          <m:jc m:val="center"/>
        </m:oMathParaPr>
        <m:oMath>
          <m:sSub>
            <m:e>
              <m:r>
                <m:t>m</m:t>
              </m:r>
            </m:e>
            <m:sub>
              <m:r>
                <m:t>2</m:t>
              </m:r>
            </m:sub>
          </m:sSub>
        </m:oMath>
      </m:oMathPara>
      <w:r>
        <w:rPr>
          <w:rFonts w:ascii="Times New Roman" w:hAnsi="Times New Roman"/>
          <w:sz w:val="28"/>
        </w:rPr>
        <w:t xml:space="preserve"> — массы тел, </w:t>
      </w:r>
      <m:oMathPara>
        <m:oMathParaPr>
          <m:jc m:val="center"/>
        </m:oMathParaPr>
        <m:oMath>
          <m:r>
            <m:t>r</m:t>
          </m:r>
        </m:oMath>
      </m:oMathPara>
      <w:r>
        <w:rPr>
          <w:rFonts w:ascii="Times New Roman" w:hAnsi="Times New Roman"/>
          <w:sz w:val="28"/>
        </w:rPr>
        <w:t xml:space="preserve"> — расстояние между ними.</w:t>
      </w:r>
    </w:p>
    <w:p/>
    <w:p>
      <w:pPr>
        <w:pStyle w:val="Heading2"/>
        <w:spacing w:line="300" w:lineRule="auto" w:before="240" w:after="120"/>
        <w:jc w:val="left"/>
      </w:pPr>
      <w:r>
        <w:rPr>
          <w:rFonts w:ascii="Times New Roman" w:hAnsi="Times New Roman"/>
          <w:b/>
          <w:i w:val="0"/>
          <w:color w:val="000000"/>
          <w:sz w:val="28"/>
          <w:caps w:val="0"/>
        </w:rPr>
        <w:t>1.6 Степени и логарифмы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Формула сложных процентов: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8192"/>
        <w:gridCol w:w="1446"/>
      </w:tblGrid>
      <w:tr>
        <w:tc>
          <w:tcPr>
            <w:tcW w:type="dxa" w:w="4819"/>
          </w:tcPr>
          <w:p>
            <w:pPr>
              <w:spacing w:before="120" w:after="120"/>
              <w:jc w:val="center"/>
            </w:pPr>
            <m:oMathPara>
              <m:oMathParaPr>
                <m:jc m:val="center"/>
              </m:oMathParaPr>
              <m:oMath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P</m:t>
                </m:r>
                <m:r>
                  <m:rPr>
                    <m:sty m:val="p"/>
                  </m:rPr>
                  <m:t>⋅</m:t>
                </m:r>
                <m:sSup>
                  <m:e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r</m:t>
                            </m:r>
                          </m:num>
                          <m:den>
                            <m:r>
                              <m:t>n</m:t>
                            </m:r>
                          </m:den>
                        </m:f>
                      </m:e>
                    </m:d>
                  </m:e>
                  <m:sup>
                    <m:r>
                      <m:t>n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t</m:t>
                    </m:r>
                  </m:sup>
                </m:sSup>
              </m:oMath>
            </m:oMathPara>
          </w:p>
        </w:tc>
        <w:tc>
          <w:tcPr>
            <w:tcW w:type="dxa" w:w="4819"/>
          </w:tcPr>
          <w:p>
            <w:pPr>
              <w:spacing w:before="120" w:after="120"/>
              <w:jc w:val="right"/>
            </w:pPr>
            <w:r>
              <w:rPr>
                <w:rFonts w:ascii="Times New Roman" w:hAnsi="Times New Roman"/>
                <w:sz w:val="28"/>
              </w:rPr>
              <w:t>(12)</w:t>
            </w:r>
          </w:p>
        </w:tc>
      </w:tr>
    </w:tbl>
    <w:p>
      <w:pPr>
        <w:ind w:firstLine="709"/>
        <w:jc w:val="left"/>
      </w:pPr>
      <w:r>
        <w:rPr>
          <w:rFonts w:ascii="Times New Roman" w:hAnsi="Times New Roman"/>
          <w:sz w:val="28"/>
        </w:rPr>
        <w:t xml:space="preserve">где </w:t>
      </w:r>
      <m:oMathPara>
        <m:oMathParaPr>
          <m:jc m:val="center"/>
        </m:oMathParaPr>
        <m:oMath>
          <m:r>
            <m:t>A</m:t>
          </m:r>
        </m:oMath>
      </m:oMathPara>
      <w:r>
        <w:rPr>
          <w:rFonts w:ascii="Times New Roman" w:hAnsi="Times New Roman"/>
          <w:sz w:val="28"/>
        </w:rPr>
        <w:t xml:space="preserve"> — итоговая сумма, </w:t>
      </w:r>
      <m:oMathPara>
        <m:oMathParaPr>
          <m:jc m:val="center"/>
        </m:oMathParaPr>
        <m:oMath>
          <m:r>
            <m:t>P</m:t>
          </m:r>
        </m:oMath>
      </m:oMathPara>
      <w:r>
        <w:rPr>
          <w:rFonts w:ascii="Times New Roman" w:hAnsi="Times New Roman"/>
          <w:sz w:val="28"/>
        </w:rPr>
        <w:t xml:space="preserve"> — начальная сумма, </w:t>
      </w:r>
      <m:oMathPara>
        <m:oMathParaPr>
          <m:jc m:val="center"/>
        </m:oMathParaPr>
        <m:oMath>
          <m:r>
            <m:t>r</m:t>
          </m:r>
        </m:oMath>
      </m:oMathPara>
      <w:r>
        <w:rPr>
          <w:rFonts w:ascii="Times New Roman" w:hAnsi="Times New Roman"/>
          <w:sz w:val="28"/>
        </w:rPr>
        <w:t xml:space="preserve"> — годовая процентная ставка, </w:t>
      </w:r>
      <m:oMathPara>
        <m:oMathParaPr>
          <m:jc m:val="center"/>
        </m:oMathParaPr>
        <m:oMath>
          <m:r>
            <m:t>n</m:t>
          </m:r>
        </m:oMath>
      </m:oMathPara>
      <w:r>
        <w:rPr>
          <w:rFonts w:ascii="Times New Roman" w:hAnsi="Times New Roman"/>
          <w:sz w:val="28"/>
        </w:rPr>
        <w:t xml:space="preserve"> — количество начислений в год, </w:t>
      </w:r>
      <m:oMathPara>
        <m:oMathParaPr>
          <m:jc m:val="center"/>
        </m:oMathParaPr>
        <m:oMath>
          <m:r>
            <m:t>t</m:t>
          </m:r>
        </m:oMath>
      </m:oMathPara>
      <w:r>
        <w:rPr>
          <w:rFonts w:ascii="Times New Roman" w:hAnsi="Times New Roman"/>
          <w:sz w:val="28"/>
        </w:rPr>
        <w:t xml:space="preserve"> — срок в годах.</w:t>
      </w:r>
    </w:p>
    <w:p/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Формула энтропии Шеннона: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8192"/>
        <w:gridCol w:w="1446"/>
      </w:tblGrid>
      <w:tr>
        <w:tc>
          <w:tcPr>
            <w:tcW w:type="dxa" w:w="4819"/>
          </w:tcPr>
          <w:p>
            <w:pPr>
              <w:spacing w:before="120" w:after="120"/>
              <w:jc w:val="center"/>
            </w:pPr>
            <m:oMathPara>
              <m:oMathParaPr>
                <m:jc m:val="center"/>
              </m:oMathParaPr>
              <m:oMath>
                <m:r>
                  <m:t>H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sSub>
                      <m:e>
                        <m:r>
                          <m:t>p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nary>
                <m:r>
                  <m:rPr>
                    <m:sty m:val="p"/>
                  </m:rPr>
                  <m:t>⋅</m:t>
                </m:r>
                <m:sSub>
                  <m:e>
                    <m:r>
                      <m:rPr>
                        <m:sty m:val="p"/>
                      </m:rPr>
                      <m:t>log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(</m:t>
                </m:r>
                <m:sSub>
                  <m:e>
                    <m:r>
                      <m:t>p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</m:oMath>
            </m:oMathPara>
          </w:p>
        </w:tc>
        <w:tc>
          <w:tcPr>
            <w:tcW w:type="dxa" w:w="4819"/>
          </w:tcPr>
          <w:p>
            <w:pPr>
              <w:spacing w:before="120" w:after="120"/>
              <w:jc w:val="right"/>
            </w:pPr>
            <w:r>
              <w:rPr>
                <w:rFonts w:ascii="Times New Roman" w:hAnsi="Times New Roman"/>
                <w:sz w:val="28"/>
              </w:rPr>
              <w:t>(13)</w:t>
            </w:r>
          </w:p>
        </w:tc>
      </w:tr>
    </w:tbl>
    <w:p>
      <w:pPr>
        <w:ind w:firstLine="709"/>
        <w:jc w:val="left"/>
      </w:pPr>
      <w:r>
        <w:rPr>
          <w:rFonts w:ascii="Times New Roman" w:hAnsi="Times New Roman"/>
          <w:sz w:val="28"/>
        </w:rPr>
        <w:t xml:space="preserve">где </w:t>
      </w: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i</m:t>
              </m:r>
            </m:sub>
          </m:sSub>
        </m:oMath>
      </m:oMathPara>
      <w:r>
        <w:rPr>
          <w:rFonts w:ascii="Times New Roman" w:hAnsi="Times New Roman"/>
          <w:sz w:val="28"/>
        </w:rPr>
        <w:t xml:space="preserve"> — вероятность </w:t>
      </w:r>
      <m:oMathPara>
        <m:oMathParaPr>
          <m:jc m:val="center"/>
        </m:oMathParaPr>
        <m:oMath>
          <m:r>
            <m:t>i</m:t>
          </m:r>
        </m:oMath>
      </m:oMathPara>
      <w:r>
        <w:rPr>
          <w:rFonts w:ascii="Times New Roman" w:hAnsi="Times New Roman"/>
          <w:sz w:val="28"/>
        </w:rPr>
        <w:t>-го события.</w:t>
      </w:r>
    </w:p>
    <w:p/>
    <w:sectPr w:rsidR="00FC693F" w:rsidRPr="0006063C" w:rsidSect="00034616">
      <w:footerReference w:type="default" r:id="rId9"/>
      <w:pgSz w:w="11906" w:h="16838"/>
      <w:pgMar w:top="1134" w:right="567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/>
        <w:color w:val="000000"/>
        <w:sz w:val="24"/>
      </w:rPr>
      <w:fldSimple w:instr="PAGE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/>
      <w:ind w:firstLine="709"/>
    </w:pPr>
    <w:rPr>
      <w:rFonts w:ascii="Times New Roman" w:hAnsi="Times New Roman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 w:line="360" w:lineRule="auto"/>
      <w:jc w:val="left"/>
      <w:outlineLvl w:val="1"/>
    </w:pPr>
    <w:rPr>
      <w:rFonts w:asciiTheme="majorHAnsi" w:eastAsiaTheme="majorEastAsia" w:hAnsiTheme="majorHAnsi" w:cstheme="majorBidi" w:ascii="Times New Roman" w:hAnsi="Times New Roman"/>
      <w:b/>
      <w:bCs/>
      <w:i w:val="0"/>
      <w:color w:val="000000"/>
      <w:sz w:val="28"/>
      <w:szCs w:val="26"/>
      <w:caps w:val="0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40" w:after="120" w:line="360" w:lineRule="auto"/>
      <w:jc w:val="left"/>
      <w:outlineLvl w:val="2"/>
    </w:pPr>
    <w:rPr>
      <w:rFonts w:asciiTheme="majorHAnsi" w:eastAsiaTheme="majorEastAsia" w:hAnsiTheme="majorHAnsi" w:cstheme="majorBidi" w:ascii="Times New Roman" w:hAnsi="Times New Roman"/>
      <w:b/>
      <w:bCs/>
      <w:i w:val="0"/>
      <w:color w:val="000000"/>
      <w:sz w:val="28"/>
      <w:caps w:val="0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40" w:after="120" w:line="360" w:lineRule="auto"/>
      <w:jc w:val="left"/>
      <w:outlineLvl w:val="3"/>
    </w:pPr>
    <w:rPr>
      <w:rFonts w:asciiTheme="majorHAnsi" w:eastAsiaTheme="majorEastAsia" w:hAnsiTheme="majorHAnsi" w:cstheme="majorBidi" w:ascii="Times New Roman" w:hAnsi="Times New Roman"/>
      <w:b/>
      <w:bCs/>
      <w:i w:val="0"/>
      <w:iCs/>
      <w:color w:val="000000"/>
      <w:sz w:val="28"/>
      <w:caps w:val="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40" w:after="120" w:line="360" w:lineRule="auto"/>
      <w:jc w:val="left"/>
      <w:outlineLvl w:val="4"/>
    </w:pPr>
    <w:rPr>
      <w:rFonts w:asciiTheme="majorHAnsi" w:eastAsiaTheme="majorEastAsia" w:hAnsiTheme="majorHAnsi" w:cstheme="majorBidi" w:ascii="Times New Roman" w:hAnsi="Times New Roman"/>
      <w:b/>
      <w:i w:val="0"/>
      <w:color w:val="000000"/>
      <w:sz w:val="28"/>
      <w:caps w:val="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40" w:after="120" w:line="360" w:lineRule="auto"/>
      <w:jc w:val="left"/>
      <w:outlineLvl w:val="5"/>
    </w:pPr>
    <w:rPr>
      <w:rFonts w:asciiTheme="majorHAnsi" w:eastAsiaTheme="majorEastAsia" w:hAnsiTheme="majorHAnsi" w:cstheme="majorBidi" w:ascii="Times New Roman" w:hAnsi="Times New Roman"/>
      <w:b/>
      <w:i w:val="0"/>
      <w:iCs/>
      <w:color w:val="000000"/>
      <w:sz w:val="28"/>
      <w:caps w:val="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40" w:after="120" w:line="360" w:lineRule="auto"/>
      <w:jc w:val="left"/>
      <w:outlineLvl w:val="6"/>
    </w:pPr>
    <w:rPr>
      <w:rFonts w:asciiTheme="majorHAnsi" w:eastAsiaTheme="majorEastAsia" w:hAnsiTheme="majorHAnsi" w:cstheme="majorBidi" w:ascii="Times New Roman" w:hAnsi="Times New Roman"/>
      <w:b/>
      <w:i w:val="0"/>
      <w:iCs/>
      <w:color w:val="000000"/>
      <w:sz w:val="28"/>
      <w:caps w:val="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40" w:after="120" w:line="360" w:lineRule="auto"/>
      <w:jc w:val="left"/>
      <w:outlineLvl w:val="7"/>
    </w:pPr>
    <w:rPr>
      <w:rFonts w:asciiTheme="majorHAnsi" w:eastAsiaTheme="majorEastAsia" w:hAnsiTheme="majorHAnsi" w:cstheme="majorBidi" w:ascii="Times New Roman" w:hAnsi="Times New Roman"/>
      <w:b/>
      <w:i w:val="0"/>
      <w:color w:val="000000"/>
      <w:sz w:val="28"/>
      <w:szCs w:val="20"/>
      <w:caps w:val="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40" w:after="120" w:line="360" w:lineRule="auto"/>
      <w:jc w:val="left"/>
      <w:outlineLvl w:val="8"/>
    </w:pPr>
    <w:rPr>
      <w:rFonts w:asciiTheme="majorHAnsi" w:eastAsiaTheme="majorEastAsia" w:hAnsiTheme="majorHAnsi" w:cstheme="majorBidi" w:ascii="Times New Roman" w:hAnsi="Times New Roman"/>
      <w:b/>
      <w:i w:val="0"/>
      <w:iCs/>
      <w:color w:val="000000"/>
      <w:sz w:val="28"/>
      <w:szCs w:val="20"/>
      <w:caps w:val="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