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00" w:lineRule="auto" w:before="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1 ТЕСТОВЫЙ ДОКУМЕНТ ФОРМУЛ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Данный документ предназначен для проверки корректного рендеринга формул в формате ГОСТ 7.32-2001.</w:t>
      </w:r>
    </w:p>
    <w:p>
      <w:pPr>
        <w:pStyle w:val="Heading2"/>
        <w:spacing w:line="300" w:lineRule="auto"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1.1 Простые формулы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Закон Ньютона описывает зависимость силы от массы и ускорения: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r>
                  <m:t>a</m:t>
                </m:r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(1)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t>F</m:t>
          </m:r>
        </m:oMath>
      </m:oMathPara>
      <w:r>
        <w:rPr>
          <w:rFonts w:ascii="Times New Roman" w:hAnsi="Times New Roman"/>
          <w:sz w:val="28"/>
        </w:rPr>
        <w:t xml:space="preserve"> — сила (Н), </w:t>
      </w:r>
      <m:oMathPara>
        <m:oMathParaPr>
          <m:jc m:val="center"/>
        </m:oMathParaPr>
        <m:oMath>
          <m:r>
            <m:t>m</m:t>
          </m:r>
        </m:oMath>
      </m:oMathPara>
      <w:r>
        <w:rPr>
          <w:rFonts w:ascii="Times New Roman" w:hAnsi="Times New Roman"/>
          <w:sz w:val="28"/>
        </w:rPr>
        <w:t xml:space="preserve"> — масса тела (кг), </w:t>
      </w:r>
      <m:oMathPara>
        <m:oMathParaPr>
          <m:jc m:val="center"/>
        </m:oMathParaPr>
        <m:oMath>
          <m:r>
            <m:t>a</m:t>
          </m:r>
        </m:oMath>
      </m:oMathPara>
      <w:r>
        <w:rPr>
          <w:rFonts w:ascii="Times New Roman" w:hAnsi="Times New Roman"/>
          <w:sz w:val="28"/>
        </w:rPr>
        <w:t xml:space="preserve"> — ускорение (м/с²).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Закон Ома для участка цепи: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⋅</m:t>
                </m:r>
                <m:r>
                  <m:t>R</m:t>
                </m:r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(2)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t>U</m:t>
          </m:r>
        </m:oMath>
      </m:oMathPara>
      <w:r>
        <w:rPr>
          <w:rFonts w:ascii="Times New Roman" w:hAnsi="Times New Roman"/>
          <w:sz w:val="28"/>
        </w:rPr>
        <w:t xml:space="preserve"> — напряжение (В), </w:t>
      </w:r>
      <m:oMathPara>
        <m:oMathParaPr>
          <m:jc m:val="center"/>
        </m:oMathParaPr>
        <m:oMath>
          <m:r>
            <m:t>I</m:t>
          </m:r>
        </m:oMath>
      </m:oMathPara>
      <w:r>
        <w:rPr>
          <w:rFonts w:ascii="Times New Roman" w:hAnsi="Times New Roman"/>
          <w:sz w:val="28"/>
        </w:rPr>
        <w:t xml:space="preserve"> — сила тока (А), </w:t>
      </w:r>
      <m:oMathPara>
        <m:oMathParaPr>
          <m:jc m:val="center"/>
        </m:oMathParaPr>
        <m:oMath>
          <m:r>
            <m:t>R</m:t>
          </m:r>
        </m:oMath>
      </m:oMathPara>
      <w:r>
        <w:rPr>
          <w:rFonts w:ascii="Times New Roman" w:hAnsi="Times New Roman"/>
          <w:sz w:val="28"/>
        </w:rPr>
        <w:t xml:space="preserve"> — сопротивление (Ом).</w:t>
      </w:r>
    </w:p>
    <w:p/>
    <w:p>
      <w:pPr>
        <w:pStyle w:val="Heading2"/>
        <w:spacing w:line="300" w:lineRule="auto"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1.2 Дроби и корни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Формула для вычисления среднеквадратичного отклонения: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t>σ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(3)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t>σ</m:t>
          </m:r>
        </m:oMath>
      </m:oMathPara>
      <w:r>
        <w:rPr>
          <w:rFonts w:ascii="Times New Roman" w:hAnsi="Times New Roman"/>
          <w:sz w:val="28"/>
        </w:rPr>
        <w:t xml:space="preserve"> — среднеквадратичное отклонение, </w:t>
      </w:r>
      <m:oMathPara>
        <m:oMathParaPr>
          <m:jc m:val="center"/>
        </m:oMathParaPr>
        <m:oMath>
          <m:r>
            <m:t>N</m:t>
          </m:r>
        </m:oMath>
      </m:oMathPara>
      <w:r>
        <w:rPr>
          <w:rFonts w:ascii="Times New Roman" w:hAnsi="Times New Roman"/>
          <w:sz w:val="28"/>
        </w:rPr>
        <w:t xml:space="preserve"> — количество элементов, </w:t>
      </w:r>
      <m:oMathPara>
        <m:oMathParaPr>
          <m:jc m:val="center"/>
        </m:oMathParaPr>
        <m:oMath>
          <m:r>
            <m:t>μ</m:t>
          </m:r>
        </m:oMath>
      </m:oMathPara>
      <w:r>
        <w:rPr>
          <w:rFonts w:ascii="Times New Roman" w:hAnsi="Times New Roman"/>
          <w:sz w:val="28"/>
        </w:rPr>
        <w:t xml:space="preserve"> — среднее значение выборки.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Формула дискриминанта квадратного уравнения $ax^2 + bx + c = 0$: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±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a</m:t>
                        </m:r>
                        <m:r>
                          <m:t>c</m:t>
                        </m:r>
                      </m:e>
                    </m:rad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(4)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t>a</m:t>
          </m:r>
        </m:oMath>
      </m:oMathPara>
      <w:r>
        <w:rPr>
          <w:rFonts w:ascii="Times New Roman" w:hAnsi="Times New Roman"/>
          <w:sz w:val="28"/>
        </w:rPr>
        <w:t xml:space="preserve">, </w:t>
      </w:r>
      <m:oMathPara>
        <m:oMathParaPr>
          <m:jc m:val="center"/>
        </m:oMathParaPr>
        <m:oMath>
          <m:r>
            <m:t>b</m:t>
          </m:r>
        </m:oMath>
      </m:oMathPara>
      <w:r>
        <w:rPr>
          <w:rFonts w:ascii="Times New Roman" w:hAnsi="Times New Roman"/>
          <w:sz w:val="28"/>
        </w:rPr>
        <w:t xml:space="preserve">, </w:t>
      </w:r>
      <m:oMathPara>
        <m:oMathParaPr>
          <m:jc m:val="center"/>
        </m:oMathParaPr>
        <m:oMath>
          <m:r>
            <m:t>c</m:t>
          </m:r>
        </m:oMath>
      </m:oMathPara>
      <w:r>
        <w:rPr>
          <w:rFonts w:ascii="Times New Roman" w:hAnsi="Times New Roman"/>
          <w:sz w:val="28"/>
        </w:rPr>
        <w:t xml:space="preserve"> — коэффициенты уравнения.</w:t>
      </w:r>
    </w:p>
    <w:p/>
    <w:p>
      <w:pPr>
        <w:pStyle w:val="Heading2"/>
        <w:spacing w:line="300" w:lineRule="auto"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1.3 Суммы и интегралы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Формула суммы геометрической прогрессии: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p>
                  <m:e>
                    <m:r>
                      <m:t>q</m:t>
                    </m:r>
                  </m:e>
                  <m:sup>
                    <m:r>
                      <m:t>i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(5)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</m:oMath>
      </m:oMathPara>
      <w:r>
        <w:rPr>
          <w:rFonts w:ascii="Times New Roman" w:hAnsi="Times New Roman"/>
          <w:sz w:val="28"/>
        </w:rPr>
        <w:t xml:space="preserve"> — первый член прогрессии, </w:t>
      </w:r>
      <m:oMathPara>
        <m:oMathParaPr>
          <m:jc m:val="center"/>
        </m:oMathParaPr>
        <m:oMath>
          <m:r>
            <m:t>q</m:t>
          </m:r>
        </m:oMath>
      </m:oMathPara>
      <w:r>
        <w:rPr>
          <w:rFonts w:ascii="Times New Roman" w:hAnsi="Times New Roman"/>
          <w:sz w:val="28"/>
        </w:rPr>
        <w:t xml:space="preserve"> — знаменатель прогрессии, </w:t>
      </w:r>
      <m:oMathPara>
        <m:oMathParaPr>
          <m:jc m:val="center"/>
        </m:oMathParaPr>
        <m:oMath>
          <m:r>
            <m:t>n</m:t>
          </m:r>
        </m:oMath>
      </m:oMathPara>
      <w:r>
        <w:rPr>
          <w:rFonts w:ascii="Times New Roman" w:hAnsi="Times New Roman"/>
          <w:sz w:val="28"/>
        </w:rPr>
        <w:t xml:space="preserve"> — количество членов.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Интеграл Гаусса: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π</m:t>
                    </m:r>
                  </m:e>
                </m:rad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(6)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Формула Эйлера через интеграл: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Γ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t>ζ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(7)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  <w:r>
        <w:rPr>
          <w:rFonts w:ascii="Times New Roman" w:hAnsi="Times New Roman"/>
          <w:sz w:val="28"/>
        </w:rPr>
        <w:t xml:space="preserve"> — гамма-функция, </w:t>
      </w:r>
      <m:oMathPara>
        <m:oMathParaPr>
          <m:jc m:val="center"/>
        </m:oMathParaPr>
        <m:oMath>
          <m:r>
            <m:t>ζ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</m:oMath>
      </m:oMathPara>
      <w:r>
        <w:rPr>
          <w:rFonts w:ascii="Times New Roman" w:hAnsi="Times New Roman"/>
          <w:sz w:val="28"/>
        </w:rPr>
        <w:t xml:space="preserve"> — дзета-функция Римана.</w:t>
      </w:r>
    </w:p>
    <w:p/>
    <w:p>
      <w:pPr>
        <w:pStyle w:val="Heading2"/>
        <w:spacing w:line="300" w:lineRule="auto"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1.4 Матрицы и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Система линейных уравнений в матричной форме: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31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32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33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b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(8)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  <w:r>
        <w:rPr>
          <w:rFonts w:ascii="Times New Roman" w:hAnsi="Times New Roman"/>
          <w:sz w:val="28"/>
        </w:rPr>
        <w:t xml:space="preserve"> — коэффициенты системы, </w:t>
      </w: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  <w:r>
        <w:rPr>
          <w:rFonts w:ascii="Times New Roman" w:hAnsi="Times New Roman"/>
          <w:sz w:val="28"/>
        </w:rPr>
        <w:t xml:space="preserve"> — неизвестные, </w:t>
      </w: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</m:oMath>
      </m:oMathPara>
      <w:r>
        <w:rPr>
          <w:rFonts w:ascii="Times New Roman" w:hAnsi="Times New Roman"/>
          <w:sz w:val="28"/>
        </w:rPr>
        <w:t xml:space="preserve"> — свободные члены.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Определитель матрицы 2×2: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det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∣"/>
                    <m:sepChr m:val=""/>
                    <m:endChr m:val="∣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</m:e>
                        <m:e>
                          <m:r>
                            <m:t>b</m:t>
                          </m:r>
                        </m:e>
                      </m:mr>
                      <m:mr>
                        <m:e>
                          <m:r>
                            <m:t>c</m:t>
                          </m:r>
                        </m:e>
                        <m:e>
                          <m:r>
                            <m:t>d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d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c</m:t>
                </m:r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(9)</w:t>
            </w:r>
          </w:p>
        </w:tc>
      </w:tr>
    </w:tbl>
    <w:p/>
    <w:p>
      <w:pPr>
        <w:pStyle w:val="Heading2"/>
        <w:spacing w:line="300" w:lineRule="auto"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1.5 Греческие символы и физика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Уравнение Шрёдингера (стационарное):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ℏ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t>m</m:t>
                    </m:r>
                  </m:den>
                </m:f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t>2</m:t>
                    </m:r>
                  </m:sup>
                </m:sSup>
                <m:r>
                  <m:t>ψ</m:t>
                </m:r>
                <m:r>
                  <m:rPr>
                    <m:sty m:val="p"/>
                  </m:rPr>
                  <m:t>+</m:t>
                </m:r>
                <m:r>
                  <m:t>V</m:t>
                </m:r>
                <m:r>
                  <m:t>ψ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ψ</m:t>
                </m:r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(10)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rPr>
              <m:sty m:val="p"/>
            </m:rPr>
            <m:t>ℏ</m:t>
          </m:r>
        </m:oMath>
      </m:oMathPara>
      <w:r>
        <w:rPr>
          <w:rFonts w:ascii="Times New Roman" w:hAnsi="Times New Roman"/>
          <w:sz w:val="28"/>
        </w:rPr>
        <w:t xml:space="preserve"> — редуцированная постоянная Планка, </w:t>
      </w:r>
      <m:oMathPara>
        <m:oMathParaPr>
          <m:jc m:val="center"/>
        </m:oMathParaPr>
        <m:oMath>
          <m:r>
            <m:t>m</m:t>
          </m:r>
        </m:oMath>
      </m:oMathPara>
      <w:r>
        <w:rPr>
          <w:rFonts w:ascii="Times New Roman" w:hAnsi="Times New Roman"/>
          <w:sz w:val="28"/>
        </w:rPr>
        <w:t xml:space="preserve"> — масса частицы, </w:t>
      </w:r>
      <m:oMathPara>
        <m:oMathParaPr>
          <m:jc m:val="center"/>
        </m:oMathParaPr>
        <m:oMath>
          <m:r>
            <m:t>ψ</m:t>
          </m:r>
        </m:oMath>
      </m:oMathPara>
      <w:r>
        <w:rPr>
          <w:rFonts w:ascii="Times New Roman" w:hAnsi="Times New Roman"/>
          <w:sz w:val="28"/>
        </w:rPr>
        <w:t xml:space="preserve"> — волновая функция, </w:t>
      </w:r>
      <m:oMathPara>
        <m:oMathParaPr>
          <m:jc m:val="center"/>
        </m:oMathParaPr>
        <m:oMath>
          <m:r>
            <m:t>V</m:t>
          </m:r>
        </m:oMath>
      </m:oMathPara>
      <w:r>
        <w:rPr>
          <w:rFonts w:ascii="Times New Roman" w:hAnsi="Times New Roman"/>
          <w:sz w:val="28"/>
        </w:rPr>
        <w:t xml:space="preserve"> — потенциальная энергия, </w:t>
      </w:r>
      <m:oMathPara>
        <m:oMathParaPr>
          <m:jc m:val="center"/>
        </m:oMathParaPr>
        <m:oMath>
          <m:r>
            <m:t>E</m:t>
          </m:r>
        </m:oMath>
      </m:oMathPara>
      <w:r>
        <w:rPr>
          <w:rFonts w:ascii="Times New Roman" w:hAnsi="Times New Roman"/>
          <w:sz w:val="28"/>
        </w:rPr>
        <w:t xml:space="preserve"> — полная энергия.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Формула закона всемирного тяготения Ньютона: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(11)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6.674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</m:oMath>
      </m:oMathPara>
      <w:r>
        <w:rPr>
          <w:rFonts w:ascii="Times New Roman" w:hAnsi="Times New Roman"/>
          <w:sz w:val="28"/>
        </w:rPr>
        <w:t xml:space="preserve"> Н·м²/кг² — гравитационная постоянная, </w:t>
      </w: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</m:oMath>
      </m:oMathPara>
      <w:r>
        <w:rPr>
          <w:rFonts w:ascii="Times New Roman" w:hAnsi="Times New Roman"/>
          <w:sz w:val="28"/>
        </w:rPr>
        <w:t xml:space="preserve">, </w:t>
      </w: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  <w:r>
        <w:rPr>
          <w:rFonts w:ascii="Times New Roman" w:hAnsi="Times New Roman"/>
          <w:sz w:val="28"/>
        </w:rPr>
        <w:t xml:space="preserve"> — массы тел, </w:t>
      </w:r>
      <m:oMathPara>
        <m:oMathParaPr>
          <m:jc m:val="center"/>
        </m:oMathParaPr>
        <m:oMath>
          <m:r>
            <m:t>r</m:t>
          </m:r>
        </m:oMath>
      </m:oMathPara>
      <w:r>
        <w:rPr>
          <w:rFonts w:ascii="Times New Roman" w:hAnsi="Times New Roman"/>
          <w:sz w:val="28"/>
        </w:rPr>
        <w:t xml:space="preserve"> — расстояние между ними.</w:t>
      </w:r>
    </w:p>
    <w:p/>
    <w:p>
      <w:pPr>
        <w:pStyle w:val="Heading2"/>
        <w:spacing w:line="300" w:lineRule="auto" w:before="240" w:after="120"/>
        <w:jc w:val="left"/>
      </w:pPr>
      <w:r>
        <w:rPr>
          <w:rFonts w:ascii="Times New Roman" w:hAnsi="Times New Roman"/>
          <w:b/>
          <w:i w:val="0"/>
          <w:color w:val="000000"/>
          <w:sz w:val="28"/>
          <w:caps w:val="0"/>
        </w:rPr>
        <w:t>1.6 Степени и логарифмы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Формула сложных процентов: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r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t</m:t>
                    </m:r>
                  </m:sup>
                </m:sSup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(12)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r>
            <m:t>A</m:t>
          </m:r>
        </m:oMath>
      </m:oMathPara>
      <w:r>
        <w:rPr>
          <w:rFonts w:ascii="Times New Roman" w:hAnsi="Times New Roman"/>
          <w:sz w:val="28"/>
        </w:rPr>
        <w:t xml:space="preserve"> — итоговая сумма, </w:t>
      </w:r>
      <m:oMathPara>
        <m:oMathParaPr>
          <m:jc m:val="center"/>
        </m:oMathParaPr>
        <m:oMath>
          <m:r>
            <m:t>P</m:t>
          </m:r>
        </m:oMath>
      </m:oMathPara>
      <w:r>
        <w:rPr>
          <w:rFonts w:ascii="Times New Roman" w:hAnsi="Times New Roman"/>
          <w:sz w:val="28"/>
        </w:rPr>
        <w:t xml:space="preserve"> — начальная сумма, </w:t>
      </w:r>
      <m:oMathPara>
        <m:oMathParaPr>
          <m:jc m:val="center"/>
        </m:oMathParaPr>
        <m:oMath>
          <m:r>
            <m:t>r</m:t>
          </m:r>
        </m:oMath>
      </m:oMathPara>
      <w:r>
        <w:rPr>
          <w:rFonts w:ascii="Times New Roman" w:hAnsi="Times New Roman"/>
          <w:sz w:val="28"/>
        </w:rPr>
        <w:t xml:space="preserve"> — годовая процентная ставка, </w:t>
      </w:r>
      <m:oMathPara>
        <m:oMathParaPr>
          <m:jc m:val="center"/>
        </m:oMathParaPr>
        <m:oMath>
          <m:r>
            <m:t>n</m:t>
          </m:r>
        </m:oMath>
      </m:oMathPara>
      <w:r>
        <w:rPr>
          <w:rFonts w:ascii="Times New Roman" w:hAnsi="Times New Roman"/>
          <w:sz w:val="28"/>
        </w:rPr>
        <w:t xml:space="preserve"> — количество начислений в год, </w:t>
      </w:r>
      <m:oMathPara>
        <m:oMathParaPr>
          <m:jc m:val="center"/>
        </m:oMathParaPr>
        <m:oMath>
          <m:r>
            <m:t>t</m:t>
          </m:r>
        </m:oMath>
      </m:oMathPara>
      <w:r>
        <w:rPr>
          <w:rFonts w:ascii="Times New Roman" w:hAnsi="Times New Roman"/>
          <w:sz w:val="28"/>
        </w:rPr>
        <w:t xml:space="preserve"> — срок в годах.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Формула энтропии Шеннона: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92"/>
        <w:gridCol w:w="1446"/>
      </w:tblGrid>
      <w:tr>
        <w:tc>
          <w:tcPr>
            <w:tcW w:type="dxa" w:w="4819"/>
          </w:tcPr>
          <w:p>
            <w:pPr>
              <w:spacing w:before="120" w:after="120"/>
              <w:jc w:val="center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819"/>
          </w:tcPr>
          <w:p>
            <w:pPr>
              <w:spacing w:before="120" w:after="120"/>
              <w:jc w:val="right"/>
            </w:pPr>
            <w:r>
              <w:rPr>
                <w:rFonts w:ascii="Times New Roman" w:hAnsi="Times New Roman"/>
                <w:sz w:val="28"/>
              </w:rPr>
              <w:t>(13)</w:t>
            </w:r>
          </w:p>
        </w:tc>
      </w:tr>
    </w:tbl>
    <w:p>
      <w:pPr>
        <w:ind w:firstLine="709"/>
        <w:jc w:val="left"/>
      </w:pPr>
      <w:r>
        <w:rPr>
          <w:rFonts w:ascii="Times New Roman" w:hAnsi="Times New Roman"/>
          <w:sz w:val="28"/>
        </w:rPr>
        <w:t xml:space="preserve">где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  <w:r>
        <w:rPr>
          <w:rFonts w:ascii="Times New Roman" w:hAnsi="Times New Roman"/>
          <w:sz w:val="28"/>
        </w:rPr>
        <w:t xml:space="preserve"> — вероятность </w:t>
      </w:r>
      <m:oMathPara>
        <m:oMathParaPr>
          <m:jc m:val="center"/>
        </m:oMathParaPr>
        <m:oMath>
          <m:r>
            <m:t>i</m:t>
          </m:r>
        </m:oMath>
      </m:oMathPara>
      <w:r>
        <w:rPr>
          <w:rFonts w:ascii="Times New Roman" w:hAnsi="Times New Roman"/>
          <w:sz w:val="28"/>
        </w:rPr>
        <w:t>-го события.</w:t>
      </w:r>
    </w:p>
    <w:p/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4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8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8"/>
      <w:cap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5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caps w:val="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6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caps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7"/>
    </w:pPr>
    <w:rPr>
      <w:rFonts w:asciiTheme="majorHAnsi" w:eastAsiaTheme="majorEastAsia" w:hAnsiTheme="majorHAnsi" w:cstheme="majorBidi" w:ascii="Times New Roman" w:hAnsi="Times New Roman"/>
      <w:b/>
      <w:i w:val="0"/>
      <w:color w:val="000000"/>
      <w:sz w:val="28"/>
      <w:szCs w:val="20"/>
      <w:cap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40" w:after="120" w:line="360" w:lineRule="auto"/>
      <w:jc w:val="left"/>
      <w:outlineLvl w:val="8"/>
    </w:pPr>
    <w:rPr>
      <w:rFonts w:asciiTheme="majorHAnsi" w:eastAsiaTheme="majorEastAsia" w:hAnsiTheme="majorHAnsi" w:cstheme="majorBidi" w:ascii="Times New Roman" w:hAnsi="Times New Roman"/>
      <w:b/>
      <w:i w:val="0"/>
      <w:iCs/>
      <w:color w:val="000000"/>
      <w:sz w:val="28"/>
      <w:szCs w:val="20"/>
      <w:cap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