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A0325" w14:textId="77777777" w:rsidR="00FB2ED8" w:rsidRPr="003F2729" w:rsidRDefault="00FB2ED8">
      <w:pPr>
        <w:pStyle w:val="KeinLeerraum"/>
        <w:spacing w:before="1540" w:after="240"/>
        <w:jc w:val="center"/>
        <w:rPr>
          <w:rFonts w:eastAsiaTheme="minorHAnsi"/>
          <w:color w:val="4472C4" w:themeColor="accent1"/>
          <w:lang w:val="de-DE" w:eastAsia="en-US"/>
        </w:rPr>
      </w:pPr>
    </w:p>
    <w:sdt>
      <w:sdtPr>
        <w:rPr>
          <w:rFonts w:eastAsiaTheme="minorHAnsi"/>
          <w:color w:val="4472C4" w:themeColor="accent1"/>
          <w:lang w:val="de-DE" w:eastAsia="en-US"/>
        </w:rPr>
        <w:id w:val="-699548253"/>
        <w:docPartObj>
          <w:docPartGallery w:val="Cover Pages"/>
          <w:docPartUnique/>
        </w:docPartObj>
      </w:sdtPr>
      <w:sdtEndPr>
        <w:rPr>
          <w:rFonts w:cstheme="minorHAnsi"/>
          <w:b/>
          <w:bCs/>
          <w:color w:val="auto"/>
          <w:sz w:val="28"/>
          <w:szCs w:val="28"/>
        </w:rPr>
      </w:sdtEndPr>
      <w:sdtContent>
        <w:p w14:paraId="6C693C5B" w14:textId="49E2789D" w:rsidR="006C6287" w:rsidRPr="003F2729" w:rsidRDefault="006C6287">
          <w:pPr>
            <w:pStyle w:val="KeinLeerraum"/>
            <w:spacing w:before="1540" w:after="240"/>
            <w:jc w:val="center"/>
            <w:rPr>
              <w:color w:val="4472C4" w:themeColor="accent1"/>
              <w:lang w:val="de-DE"/>
            </w:rPr>
          </w:pPr>
        </w:p>
        <w:p w14:paraId="16DE3CE5" w14:textId="77777777" w:rsidR="00A21F2F" w:rsidRPr="003F2729" w:rsidRDefault="00A21F2F" w:rsidP="00A21F2F">
          <w:pPr>
            <w:rPr>
              <w:b/>
              <w:sz w:val="32"/>
              <w:lang w:val="de-DE"/>
            </w:rPr>
          </w:pPr>
          <w:r w:rsidRPr="003F2729">
            <w:rPr>
              <w:b/>
              <w:sz w:val="32"/>
              <w:lang w:val="de-DE"/>
            </w:rPr>
            <w:t xml:space="preserve">Lerntagebuch </w:t>
          </w:r>
        </w:p>
        <w:p w14:paraId="66D2CC18" w14:textId="413722CB" w:rsidR="00A21F2F" w:rsidRPr="003F2729" w:rsidRDefault="00A21F2F" w:rsidP="00A21F2F">
          <w:pPr>
            <w:rPr>
              <w:b/>
              <w:sz w:val="32"/>
              <w:lang w:val="de-DE"/>
            </w:rPr>
          </w:pPr>
          <w:r w:rsidRPr="003F2729">
            <w:rPr>
              <w:b/>
              <w:sz w:val="32"/>
              <w:lang w:val="de-DE"/>
            </w:rPr>
            <w:t xml:space="preserve">Wie kritisch ist </w:t>
          </w:r>
          <w:proofErr w:type="gramStart"/>
          <w:r w:rsidRPr="003F2729">
            <w:rPr>
              <w:b/>
              <w:sz w:val="32"/>
              <w:lang w:val="de-DE"/>
            </w:rPr>
            <w:t>Gender?,</w:t>
          </w:r>
          <w:proofErr w:type="gramEnd"/>
          <w:r w:rsidRPr="003F2729">
            <w:rPr>
              <w:b/>
              <w:sz w:val="32"/>
              <w:lang w:val="de-DE"/>
            </w:rPr>
            <w:t xml:space="preserve"> FS 2021</w:t>
          </w:r>
        </w:p>
        <w:p w14:paraId="3FECA9AF" w14:textId="77777777" w:rsidR="00A21F2F" w:rsidRPr="003F2729" w:rsidRDefault="00A21F2F" w:rsidP="00A21F2F">
          <w:pPr>
            <w:rPr>
              <w:b/>
              <w:sz w:val="32"/>
              <w:lang w:val="de-DE"/>
            </w:rPr>
          </w:pPr>
        </w:p>
        <w:p w14:paraId="753666CD" w14:textId="5E2820BC" w:rsidR="00A21F2F" w:rsidRPr="003F2729" w:rsidRDefault="00A21F2F" w:rsidP="00A21F2F">
          <w:pPr>
            <w:rPr>
              <w:sz w:val="32"/>
              <w:lang w:val="de-DE"/>
            </w:rPr>
          </w:pPr>
          <w:r w:rsidRPr="003F2729">
            <w:rPr>
              <w:b/>
              <w:sz w:val="32"/>
              <w:lang w:val="de-DE"/>
            </w:rPr>
            <w:t>Dozentin:</w:t>
          </w:r>
          <w:r w:rsidRPr="003F2729">
            <w:rPr>
              <w:sz w:val="32"/>
              <w:lang w:val="de-DE"/>
            </w:rPr>
            <w:t xml:space="preserve"> Pro</w:t>
          </w:r>
          <w:r w:rsidR="0086632D">
            <w:rPr>
              <w:sz w:val="32"/>
              <w:lang w:val="de-DE"/>
            </w:rPr>
            <w:t>f</w:t>
          </w:r>
          <w:r w:rsidRPr="003F2729">
            <w:rPr>
              <w:sz w:val="32"/>
              <w:lang w:val="de-DE"/>
            </w:rPr>
            <w:t>. Dr. Bettina Dennerlein</w:t>
          </w:r>
        </w:p>
        <w:p w14:paraId="4312CA92" w14:textId="25395F47" w:rsidR="00A21F2F" w:rsidRPr="003F2729" w:rsidRDefault="00A21F2F" w:rsidP="00A21F2F">
          <w:pPr>
            <w:rPr>
              <w:sz w:val="32"/>
              <w:lang w:val="de-DE"/>
            </w:rPr>
          </w:pPr>
          <w:r w:rsidRPr="003F2729">
            <w:rPr>
              <w:b/>
              <w:sz w:val="32"/>
              <w:lang w:val="de-DE"/>
            </w:rPr>
            <w:t>Modul:</w:t>
          </w:r>
          <w:r w:rsidRPr="003F2729">
            <w:rPr>
              <w:sz w:val="32"/>
              <w:lang w:val="de-DE"/>
            </w:rPr>
            <w:t xml:space="preserve"> </w:t>
          </w:r>
          <w:r w:rsidR="00262BA8" w:rsidRPr="00262BA8">
            <w:rPr>
              <w:sz w:val="32"/>
              <w:lang w:val="de-DE"/>
            </w:rPr>
            <w:t>245d511a</w:t>
          </w:r>
        </w:p>
        <w:p w14:paraId="42F225DF" w14:textId="77777777" w:rsidR="00A21F2F" w:rsidRPr="003F2729" w:rsidRDefault="00A21F2F" w:rsidP="00A21F2F">
          <w:pPr>
            <w:rPr>
              <w:b/>
              <w:sz w:val="32"/>
              <w:lang w:val="de-DE"/>
            </w:rPr>
          </w:pPr>
        </w:p>
        <w:p w14:paraId="5EA3A5E4" w14:textId="77777777" w:rsidR="00A21F2F" w:rsidRPr="003F2729" w:rsidRDefault="00A21F2F" w:rsidP="00A21F2F">
          <w:pPr>
            <w:rPr>
              <w:sz w:val="32"/>
              <w:lang w:val="de-DE"/>
            </w:rPr>
          </w:pPr>
          <w:r w:rsidRPr="003F2729">
            <w:rPr>
              <w:b/>
              <w:bCs/>
              <w:sz w:val="32"/>
              <w:lang w:val="de-DE"/>
            </w:rPr>
            <w:t>Studentin:</w:t>
          </w:r>
          <w:r w:rsidRPr="003F2729">
            <w:rPr>
              <w:sz w:val="32"/>
              <w:lang w:val="de-DE"/>
            </w:rPr>
            <w:t xml:space="preserve"> Olivia Frigo-Charles, 16-712-242</w:t>
          </w:r>
          <w:r w:rsidRPr="003F2729">
            <w:rPr>
              <w:sz w:val="32"/>
              <w:lang w:val="de-DE"/>
            </w:rPr>
            <w:br/>
            <w:t>MA, Major Empirische Kulturwissenschaft/Minor Gender Studies</w:t>
          </w:r>
        </w:p>
        <w:p w14:paraId="1282D1AC" w14:textId="224501BD" w:rsidR="006C6287" w:rsidRPr="003F2729" w:rsidRDefault="006C6287">
          <w:pPr>
            <w:rPr>
              <w:rFonts w:cstheme="minorHAnsi"/>
              <w:b/>
              <w:bCs/>
              <w:sz w:val="28"/>
              <w:szCs w:val="28"/>
              <w:lang w:val="de-DE"/>
            </w:rPr>
          </w:pPr>
          <w:r w:rsidRPr="003F2729">
            <w:rPr>
              <w:rFonts w:cstheme="minorHAnsi"/>
              <w:b/>
              <w:bCs/>
              <w:sz w:val="28"/>
              <w:szCs w:val="28"/>
              <w:lang w:val="de-DE"/>
            </w:rPr>
            <w:br w:type="page"/>
          </w:r>
        </w:p>
      </w:sdtContent>
    </w:sdt>
    <w:p w14:paraId="6793BE6F" w14:textId="77777777" w:rsidR="003E619F" w:rsidRPr="003F2729" w:rsidRDefault="003E619F">
      <w:pPr>
        <w:rPr>
          <w:rFonts w:cstheme="minorHAnsi"/>
          <w:lang w:val="de-DE"/>
        </w:rPr>
      </w:pPr>
    </w:p>
    <w:p w14:paraId="3E12CFC7" w14:textId="77777777" w:rsidR="003E619F" w:rsidRPr="003F2729" w:rsidRDefault="003E619F">
      <w:pPr>
        <w:rPr>
          <w:rFonts w:cstheme="minorHAnsi"/>
          <w:lang w:val="de-DE"/>
        </w:rPr>
      </w:pPr>
    </w:p>
    <w:p w14:paraId="2BD1EF04" w14:textId="41F78FB8" w:rsidR="009E722B" w:rsidRPr="003F2729" w:rsidRDefault="003E619F">
      <w:pPr>
        <w:rPr>
          <w:rFonts w:cstheme="minorHAnsi"/>
          <w:b/>
          <w:bCs/>
          <w:sz w:val="28"/>
          <w:szCs w:val="28"/>
          <w:lang w:val="de-DE"/>
        </w:rPr>
      </w:pPr>
      <w:r w:rsidRPr="003F2729">
        <w:rPr>
          <w:rFonts w:cstheme="minorHAnsi"/>
          <w:b/>
          <w:bCs/>
          <w:sz w:val="28"/>
          <w:szCs w:val="28"/>
          <w:lang w:val="de-DE"/>
        </w:rPr>
        <w:t>Lerntagebuch</w:t>
      </w:r>
      <w:r w:rsidR="006C6287" w:rsidRPr="003F2729">
        <w:rPr>
          <w:rFonts w:cstheme="minorHAnsi"/>
          <w:b/>
          <w:bCs/>
          <w:sz w:val="28"/>
          <w:szCs w:val="28"/>
          <w:lang w:val="de-DE"/>
        </w:rPr>
        <w:t>: Wie kritisch ist Gender?</w:t>
      </w:r>
    </w:p>
    <w:p w14:paraId="040F6389" w14:textId="77777777" w:rsidR="00187A08" w:rsidRPr="003F2729" w:rsidRDefault="00187A08" w:rsidP="003B3BA0">
      <w:pPr>
        <w:spacing w:line="360" w:lineRule="auto"/>
        <w:rPr>
          <w:rFonts w:cstheme="minorHAnsi"/>
          <w:lang w:val="de-DE"/>
        </w:rPr>
      </w:pPr>
    </w:p>
    <w:p w14:paraId="13116220" w14:textId="5053C80E" w:rsidR="00391D02" w:rsidRPr="003F2729" w:rsidRDefault="007615C1" w:rsidP="003B3BA0">
      <w:pPr>
        <w:spacing w:line="360" w:lineRule="auto"/>
        <w:jc w:val="both"/>
        <w:rPr>
          <w:rFonts w:cstheme="minorHAnsi"/>
          <w:lang w:val="de-DE"/>
        </w:rPr>
      </w:pPr>
      <w:r w:rsidRPr="003F2729">
        <w:rPr>
          <w:rFonts w:cstheme="minorHAnsi"/>
          <w:lang w:val="de-DE"/>
        </w:rPr>
        <w:t>Auf</w:t>
      </w:r>
      <w:r w:rsidR="000E3814" w:rsidRPr="003F2729">
        <w:rPr>
          <w:rFonts w:cstheme="minorHAnsi"/>
          <w:lang w:val="de-DE"/>
        </w:rPr>
        <w:t>bauend auf</w:t>
      </w:r>
      <w:r w:rsidRPr="003F2729">
        <w:rPr>
          <w:rFonts w:cstheme="minorHAnsi"/>
          <w:lang w:val="de-DE"/>
        </w:rPr>
        <w:t xml:space="preserve"> meine</w:t>
      </w:r>
      <w:r w:rsidR="00813429" w:rsidRPr="003F2729">
        <w:rPr>
          <w:rFonts w:cstheme="minorHAnsi"/>
          <w:lang w:val="de-DE"/>
        </w:rPr>
        <w:t>r</w:t>
      </w:r>
      <w:r w:rsidRPr="003F2729">
        <w:rPr>
          <w:rFonts w:cstheme="minorHAnsi"/>
          <w:lang w:val="de-DE"/>
        </w:rPr>
        <w:t xml:space="preserve"> Masterarbeit zu</w:t>
      </w:r>
      <w:r w:rsidR="00813429" w:rsidRPr="003F2729">
        <w:rPr>
          <w:rFonts w:cstheme="minorHAnsi"/>
          <w:lang w:val="de-DE"/>
        </w:rPr>
        <w:t>r</w:t>
      </w:r>
      <w:r w:rsidRPr="003F2729">
        <w:rPr>
          <w:rFonts w:cstheme="minorHAnsi"/>
          <w:lang w:val="de-DE"/>
        </w:rPr>
        <w:t xml:space="preserve"> Vereinbarkeit von Familie und Beruf </w:t>
      </w:r>
      <w:r w:rsidR="00813429" w:rsidRPr="003F2729">
        <w:rPr>
          <w:rFonts w:cstheme="minorHAnsi"/>
          <w:lang w:val="de-DE"/>
        </w:rPr>
        <w:t>in der Privatwirtschaft</w:t>
      </w:r>
      <w:r w:rsidRPr="003F2729">
        <w:rPr>
          <w:rFonts w:cstheme="minorHAnsi"/>
          <w:lang w:val="de-DE"/>
        </w:rPr>
        <w:t xml:space="preserve">, </w:t>
      </w:r>
      <w:r w:rsidR="000E3814" w:rsidRPr="003F2729">
        <w:rPr>
          <w:rFonts w:cstheme="minorHAnsi"/>
          <w:lang w:val="de-DE"/>
        </w:rPr>
        <w:t>möchte ich mich in meinem Lerntagebuch mit der doppelten Vergesellschaftung</w:t>
      </w:r>
      <w:r w:rsidR="007D72D3">
        <w:rPr>
          <w:rFonts w:cstheme="minorHAnsi"/>
          <w:lang w:val="de-DE"/>
        </w:rPr>
        <w:t xml:space="preserve"> von Frauen</w:t>
      </w:r>
      <w:r w:rsidR="000E3814" w:rsidRPr="003F2729">
        <w:rPr>
          <w:rFonts w:cstheme="minorHAnsi"/>
          <w:lang w:val="de-DE"/>
        </w:rPr>
        <w:t xml:space="preserve"> beschäftigen. Mich interessiert, </w:t>
      </w:r>
      <w:r w:rsidR="00FC0B75">
        <w:rPr>
          <w:rFonts w:cstheme="minorHAnsi"/>
          <w:lang w:val="de-DE"/>
        </w:rPr>
        <w:t xml:space="preserve">inwiefern </w:t>
      </w:r>
      <w:r w:rsidR="000E3814" w:rsidRPr="003F2729">
        <w:rPr>
          <w:rFonts w:cstheme="minorHAnsi"/>
          <w:lang w:val="de-DE"/>
        </w:rPr>
        <w:t>Joan Scott diese</w:t>
      </w:r>
      <w:r w:rsidR="007D72D3">
        <w:rPr>
          <w:rFonts w:cstheme="minorHAnsi"/>
          <w:lang w:val="de-DE"/>
        </w:rPr>
        <w:t>s</w:t>
      </w:r>
      <w:r w:rsidR="000E3814" w:rsidRPr="003F2729">
        <w:rPr>
          <w:rFonts w:cstheme="minorHAnsi"/>
          <w:lang w:val="de-DE"/>
        </w:rPr>
        <w:t xml:space="preserve"> Them</w:t>
      </w:r>
      <w:r w:rsidR="007D72D3">
        <w:rPr>
          <w:rFonts w:cstheme="minorHAnsi"/>
          <w:lang w:val="de-DE"/>
        </w:rPr>
        <w:t>a</w:t>
      </w:r>
      <w:r w:rsidR="000E3814" w:rsidRPr="003F2729">
        <w:rPr>
          <w:rFonts w:cstheme="minorHAnsi"/>
          <w:lang w:val="de-DE"/>
        </w:rPr>
        <w:t xml:space="preserve"> </w:t>
      </w:r>
      <w:r w:rsidR="00787581" w:rsidRPr="003F2729">
        <w:rPr>
          <w:rFonts w:cstheme="minorHAnsi"/>
          <w:lang w:val="de-DE"/>
        </w:rPr>
        <w:t xml:space="preserve">in ausgewählten Texten </w:t>
      </w:r>
      <w:r w:rsidR="000E3814" w:rsidRPr="003F2729">
        <w:rPr>
          <w:rFonts w:cstheme="minorHAnsi"/>
          <w:lang w:val="de-DE"/>
        </w:rPr>
        <w:t>behandelt</w:t>
      </w:r>
      <w:r w:rsidR="007D72D3">
        <w:rPr>
          <w:rFonts w:cstheme="minorHAnsi"/>
          <w:lang w:val="de-DE"/>
        </w:rPr>
        <w:t xml:space="preserve"> </w:t>
      </w:r>
      <w:r w:rsidR="005E2578">
        <w:rPr>
          <w:rFonts w:cstheme="minorHAnsi"/>
          <w:lang w:val="de-DE"/>
        </w:rPr>
        <w:t>und</w:t>
      </w:r>
      <w:r w:rsidR="007D72D3">
        <w:rPr>
          <w:rFonts w:cstheme="minorHAnsi"/>
          <w:lang w:val="de-DE"/>
        </w:rPr>
        <w:t xml:space="preserve"> </w:t>
      </w:r>
      <w:r w:rsidR="005E2578">
        <w:rPr>
          <w:rFonts w:cstheme="minorHAnsi"/>
          <w:lang w:val="de-DE"/>
        </w:rPr>
        <w:t>wie</w:t>
      </w:r>
      <w:r w:rsidR="007D72D3">
        <w:rPr>
          <w:rFonts w:cstheme="minorHAnsi"/>
          <w:lang w:val="de-DE"/>
        </w:rPr>
        <w:t xml:space="preserve"> ihre Erkenntnisse dabei helfen, das Konzept besser zu verstehen</w:t>
      </w:r>
      <w:r w:rsidR="000E3814" w:rsidRPr="003F2729">
        <w:rPr>
          <w:rFonts w:cstheme="minorHAnsi"/>
          <w:lang w:val="de-DE"/>
        </w:rPr>
        <w:t xml:space="preserve">. </w:t>
      </w:r>
      <w:r w:rsidR="00DF4A65" w:rsidRPr="003F2729">
        <w:rPr>
          <w:rFonts w:cstheme="minorHAnsi"/>
          <w:lang w:val="de-DE"/>
        </w:rPr>
        <w:t>Somit möchte ich gerne mein</w:t>
      </w:r>
      <w:r w:rsidR="00EB2161" w:rsidRPr="003F2729">
        <w:rPr>
          <w:rFonts w:cstheme="minorHAnsi"/>
          <w:lang w:val="de-DE"/>
        </w:rPr>
        <w:t xml:space="preserve"> Wissen</w:t>
      </w:r>
      <w:r w:rsidR="005B5A49">
        <w:rPr>
          <w:rFonts w:cstheme="minorHAnsi"/>
          <w:lang w:val="de-DE"/>
        </w:rPr>
        <w:t xml:space="preserve"> zu diesem Thema</w:t>
      </w:r>
      <w:r w:rsidR="00EB2161" w:rsidRPr="003F2729">
        <w:rPr>
          <w:rFonts w:cstheme="minorHAnsi"/>
          <w:lang w:val="de-DE"/>
        </w:rPr>
        <w:t xml:space="preserve"> </w:t>
      </w:r>
      <w:r w:rsidR="00DF4A65" w:rsidRPr="003F2729">
        <w:rPr>
          <w:rFonts w:cstheme="minorHAnsi"/>
          <w:lang w:val="de-DE"/>
        </w:rPr>
        <w:t>insbesondere durch Scotts geschichtliche Perspektive</w:t>
      </w:r>
      <w:r w:rsidR="005B5A49">
        <w:rPr>
          <w:rFonts w:cstheme="minorHAnsi"/>
          <w:lang w:val="de-DE"/>
        </w:rPr>
        <w:t xml:space="preserve"> vertiefen, um in meiner Masterarbeit diese Erkenntnisse </w:t>
      </w:r>
      <w:proofErr w:type="spellStart"/>
      <w:r w:rsidR="005B5A49">
        <w:rPr>
          <w:rFonts w:cstheme="minorHAnsi"/>
          <w:lang w:val="de-DE"/>
        </w:rPr>
        <w:t>einfliessen</w:t>
      </w:r>
      <w:proofErr w:type="spellEnd"/>
      <w:r w:rsidR="005B5A49">
        <w:rPr>
          <w:rFonts w:cstheme="minorHAnsi"/>
          <w:lang w:val="de-DE"/>
        </w:rPr>
        <w:t xml:space="preserve"> zu lassen</w:t>
      </w:r>
      <w:r w:rsidR="00EB2161" w:rsidRPr="003F2729">
        <w:rPr>
          <w:rFonts w:cstheme="minorHAnsi"/>
          <w:lang w:val="de-DE"/>
        </w:rPr>
        <w:t>.</w:t>
      </w:r>
      <w:r w:rsidR="009C052F" w:rsidRPr="003F2729">
        <w:rPr>
          <w:rFonts w:cstheme="minorHAnsi"/>
          <w:lang w:val="de-DE"/>
        </w:rPr>
        <w:t xml:space="preserve"> </w:t>
      </w:r>
      <w:r w:rsidR="00391D02" w:rsidRPr="003F2729">
        <w:rPr>
          <w:rFonts w:cstheme="minorHAnsi"/>
          <w:lang w:val="de-DE"/>
        </w:rPr>
        <w:t xml:space="preserve">Meine </w:t>
      </w:r>
      <w:r w:rsidR="00391D02" w:rsidRPr="006550B8">
        <w:rPr>
          <w:rFonts w:cstheme="minorHAnsi"/>
          <w:lang w:val="de-DE"/>
        </w:rPr>
        <w:t>Fragestellung</w:t>
      </w:r>
      <w:r w:rsidR="00391D02" w:rsidRPr="003F2729">
        <w:rPr>
          <w:rFonts w:cstheme="minorHAnsi"/>
          <w:b/>
          <w:bCs/>
          <w:lang w:val="de-DE"/>
        </w:rPr>
        <w:t xml:space="preserve"> </w:t>
      </w:r>
      <w:r w:rsidR="00391D02" w:rsidRPr="003F2729">
        <w:rPr>
          <w:rFonts w:cstheme="minorHAnsi"/>
          <w:lang w:val="de-DE"/>
        </w:rPr>
        <w:t xml:space="preserve">lautet somit wie folgt: </w:t>
      </w:r>
      <w:r w:rsidR="00207948" w:rsidRPr="003F2729">
        <w:rPr>
          <w:rFonts w:cstheme="minorHAnsi"/>
          <w:lang w:val="de-DE"/>
        </w:rPr>
        <w:t>Was lässt sich für die Frage nach der doppelten Vergesellschaftung von Frauen aus Scotts Arbeiten lernen?</w:t>
      </w:r>
      <w:r w:rsidR="0067286D">
        <w:rPr>
          <w:rFonts w:cstheme="minorHAnsi"/>
          <w:lang w:val="de-DE"/>
        </w:rPr>
        <w:t xml:space="preserve"> </w:t>
      </w:r>
    </w:p>
    <w:p w14:paraId="6D8BB7FD" w14:textId="392E9BA3" w:rsidR="00E640C1" w:rsidRDefault="000E7898" w:rsidP="003B3BA0">
      <w:pPr>
        <w:spacing w:line="360" w:lineRule="auto"/>
        <w:jc w:val="both"/>
        <w:rPr>
          <w:rFonts w:cstheme="minorHAnsi"/>
          <w:lang w:val="de-DE"/>
        </w:rPr>
      </w:pPr>
      <w:r w:rsidRPr="003F2729">
        <w:rPr>
          <w:rFonts w:cstheme="minorHAnsi"/>
          <w:lang w:val="de-DE"/>
        </w:rPr>
        <w:t xml:space="preserve">Zu Beginn soll definiert werden, was mit </w:t>
      </w:r>
      <w:r w:rsidR="0067286D">
        <w:rPr>
          <w:rFonts w:cstheme="minorHAnsi"/>
          <w:lang w:val="de-DE"/>
        </w:rPr>
        <w:t>der</w:t>
      </w:r>
      <w:r w:rsidRPr="003F2729">
        <w:rPr>
          <w:rFonts w:cstheme="minorHAnsi"/>
          <w:lang w:val="de-DE"/>
        </w:rPr>
        <w:t xml:space="preserve"> doppelten Vergesellschaftung von Frauen gemeint ist. Hier</w:t>
      </w:r>
      <w:r w:rsidR="0067286D">
        <w:rPr>
          <w:rFonts w:cstheme="minorHAnsi"/>
          <w:lang w:val="de-DE"/>
        </w:rPr>
        <w:t>für</w:t>
      </w:r>
      <w:r w:rsidRPr="003F2729">
        <w:rPr>
          <w:rFonts w:cstheme="minorHAnsi"/>
          <w:lang w:val="de-DE"/>
        </w:rPr>
        <w:t xml:space="preserve"> ist Becker-Schmidts Artikel im </w:t>
      </w:r>
      <w:r w:rsidRPr="003F2729">
        <w:rPr>
          <w:rFonts w:cstheme="minorHAnsi"/>
          <w:i/>
          <w:iCs/>
          <w:lang w:val="de-DE"/>
        </w:rPr>
        <w:t>Handbuch für Frauen- und Geschlechterforschung</w:t>
      </w:r>
      <w:r w:rsidRPr="003F2729">
        <w:rPr>
          <w:rFonts w:cstheme="minorHAnsi"/>
          <w:lang w:val="de-DE"/>
        </w:rPr>
        <w:t xml:space="preserve"> </w:t>
      </w:r>
      <w:r w:rsidR="00D954D0" w:rsidRPr="00D954D0">
        <w:rPr>
          <w:rFonts w:cstheme="minorHAnsi"/>
          <w:i/>
          <w:iCs/>
          <w:lang w:val="de-DE"/>
        </w:rPr>
        <w:t>(2010)</w:t>
      </w:r>
      <w:r w:rsidR="00D954D0">
        <w:rPr>
          <w:rFonts w:cstheme="minorHAnsi"/>
          <w:lang w:val="de-DE"/>
        </w:rPr>
        <w:t xml:space="preserve"> </w:t>
      </w:r>
      <w:r w:rsidRPr="003F2729">
        <w:rPr>
          <w:rFonts w:cstheme="minorHAnsi"/>
          <w:lang w:val="de-DE"/>
        </w:rPr>
        <w:t xml:space="preserve">hilfreich. </w:t>
      </w:r>
      <w:r w:rsidR="0067286D">
        <w:rPr>
          <w:rFonts w:cstheme="minorHAnsi"/>
          <w:lang w:val="de-DE"/>
        </w:rPr>
        <w:t>Nach Becker-Schmidt besage d</w:t>
      </w:r>
      <w:r w:rsidR="00C45A52">
        <w:rPr>
          <w:rFonts w:cstheme="minorHAnsi"/>
          <w:lang w:val="de-DE"/>
        </w:rPr>
        <w:t>as Konzept der</w:t>
      </w:r>
      <w:r w:rsidR="0067286D">
        <w:rPr>
          <w:rFonts w:cstheme="minorHAnsi"/>
          <w:lang w:val="de-DE"/>
        </w:rPr>
        <w:t xml:space="preserve"> doppelte</w:t>
      </w:r>
      <w:r w:rsidR="00C45A52">
        <w:rPr>
          <w:rFonts w:cstheme="minorHAnsi"/>
          <w:lang w:val="de-DE"/>
        </w:rPr>
        <w:t>n</w:t>
      </w:r>
      <w:r w:rsidR="0067286D">
        <w:rPr>
          <w:rFonts w:cstheme="minorHAnsi"/>
          <w:lang w:val="de-DE"/>
        </w:rPr>
        <w:t xml:space="preserve"> Vergesellschaftung, „</w:t>
      </w:r>
      <w:r w:rsidR="0067286D" w:rsidRPr="00533729">
        <w:rPr>
          <w:rFonts w:cstheme="minorHAnsi"/>
          <w:lang w:val="de-DE"/>
        </w:rPr>
        <w:t>dass Frauen</w:t>
      </w:r>
      <w:r w:rsidR="0067286D">
        <w:rPr>
          <w:rFonts w:cstheme="minorHAnsi"/>
          <w:lang w:val="de-DE"/>
        </w:rPr>
        <w:t xml:space="preserve"> </w:t>
      </w:r>
      <w:r w:rsidR="0067286D" w:rsidRPr="00533729">
        <w:rPr>
          <w:rFonts w:cstheme="minorHAnsi"/>
          <w:lang w:val="de-DE"/>
        </w:rPr>
        <w:t>über zwei unterschiedlich und in sich widersprüchlich strukturierte Praxisbereiche in soziale Zusammenhänge</w:t>
      </w:r>
      <w:r w:rsidR="0067286D">
        <w:rPr>
          <w:rFonts w:cstheme="minorHAnsi"/>
          <w:lang w:val="de-DE"/>
        </w:rPr>
        <w:t xml:space="preserve"> </w:t>
      </w:r>
      <w:r w:rsidR="0067286D" w:rsidRPr="00533729">
        <w:rPr>
          <w:rFonts w:cstheme="minorHAnsi"/>
          <w:lang w:val="de-DE"/>
        </w:rPr>
        <w:t>eingebunden sind</w:t>
      </w:r>
      <w:r w:rsidR="0067286D">
        <w:rPr>
          <w:rFonts w:cstheme="minorHAnsi"/>
          <w:lang w:val="de-DE"/>
        </w:rPr>
        <w:t>“ (</w:t>
      </w:r>
      <w:r w:rsidR="001C5495">
        <w:rPr>
          <w:rFonts w:cstheme="minorHAnsi"/>
          <w:lang w:val="de-DE"/>
        </w:rPr>
        <w:t xml:space="preserve">Becker-Schmidt 2010, </w:t>
      </w:r>
      <w:r w:rsidR="0067286D">
        <w:rPr>
          <w:rFonts w:cstheme="minorHAnsi"/>
          <w:lang w:val="de-DE"/>
        </w:rPr>
        <w:t xml:space="preserve">S. 68). </w:t>
      </w:r>
      <w:r w:rsidR="00E640C1">
        <w:rPr>
          <w:rFonts w:cstheme="minorHAnsi"/>
          <w:lang w:val="de-DE"/>
        </w:rPr>
        <w:t>Dies bedeute, dass sie einerseits in der unbezahlten Care- und Hausarbeit, andererseits auf dem Arbeitsmarkt involviert seien</w:t>
      </w:r>
      <w:r w:rsidR="005B5A49">
        <w:rPr>
          <w:rFonts w:cstheme="minorHAnsi"/>
          <w:lang w:val="de-DE"/>
        </w:rPr>
        <w:t xml:space="preserve"> </w:t>
      </w:r>
      <w:r w:rsidR="00E640C1">
        <w:rPr>
          <w:rFonts w:cstheme="minorHAnsi"/>
          <w:lang w:val="de-DE"/>
        </w:rPr>
        <w:t>(vgl. ebd</w:t>
      </w:r>
      <w:r w:rsidR="005E2578">
        <w:rPr>
          <w:rFonts w:cstheme="minorHAnsi"/>
          <w:lang w:val="de-DE"/>
        </w:rPr>
        <w:t>.</w:t>
      </w:r>
      <w:r w:rsidR="00E640C1">
        <w:rPr>
          <w:rFonts w:cstheme="minorHAnsi"/>
          <w:lang w:val="de-DE"/>
        </w:rPr>
        <w:t>). Das ständige Wechseln zwischen den Sphären bring</w:t>
      </w:r>
      <w:r w:rsidR="002700EE">
        <w:rPr>
          <w:rFonts w:cstheme="minorHAnsi"/>
          <w:lang w:val="de-DE"/>
        </w:rPr>
        <w:t>e</w:t>
      </w:r>
      <w:r w:rsidR="00E640C1">
        <w:rPr>
          <w:rFonts w:cstheme="minorHAnsi"/>
          <w:lang w:val="de-DE"/>
        </w:rPr>
        <w:t xml:space="preserve"> einerseits einen psychischen Druck durch die Doppelbelastung mit sich und andererseits eine „doppelte Diskriminierung“ (</w:t>
      </w:r>
      <w:r w:rsidR="003B3BA0">
        <w:rPr>
          <w:rFonts w:cstheme="minorHAnsi"/>
          <w:lang w:val="de-DE"/>
        </w:rPr>
        <w:t xml:space="preserve">ebd., </w:t>
      </w:r>
      <w:r w:rsidR="00E640C1">
        <w:rPr>
          <w:rFonts w:cstheme="minorHAnsi"/>
          <w:lang w:val="de-DE"/>
        </w:rPr>
        <w:t xml:space="preserve">S. 67). </w:t>
      </w:r>
      <w:r w:rsidR="002700EE">
        <w:rPr>
          <w:rFonts w:cstheme="minorHAnsi"/>
          <w:lang w:val="de-DE"/>
        </w:rPr>
        <w:t>Nebst dem, dass</w:t>
      </w:r>
      <w:r w:rsidR="00E640C1">
        <w:rPr>
          <w:rFonts w:cstheme="minorHAnsi"/>
          <w:lang w:val="de-DE"/>
        </w:rPr>
        <w:t xml:space="preserve"> die unbezahlte Arbeit nicht auf die </w:t>
      </w:r>
      <w:r w:rsidR="00D954D0">
        <w:rPr>
          <w:rFonts w:cstheme="minorHAnsi"/>
          <w:lang w:val="de-DE"/>
        </w:rPr>
        <w:t>e</w:t>
      </w:r>
      <w:r w:rsidR="00E640C1">
        <w:rPr>
          <w:rFonts w:cstheme="minorHAnsi"/>
          <w:lang w:val="de-DE"/>
        </w:rPr>
        <w:t>ntsprechende Anerkennung</w:t>
      </w:r>
      <w:r w:rsidR="002700EE" w:rsidRPr="002700EE">
        <w:rPr>
          <w:rFonts w:cstheme="minorHAnsi"/>
          <w:lang w:val="de-DE"/>
        </w:rPr>
        <w:t xml:space="preserve"> </w:t>
      </w:r>
      <w:r w:rsidR="002700EE">
        <w:rPr>
          <w:rFonts w:cstheme="minorHAnsi"/>
          <w:lang w:val="de-DE"/>
        </w:rPr>
        <w:t>treffe</w:t>
      </w:r>
      <w:r w:rsidR="00E640C1">
        <w:rPr>
          <w:rFonts w:cstheme="minorHAnsi"/>
          <w:lang w:val="de-DE"/>
        </w:rPr>
        <w:t>, erschwer</w:t>
      </w:r>
      <w:r w:rsidR="00D954D0">
        <w:rPr>
          <w:rFonts w:cstheme="minorHAnsi"/>
          <w:lang w:val="de-DE"/>
        </w:rPr>
        <w:t>e</w:t>
      </w:r>
      <w:r w:rsidR="00E640C1">
        <w:rPr>
          <w:rFonts w:cstheme="minorHAnsi"/>
          <w:lang w:val="de-DE"/>
        </w:rPr>
        <w:t xml:space="preserve"> sich die „gleichberechtigte Integration in das Beschäftigungssystem“ (</w:t>
      </w:r>
      <w:r w:rsidR="001C5495">
        <w:rPr>
          <w:rFonts w:cstheme="minorHAnsi"/>
          <w:lang w:val="de-DE"/>
        </w:rPr>
        <w:t>ebd.</w:t>
      </w:r>
      <w:r w:rsidR="00E640C1">
        <w:rPr>
          <w:rFonts w:cstheme="minorHAnsi"/>
          <w:lang w:val="de-DE"/>
        </w:rPr>
        <w:t>). Bezüglich des Ursprungs dieser Problematik</w:t>
      </w:r>
      <w:r w:rsidR="00E640C1" w:rsidRPr="003F2729">
        <w:rPr>
          <w:rFonts w:cstheme="minorHAnsi"/>
          <w:lang w:val="de-DE"/>
        </w:rPr>
        <w:t xml:space="preserve"> schreibt</w:t>
      </w:r>
      <w:r w:rsidR="00E640C1">
        <w:rPr>
          <w:rFonts w:cstheme="minorHAnsi"/>
          <w:lang w:val="de-DE"/>
        </w:rPr>
        <w:t xml:space="preserve"> Becker-Schmidt, </w:t>
      </w:r>
      <w:r w:rsidR="00E640C1" w:rsidRPr="003F2729">
        <w:rPr>
          <w:rFonts w:cstheme="minorHAnsi"/>
          <w:lang w:val="de-DE"/>
        </w:rPr>
        <w:t xml:space="preserve">dass </w:t>
      </w:r>
      <w:r w:rsidR="00C45A52">
        <w:rPr>
          <w:rFonts w:cstheme="minorHAnsi"/>
          <w:lang w:val="de-DE"/>
        </w:rPr>
        <w:t>„</w:t>
      </w:r>
      <w:r w:rsidR="00E640C1" w:rsidRPr="003F2729">
        <w:rPr>
          <w:rFonts w:cstheme="minorHAnsi"/>
          <w:lang w:val="de-DE"/>
        </w:rPr>
        <w:t>die Spuren dieser Doppelorientierung […] sich bis in die Kindheit</w:t>
      </w:r>
      <w:r w:rsidR="00C45A52">
        <w:rPr>
          <w:rFonts w:cstheme="minorHAnsi"/>
          <w:lang w:val="de-DE"/>
        </w:rPr>
        <w:t>“</w:t>
      </w:r>
      <w:r w:rsidR="00E640C1" w:rsidRPr="003F2729">
        <w:rPr>
          <w:rFonts w:cstheme="minorHAnsi"/>
          <w:lang w:val="de-DE"/>
        </w:rPr>
        <w:t xml:space="preserve"> (</w:t>
      </w:r>
      <w:r w:rsidR="001C5495">
        <w:rPr>
          <w:rFonts w:cstheme="minorHAnsi"/>
          <w:lang w:val="de-DE"/>
        </w:rPr>
        <w:t xml:space="preserve">ebd., </w:t>
      </w:r>
      <w:r w:rsidR="00E640C1" w:rsidRPr="003F2729">
        <w:rPr>
          <w:rFonts w:cstheme="minorHAnsi"/>
          <w:lang w:val="de-DE"/>
        </w:rPr>
        <w:t>S. 66) zurückverfolgen lasse.</w:t>
      </w:r>
      <w:r w:rsidR="00E640C1">
        <w:rPr>
          <w:rFonts w:cstheme="minorHAnsi"/>
          <w:lang w:val="de-DE"/>
        </w:rPr>
        <w:t xml:space="preserve"> Somit ist die doppelte Vergesellschaftung bereits </w:t>
      </w:r>
      <w:r w:rsidR="00FC0B75">
        <w:rPr>
          <w:rFonts w:cstheme="minorHAnsi"/>
          <w:lang w:val="de-DE"/>
        </w:rPr>
        <w:t xml:space="preserve">fest </w:t>
      </w:r>
      <w:r w:rsidR="00E640C1">
        <w:rPr>
          <w:rFonts w:cstheme="minorHAnsi"/>
          <w:lang w:val="de-DE"/>
        </w:rPr>
        <w:t>in die Sozialisation von Mädchen und jungen Frauen integriert.</w:t>
      </w:r>
    </w:p>
    <w:p w14:paraId="1C5736C1" w14:textId="1540A3C6" w:rsidR="00AE1D24" w:rsidRDefault="00806892" w:rsidP="003B3BA0">
      <w:pPr>
        <w:spacing w:line="360" w:lineRule="auto"/>
        <w:jc w:val="both"/>
        <w:rPr>
          <w:rFonts w:cstheme="minorHAnsi"/>
          <w:lang w:val="de-DE"/>
        </w:rPr>
      </w:pPr>
      <w:r>
        <w:rPr>
          <w:rFonts w:cstheme="minorHAnsi"/>
          <w:lang w:val="de-DE"/>
        </w:rPr>
        <w:t xml:space="preserve">Inwiefern junge unverheiratete Frauen </w:t>
      </w:r>
      <w:r w:rsidR="00D954D0">
        <w:rPr>
          <w:rFonts w:cstheme="minorHAnsi"/>
          <w:lang w:val="de-DE"/>
        </w:rPr>
        <w:t xml:space="preserve">bereits im 19. Jahrhundert </w:t>
      </w:r>
      <w:r w:rsidR="007063D1">
        <w:rPr>
          <w:rFonts w:cstheme="minorHAnsi"/>
          <w:lang w:val="de-DE"/>
        </w:rPr>
        <w:t>zur Doppelorientierung</w:t>
      </w:r>
      <w:r w:rsidR="00D954D0">
        <w:rPr>
          <w:rFonts w:cstheme="minorHAnsi"/>
          <w:lang w:val="de-DE"/>
        </w:rPr>
        <w:t xml:space="preserve"> sozialisiert wurden, zeigt sich anhand </w:t>
      </w:r>
      <w:r w:rsidR="00D91653">
        <w:rPr>
          <w:rFonts w:cstheme="minorHAnsi"/>
          <w:lang w:val="de-DE"/>
        </w:rPr>
        <w:t xml:space="preserve">Joan </w:t>
      </w:r>
      <w:r w:rsidR="00D954D0">
        <w:rPr>
          <w:rFonts w:cstheme="minorHAnsi"/>
          <w:lang w:val="de-DE"/>
        </w:rPr>
        <w:t>Scott</w:t>
      </w:r>
      <w:r w:rsidR="00D91653">
        <w:rPr>
          <w:rFonts w:cstheme="minorHAnsi"/>
          <w:lang w:val="de-DE"/>
        </w:rPr>
        <w:t>s und Louise Tillys</w:t>
      </w:r>
      <w:r w:rsidR="00D954D0">
        <w:rPr>
          <w:rFonts w:cstheme="minorHAnsi"/>
          <w:lang w:val="de-DE"/>
        </w:rPr>
        <w:t xml:space="preserve"> Artikel </w:t>
      </w:r>
      <w:r w:rsidR="00D954D0" w:rsidRPr="00D954D0">
        <w:rPr>
          <w:rFonts w:cstheme="minorHAnsi"/>
          <w:i/>
          <w:iCs/>
          <w:lang w:val="de-DE"/>
        </w:rPr>
        <w:t xml:space="preserve">Women’s Work and </w:t>
      </w:r>
      <w:proofErr w:type="spellStart"/>
      <w:r w:rsidR="00D954D0" w:rsidRPr="00D954D0">
        <w:rPr>
          <w:rFonts w:cstheme="minorHAnsi"/>
          <w:i/>
          <w:iCs/>
          <w:lang w:val="de-DE"/>
        </w:rPr>
        <w:t>the</w:t>
      </w:r>
      <w:proofErr w:type="spellEnd"/>
      <w:r w:rsidR="00D954D0" w:rsidRPr="00D954D0">
        <w:rPr>
          <w:rFonts w:cstheme="minorHAnsi"/>
          <w:i/>
          <w:iCs/>
          <w:lang w:val="de-DE"/>
        </w:rPr>
        <w:t xml:space="preserve"> Family in </w:t>
      </w:r>
      <w:proofErr w:type="spellStart"/>
      <w:r w:rsidR="00D954D0" w:rsidRPr="00D954D0">
        <w:rPr>
          <w:rFonts w:cstheme="minorHAnsi"/>
          <w:i/>
          <w:iCs/>
          <w:lang w:val="de-DE"/>
        </w:rPr>
        <w:t>Nineteenth</w:t>
      </w:r>
      <w:proofErr w:type="spellEnd"/>
      <w:r w:rsidR="00D954D0" w:rsidRPr="00D954D0">
        <w:rPr>
          <w:rFonts w:cstheme="minorHAnsi"/>
          <w:i/>
          <w:iCs/>
          <w:lang w:val="de-DE"/>
        </w:rPr>
        <w:t>-Century Europe</w:t>
      </w:r>
      <w:r w:rsidR="00D954D0">
        <w:rPr>
          <w:rFonts w:cstheme="minorHAnsi"/>
          <w:lang w:val="de-DE"/>
        </w:rPr>
        <w:t xml:space="preserve"> </w:t>
      </w:r>
      <w:r w:rsidR="00D954D0" w:rsidRPr="00D954D0">
        <w:rPr>
          <w:rFonts w:cstheme="minorHAnsi"/>
          <w:i/>
          <w:iCs/>
          <w:lang w:val="de-DE"/>
        </w:rPr>
        <w:t>(1975)</w:t>
      </w:r>
      <w:r w:rsidR="00D954D0">
        <w:rPr>
          <w:rFonts w:cstheme="minorHAnsi"/>
          <w:lang w:val="de-DE"/>
        </w:rPr>
        <w:t xml:space="preserve">. </w:t>
      </w:r>
      <w:r w:rsidR="00B16245" w:rsidRPr="003F2729">
        <w:rPr>
          <w:rFonts w:cstheme="minorHAnsi"/>
          <w:lang w:val="de-DE"/>
        </w:rPr>
        <w:t xml:space="preserve">So </w:t>
      </w:r>
      <w:r w:rsidR="00BB782D">
        <w:rPr>
          <w:rFonts w:cstheme="minorHAnsi"/>
          <w:lang w:val="de-DE"/>
        </w:rPr>
        <w:t>entsprach es dem Standard</w:t>
      </w:r>
      <w:r w:rsidR="002700EE">
        <w:rPr>
          <w:rFonts w:cstheme="minorHAnsi"/>
          <w:lang w:val="de-DE"/>
        </w:rPr>
        <w:t>, dass junge, unverheiratete Frauen</w:t>
      </w:r>
      <w:r w:rsidR="00B16245" w:rsidRPr="003F2729">
        <w:rPr>
          <w:rFonts w:cstheme="minorHAnsi"/>
          <w:lang w:val="de-DE"/>
        </w:rPr>
        <w:t xml:space="preserve"> </w:t>
      </w:r>
      <w:r w:rsidR="002700EE">
        <w:rPr>
          <w:rFonts w:cstheme="minorHAnsi"/>
          <w:lang w:val="de-DE"/>
        </w:rPr>
        <w:t xml:space="preserve">ihre Eltern finanziell unterstützen, indem sie den ganzen Lohn, den sie </w:t>
      </w:r>
      <w:proofErr w:type="spellStart"/>
      <w:r w:rsidR="002700EE">
        <w:rPr>
          <w:rFonts w:cstheme="minorHAnsi"/>
          <w:lang w:val="de-DE"/>
        </w:rPr>
        <w:t>ausserhalb</w:t>
      </w:r>
      <w:proofErr w:type="spellEnd"/>
      <w:r w:rsidR="002700EE">
        <w:rPr>
          <w:rFonts w:cstheme="minorHAnsi"/>
          <w:lang w:val="de-DE"/>
        </w:rPr>
        <w:t xml:space="preserve"> des Haushalts </w:t>
      </w:r>
      <w:r w:rsidR="005B5A49">
        <w:rPr>
          <w:rFonts w:cstheme="minorHAnsi"/>
          <w:lang w:val="de-DE"/>
        </w:rPr>
        <w:t>erwirtschafteten,</w:t>
      </w:r>
      <w:r w:rsidR="002700EE">
        <w:rPr>
          <w:rFonts w:cstheme="minorHAnsi"/>
          <w:lang w:val="de-DE"/>
        </w:rPr>
        <w:t xml:space="preserve"> der Familie übergaben (</w:t>
      </w:r>
      <w:r w:rsidR="005B5A49">
        <w:rPr>
          <w:rFonts w:cstheme="minorHAnsi"/>
          <w:lang w:val="de-DE"/>
        </w:rPr>
        <w:t xml:space="preserve">vgl. </w:t>
      </w:r>
      <w:r w:rsidR="002700EE">
        <w:rPr>
          <w:rFonts w:cstheme="minorHAnsi"/>
          <w:lang w:val="de-DE"/>
        </w:rPr>
        <w:t xml:space="preserve">Scott </w:t>
      </w:r>
      <w:r w:rsidR="00D91653">
        <w:rPr>
          <w:rFonts w:cstheme="minorHAnsi"/>
          <w:lang w:val="de-DE"/>
        </w:rPr>
        <w:t xml:space="preserve">&amp; Tilly </w:t>
      </w:r>
      <w:r w:rsidR="002700EE">
        <w:rPr>
          <w:rFonts w:cstheme="minorHAnsi"/>
          <w:lang w:val="de-DE"/>
        </w:rPr>
        <w:t>1975, S. 54). I</w:t>
      </w:r>
      <w:r w:rsidR="007063D1">
        <w:rPr>
          <w:rFonts w:cstheme="minorHAnsi"/>
          <w:lang w:val="de-DE"/>
        </w:rPr>
        <w:t xml:space="preserve">nsbesondere </w:t>
      </w:r>
      <w:r w:rsidR="002700EE">
        <w:rPr>
          <w:rFonts w:cstheme="minorHAnsi"/>
          <w:lang w:val="de-DE"/>
        </w:rPr>
        <w:t>in der</w:t>
      </w:r>
      <w:r w:rsidR="00B16245" w:rsidRPr="003F2729">
        <w:rPr>
          <w:rFonts w:cstheme="minorHAnsi"/>
          <w:lang w:val="de-DE"/>
        </w:rPr>
        <w:t xml:space="preserve"> ‘</w:t>
      </w:r>
      <w:proofErr w:type="spellStart"/>
      <w:r w:rsidR="00B16245" w:rsidRPr="003F2729">
        <w:rPr>
          <w:rFonts w:cstheme="minorHAnsi"/>
          <w:lang w:val="de-DE"/>
        </w:rPr>
        <w:t>working</w:t>
      </w:r>
      <w:proofErr w:type="spellEnd"/>
      <w:r w:rsidR="00B16245" w:rsidRPr="003F2729">
        <w:rPr>
          <w:rFonts w:cstheme="minorHAnsi"/>
          <w:lang w:val="de-DE"/>
        </w:rPr>
        <w:t xml:space="preserve"> </w:t>
      </w:r>
      <w:proofErr w:type="spellStart"/>
      <w:r w:rsidR="00B16245" w:rsidRPr="003F2729">
        <w:rPr>
          <w:rFonts w:cstheme="minorHAnsi"/>
          <w:lang w:val="de-DE"/>
        </w:rPr>
        <w:t>class</w:t>
      </w:r>
      <w:proofErr w:type="spellEnd"/>
      <w:r w:rsidR="00B16245" w:rsidRPr="003F2729">
        <w:rPr>
          <w:rFonts w:cstheme="minorHAnsi"/>
          <w:lang w:val="de-DE"/>
        </w:rPr>
        <w:t>’</w:t>
      </w:r>
      <w:r w:rsidR="002700EE">
        <w:rPr>
          <w:rFonts w:cstheme="minorHAnsi"/>
          <w:lang w:val="de-DE"/>
        </w:rPr>
        <w:t xml:space="preserve"> war </w:t>
      </w:r>
      <w:r w:rsidR="007063D1">
        <w:rPr>
          <w:rFonts w:cstheme="minorHAnsi"/>
          <w:lang w:val="de-DE"/>
        </w:rPr>
        <w:t xml:space="preserve">eine </w:t>
      </w:r>
      <w:proofErr w:type="spellStart"/>
      <w:r w:rsidR="007063D1">
        <w:rPr>
          <w:rFonts w:cstheme="minorHAnsi"/>
          <w:lang w:val="de-DE"/>
        </w:rPr>
        <w:t>grosse</w:t>
      </w:r>
      <w:proofErr w:type="spellEnd"/>
      <w:r w:rsidR="007063D1">
        <w:rPr>
          <w:rFonts w:cstheme="minorHAnsi"/>
          <w:lang w:val="de-DE"/>
        </w:rPr>
        <w:t xml:space="preserve"> Anzahl Frauen </w:t>
      </w:r>
      <w:proofErr w:type="spellStart"/>
      <w:r w:rsidR="007063D1">
        <w:rPr>
          <w:rFonts w:cstheme="minorHAnsi"/>
          <w:lang w:val="de-DE"/>
        </w:rPr>
        <w:t>ausserhalb</w:t>
      </w:r>
      <w:proofErr w:type="spellEnd"/>
      <w:r w:rsidR="007063D1">
        <w:rPr>
          <w:rFonts w:cstheme="minorHAnsi"/>
          <w:lang w:val="de-DE"/>
        </w:rPr>
        <w:t xml:space="preserve"> des Haushalts beschäftigt (</w:t>
      </w:r>
      <w:r w:rsidR="005B5A49">
        <w:rPr>
          <w:rFonts w:cstheme="minorHAnsi"/>
          <w:lang w:val="de-DE"/>
        </w:rPr>
        <w:t xml:space="preserve">vgl. ebd., </w:t>
      </w:r>
      <w:r w:rsidR="007063D1">
        <w:rPr>
          <w:rFonts w:cstheme="minorHAnsi"/>
          <w:lang w:val="de-DE"/>
        </w:rPr>
        <w:t xml:space="preserve">S. 38). </w:t>
      </w:r>
      <w:r w:rsidR="00AE1D24">
        <w:rPr>
          <w:rFonts w:cstheme="minorHAnsi"/>
          <w:lang w:val="de-DE"/>
        </w:rPr>
        <w:t xml:space="preserve">In unsicheren finanziellen Zeiten war </w:t>
      </w:r>
      <w:r w:rsidR="00B16245" w:rsidRPr="003F2729">
        <w:rPr>
          <w:rFonts w:cstheme="minorHAnsi"/>
          <w:lang w:val="de-DE"/>
        </w:rPr>
        <w:t xml:space="preserve">die </w:t>
      </w:r>
      <w:r w:rsidR="00AE1D24">
        <w:rPr>
          <w:rFonts w:cstheme="minorHAnsi"/>
          <w:lang w:val="de-DE"/>
        </w:rPr>
        <w:t xml:space="preserve">entlöhnte </w:t>
      </w:r>
      <w:r w:rsidR="00B16245" w:rsidRPr="003F2729">
        <w:rPr>
          <w:rFonts w:cstheme="minorHAnsi"/>
          <w:lang w:val="de-DE"/>
        </w:rPr>
        <w:t xml:space="preserve">Arbeit aller Familienangehörige </w:t>
      </w:r>
      <w:r w:rsidR="00AE1D24">
        <w:rPr>
          <w:rFonts w:cstheme="minorHAnsi"/>
          <w:lang w:val="de-DE"/>
        </w:rPr>
        <w:t>nötig</w:t>
      </w:r>
      <w:r w:rsidR="00B16245" w:rsidRPr="003F2729">
        <w:rPr>
          <w:rFonts w:cstheme="minorHAnsi"/>
          <w:lang w:val="de-DE"/>
        </w:rPr>
        <w:t xml:space="preserve">, um über die </w:t>
      </w:r>
      <w:r w:rsidR="00B16245" w:rsidRPr="003F2729">
        <w:rPr>
          <w:rFonts w:cstheme="minorHAnsi"/>
          <w:lang w:val="de-DE"/>
        </w:rPr>
        <w:lastRenderedPageBreak/>
        <w:t>Runden zu kommen (</w:t>
      </w:r>
      <w:r w:rsidR="005B5A49">
        <w:rPr>
          <w:rFonts w:cstheme="minorHAnsi"/>
          <w:lang w:val="de-DE"/>
        </w:rPr>
        <w:t>vgl. ebd.</w:t>
      </w:r>
      <w:r w:rsidR="00B16245" w:rsidRPr="003F2729">
        <w:rPr>
          <w:rFonts w:cstheme="minorHAnsi"/>
          <w:lang w:val="de-DE"/>
        </w:rPr>
        <w:t xml:space="preserve">, S. </w:t>
      </w:r>
      <w:r w:rsidR="00AE1D24">
        <w:rPr>
          <w:rFonts w:cstheme="minorHAnsi"/>
          <w:lang w:val="de-DE"/>
        </w:rPr>
        <w:t>41 &amp; 50</w:t>
      </w:r>
      <w:r w:rsidR="00B16245" w:rsidRPr="003F2729">
        <w:rPr>
          <w:rFonts w:cstheme="minorHAnsi"/>
          <w:lang w:val="de-DE"/>
        </w:rPr>
        <w:t xml:space="preserve">). </w:t>
      </w:r>
      <w:r w:rsidR="002700EE">
        <w:rPr>
          <w:rFonts w:cstheme="minorHAnsi"/>
          <w:lang w:val="de-DE"/>
        </w:rPr>
        <w:t>Es ist jedoch wichtig zu vermerken</w:t>
      </w:r>
      <w:r w:rsidR="002700EE" w:rsidRPr="003F2729">
        <w:rPr>
          <w:rFonts w:cstheme="minorHAnsi"/>
          <w:lang w:val="de-DE"/>
        </w:rPr>
        <w:t xml:space="preserve">: </w:t>
      </w:r>
      <w:r w:rsidR="00096577">
        <w:rPr>
          <w:rFonts w:cstheme="minorHAnsi"/>
          <w:lang w:val="de-DE"/>
        </w:rPr>
        <w:t>Die</w:t>
      </w:r>
      <w:r w:rsidR="002700EE" w:rsidRPr="003F2729">
        <w:rPr>
          <w:rFonts w:cstheme="minorHAnsi"/>
          <w:lang w:val="de-DE"/>
        </w:rPr>
        <w:t xml:space="preserve"> </w:t>
      </w:r>
      <w:r w:rsidR="00096577">
        <w:rPr>
          <w:rFonts w:cstheme="minorHAnsi"/>
          <w:lang w:val="de-DE"/>
        </w:rPr>
        <w:t>Erwerbstätigkeit</w:t>
      </w:r>
      <w:r w:rsidR="00096577" w:rsidRPr="003F2729">
        <w:rPr>
          <w:rFonts w:cstheme="minorHAnsi"/>
          <w:lang w:val="de-DE"/>
        </w:rPr>
        <w:t xml:space="preserve"> </w:t>
      </w:r>
      <w:r w:rsidR="00096577">
        <w:rPr>
          <w:rFonts w:cstheme="minorHAnsi"/>
          <w:lang w:val="de-DE"/>
        </w:rPr>
        <w:t xml:space="preserve">von </w:t>
      </w:r>
      <w:r w:rsidR="002700EE" w:rsidRPr="003F2729">
        <w:rPr>
          <w:rFonts w:cstheme="minorHAnsi"/>
          <w:lang w:val="de-DE"/>
        </w:rPr>
        <w:t>Frauen</w:t>
      </w:r>
      <w:r w:rsidR="00096577">
        <w:rPr>
          <w:rFonts w:cstheme="minorHAnsi"/>
          <w:lang w:val="de-DE"/>
        </w:rPr>
        <w:t xml:space="preserve"> </w:t>
      </w:r>
      <w:proofErr w:type="spellStart"/>
      <w:r w:rsidR="002700EE" w:rsidRPr="003F2729">
        <w:rPr>
          <w:rFonts w:cstheme="minorHAnsi"/>
          <w:lang w:val="de-DE"/>
        </w:rPr>
        <w:t>hiess</w:t>
      </w:r>
      <w:proofErr w:type="spellEnd"/>
      <w:r w:rsidR="002700EE" w:rsidRPr="003F2729">
        <w:rPr>
          <w:rFonts w:cstheme="minorHAnsi"/>
          <w:lang w:val="de-DE"/>
        </w:rPr>
        <w:t xml:space="preserve"> nicht, dass ein Wertewandel stattgefunden hat (</w:t>
      </w:r>
      <w:r w:rsidR="005B5A49">
        <w:rPr>
          <w:rFonts w:cstheme="minorHAnsi"/>
          <w:lang w:val="de-DE"/>
        </w:rPr>
        <w:t>vgl. ebd.</w:t>
      </w:r>
      <w:r w:rsidR="002700EE" w:rsidRPr="003F2729">
        <w:rPr>
          <w:rFonts w:cstheme="minorHAnsi"/>
          <w:lang w:val="de-DE"/>
        </w:rPr>
        <w:t>, S. 43).</w:t>
      </w:r>
      <w:r w:rsidR="002700EE">
        <w:rPr>
          <w:rFonts w:cstheme="minorHAnsi"/>
          <w:lang w:val="de-DE"/>
        </w:rPr>
        <w:t xml:space="preserve"> Scott</w:t>
      </w:r>
      <w:r w:rsidR="00D91653">
        <w:rPr>
          <w:rFonts w:cstheme="minorHAnsi"/>
          <w:lang w:val="de-DE"/>
        </w:rPr>
        <w:t xml:space="preserve"> und Tilly</w:t>
      </w:r>
      <w:r w:rsidR="002700EE">
        <w:rPr>
          <w:rFonts w:cstheme="minorHAnsi"/>
          <w:lang w:val="de-DE"/>
        </w:rPr>
        <w:t xml:space="preserve"> beto</w:t>
      </w:r>
      <w:r w:rsidR="00D91653">
        <w:rPr>
          <w:rFonts w:cstheme="minorHAnsi"/>
          <w:lang w:val="de-DE"/>
        </w:rPr>
        <w:t>nen</w:t>
      </w:r>
      <w:r w:rsidR="002700EE">
        <w:rPr>
          <w:rFonts w:cstheme="minorHAnsi"/>
          <w:lang w:val="de-DE"/>
        </w:rPr>
        <w:t>, dass die Industrialisierung keine Emanzipation der Frau nach sich zog (</w:t>
      </w:r>
      <w:r w:rsidR="005B5A49">
        <w:rPr>
          <w:rFonts w:cstheme="minorHAnsi"/>
          <w:lang w:val="de-DE"/>
        </w:rPr>
        <w:t>vgl. ebd.</w:t>
      </w:r>
      <w:r w:rsidR="002700EE">
        <w:rPr>
          <w:rFonts w:cstheme="minorHAnsi"/>
          <w:lang w:val="de-DE"/>
        </w:rPr>
        <w:t>) und dass es keine Korrelation gebe zwischen der Anzahlt berufstätiger Frauen und dem Frauenstimmrecht (</w:t>
      </w:r>
      <w:r w:rsidR="005B5A49">
        <w:rPr>
          <w:rFonts w:cstheme="minorHAnsi"/>
          <w:lang w:val="de-DE"/>
        </w:rPr>
        <w:t xml:space="preserve">vgl. ebd., </w:t>
      </w:r>
      <w:r w:rsidR="002700EE">
        <w:rPr>
          <w:rFonts w:cstheme="minorHAnsi"/>
          <w:lang w:val="de-DE"/>
        </w:rPr>
        <w:t xml:space="preserve">S. 37). </w:t>
      </w:r>
      <w:r w:rsidR="00697946" w:rsidRPr="003F2729">
        <w:rPr>
          <w:rFonts w:cstheme="minorHAnsi"/>
          <w:lang w:val="de-DE"/>
        </w:rPr>
        <w:t>Die Industrialisierung führte</w:t>
      </w:r>
      <w:r w:rsidR="00697946">
        <w:rPr>
          <w:rFonts w:cstheme="minorHAnsi"/>
          <w:lang w:val="de-DE"/>
        </w:rPr>
        <w:t xml:space="preserve"> sogar</w:t>
      </w:r>
      <w:r w:rsidR="00697946" w:rsidRPr="003F2729">
        <w:rPr>
          <w:rFonts w:cstheme="minorHAnsi"/>
          <w:lang w:val="de-DE"/>
        </w:rPr>
        <w:t xml:space="preserve"> zu </w:t>
      </w:r>
      <w:r w:rsidR="00697946" w:rsidRPr="00C45A52">
        <w:rPr>
          <w:rFonts w:cstheme="minorHAnsi"/>
          <w:lang w:val="de-DE"/>
        </w:rPr>
        <w:t xml:space="preserve">einer sinkenden Anzahl berufstätiger Frauen </w:t>
      </w:r>
      <w:proofErr w:type="spellStart"/>
      <w:r w:rsidR="00697946" w:rsidRPr="00C45A52">
        <w:rPr>
          <w:rFonts w:cstheme="minorHAnsi"/>
          <w:lang w:val="de-DE"/>
        </w:rPr>
        <w:t>ausserhalb</w:t>
      </w:r>
      <w:proofErr w:type="spellEnd"/>
      <w:r w:rsidR="00697946" w:rsidRPr="00C45A52">
        <w:rPr>
          <w:rFonts w:cstheme="minorHAnsi"/>
          <w:lang w:val="de-DE"/>
        </w:rPr>
        <w:t xml:space="preserve"> des Haushalts (</w:t>
      </w:r>
      <w:r w:rsidR="005B5A49" w:rsidRPr="00C45A52">
        <w:rPr>
          <w:rFonts w:cstheme="minorHAnsi"/>
          <w:lang w:val="de-DE"/>
        </w:rPr>
        <w:t>vgl. ebd.,</w:t>
      </w:r>
      <w:r w:rsidR="00697946" w:rsidRPr="00C45A52">
        <w:rPr>
          <w:rFonts w:cstheme="minorHAnsi"/>
          <w:lang w:val="de-DE"/>
        </w:rPr>
        <w:t xml:space="preserve"> S. 39). </w:t>
      </w:r>
      <w:r w:rsidR="001143AA">
        <w:rPr>
          <w:rFonts w:cstheme="minorHAnsi"/>
          <w:lang w:val="de-DE"/>
        </w:rPr>
        <w:t>Es lässt sich hieraus ableiten</w:t>
      </w:r>
      <w:r w:rsidR="00DD383E" w:rsidRPr="00C45A52">
        <w:rPr>
          <w:rFonts w:cstheme="minorHAnsi"/>
          <w:lang w:val="de-DE"/>
        </w:rPr>
        <w:t>, dass die</w:t>
      </w:r>
      <w:r w:rsidR="001D54EC" w:rsidRPr="00C45A52">
        <w:rPr>
          <w:rFonts w:cstheme="minorHAnsi"/>
          <w:lang w:val="de-DE"/>
        </w:rPr>
        <w:t xml:space="preserve"> </w:t>
      </w:r>
      <w:r w:rsidR="00DD383E" w:rsidRPr="00C45A52">
        <w:rPr>
          <w:rFonts w:cstheme="minorHAnsi"/>
          <w:lang w:val="de-DE"/>
        </w:rPr>
        <w:t>B</w:t>
      </w:r>
      <w:r w:rsidR="001D54EC" w:rsidRPr="00C45A52">
        <w:rPr>
          <w:rFonts w:cstheme="minorHAnsi"/>
          <w:lang w:val="de-DE"/>
        </w:rPr>
        <w:t>erufstätig</w:t>
      </w:r>
      <w:r w:rsidR="00DD383E" w:rsidRPr="00C45A52">
        <w:rPr>
          <w:rFonts w:cstheme="minorHAnsi"/>
          <w:lang w:val="de-DE"/>
        </w:rPr>
        <w:t>keit von Frauen</w:t>
      </w:r>
      <w:r w:rsidR="001D54EC" w:rsidRPr="00C45A52">
        <w:rPr>
          <w:rFonts w:cstheme="minorHAnsi"/>
          <w:lang w:val="de-DE"/>
        </w:rPr>
        <w:t xml:space="preserve"> nicht</w:t>
      </w:r>
      <w:r w:rsidR="00DD383E" w:rsidRPr="00C45A52">
        <w:rPr>
          <w:rFonts w:cstheme="minorHAnsi"/>
          <w:lang w:val="de-DE"/>
        </w:rPr>
        <w:t xml:space="preserve"> bedeutet</w:t>
      </w:r>
      <w:r w:rsidR="00217EE7">
        <w:rPr>
          <w:rFonts w:cstheme="minorHAnsi"/>
          <w:lang w:val="de-DE"/>
        </w:rPr>
        <w:t>e</w:t>
      </w:r>
      <w:r w:rsidR="001D54EC" w:rsidRPr="00C45A52">
        <w:rPr>
          <w:rFonts w:cstheme="minorHAnsi"/>
          <w:lang w:val="de-DE"/>
        </w:rPr>
        <w:t>, dass ihre Arbeit entsprechend anerk</w:t>
      </w:r>
      <w:r w:rsidR="00A25BB9">
        <w:rPr>
          <w:rFonts w:cstheme="minorHAnsi"/>
          <w:lang w:val="de-DE"/>
        </w:rPr>
        <w:t>a</w:t>
      </w:r>
      <w:r w:rsidR="001D54EC" w:rsidRPr="00C45A52">
        <w:rPr>
          <w:rFonts w:cstheme="minorHAnsi"/>
          <w:lang w:val="de-DE"/>
        </w:rPr>
        <w:t>nnt w</w:t>
      </w:r>
      <w:r w:rsidR="00217EE7">
        <w:rPr>
          <w:rFonts w:cstheme="minorHAnsi"/>
          <w:lang w:val="de-DE"/>
        </w:rPr>
        <w:t>urde.</w:t>
      </w:r>
      <w:r w:rsidR="001143AA">
        <w:rPr>
          <w:rFonts w:cstheme="minorHAnsi"/>
          <w:lang w:val="de-DE"/>
        </w:rPr>
        <w:t xml:space="preserve"> Hier frage ich mich: </w:t>
      </w:r>
      <w:r w:rsidR="00217EE7">
        <w:rPr>
          <w:rFonts w:cstheme="minorHAnsi"/>
          <w:lang w:val="de-DE"/>
        </w:rPr>
        <w:t>Besteht diese Problematik bis heute auch</w:t>
      </w:r>
      <w:r w:rsidR="001143AA">
        <w:rPr>
          <w:rFonts w:cstheme="minorHAnsi"/>
          <w:lang w:val="de-DE"/>
        </w:rPr>
        <w:t xml:space="preserve"> im zeitgenössischen Bezug zur doppelten Vergesellschaftung?</w:t>
      </w:r>
    </w:p>
    <w:p w14:paraId="02C59553" w14:textId="2A513A74" w:rsidR="00C0586E" w:rsidRPr="003F2729" w:rsidRDefault="00A25BB9" w:rsidP="003B3BA0">
      <w:pPr>
        <w:spacing w:line="360" w:lineRule="auto"/>
        <w:jc w:val="both"/>
        <w:rPr>
          <w:rFonts w:cstheme="minorHAnsi"/>
          <w:lang w:val="de-DE"/>
        </w:rPr>
      </w:pPr>
      <w:r>
        <w:rPr>
          <w:rFonts w:cstheme="minorHAnsi"/>
          <w:lang w:val="de-DE"/>
        </w:rPr>
        <w:t xml:space="preserve">In diesem Zusammenhang stellt sich auch die Frage, wie </w:t>
      </w:r>
      <w:r w:rsidR="00C45A52" w:rsidRPr="00467BAC">
        <w:rPr>
          <w:rFonts w:cstheme="minorHAnsi"/>
          <w:lang w:val="de-DE"/>
        </w:rPr>
        <w:t xml:space="preserve">Care- </w:t>
      </w:r>
      <w:r>
        <w:rPr>
          <w:rFonts w:cstheme="minorHAnsi"/>
          <w:lang w:val="de-DE"/>
        </w:rPr>
        <w:t xml:space="preserve">und </w:t>
      </w:r>
      <w:r w:rsidR="00C45A52" w:rsidRPr="00467BAC">
        <w:rPr>
          <w:rFonts w:cstheme="minorHAnsi"/>
          <w:lang w:val="de-DE"/>
        </w:rPr>
        <w:t xml:space="preserve">Betreuungsarbeit </w:t>
      </w:r>
      <w:r>
        <w:rPr>
          <w:rFonts w:cstheme="minorHAnsi"/>
          <w:lang w:val="de-DE"/>
        </w:rPr>
        <w:t>angemessen honoriert wird</w:t>
      </w:r>
      <w:r w:rsidR="00DE5C40" w:rsidRPr="00467BAC">
        <w:rPr>
          <w:rFonts w:cstheme="minorHAnsi"/>
          <w:lang w:val="de-DE"/>
        </w:rPr>
        <w:t>.</w:t>
      </w:r>
      <w:r w:rsidR="00DE5C40">
        <w:rPr>
          <w:rFonts w:cstheme="minorHAnsi"/>
          <w:lang w:val="de-DE"/>
        </w:rPr>
        <w:t xml:space="preserve"> Bereits 1900 (und schon davor) wurde diese Thematik aufgeworfen. </w:t>
      </w:r>
      <w:r w:rsidR="00DE5C40" w:rsidRPr="00DE5C40">
        <w:rPr>
          <w:rFonts w:cstheme="minorHAnsi"/>
        </w:rPr>
        <w:t xml:space="preserve">Beispielsweise am zweiten </w:t>
      </w:r>
      <w:proofErr w:type="spellStart"/>
      <w:r w:rsidR="00DE5C40" w:rsidRPr="00DE5C40">
        <w:rPr>
          <w:rFonts w:cstheme="minorHAnsi"/>
          <w:i/>
          <w:iCs/>
        </w:rPr>
        <w:t>Congrès</w:t>
      </w:r>
      <w:proofErr w:type="spellEnd"/>
      <w:r w:rsidR="00DE5C40" w:rsidRPr="00DE5C40">
        <w:rPr>
          <w:rFonts w:cstheme="minorHAnsi"/>
          <w:i/>
          <w:iCs/>
        </w:rPr>
        <w:t xml:space="preserve"> international des </w:t>
      </w:r>
      <w:proofErr w:type="spellStart"/>
      <w:r w:rsidR="00DE5C40" w:rsidRPr="00DE5C40">
        <w:rPr>
          <w:rFonts w:cstheme="minorHAnsi"/>
          <w:i/>
          <w:iCs/>
        </w:rPr>
        <w:t>ouvres</w:t>
      </w:r>
      <w:proofErr w:type="spellEnd"/>
      <w:r w:rsidR="00DE5C40" w:rsidRPr="00DE5C40">
        <w:rPr>
          <w:rFonts w:cstheme="minorHAnsi"/>
          <w:i/>
          <w:iCs/>
        </w:rPr>
        <w:t xml:space="preserve"> et </w:t>
      </w:r>
      <w:proofErr w:type="spellStart"/>
      <w:r w:rsidR="00DE5C40" w:rsidRPr="00DE5C40">
        <w:rPr>
          <w:rFonts w:cstheme="minorHAnsi"/>
          <w:i/>
          <w:iCs/>
        </w:rPr>
        <w:t>institutions</w:t>
      </w:r>
      <w:proofErr w:type="spellEnd"/>
      <w:r w:rsidR="00DE5C40" w:rsidRPr="00DE5C40">
        <w:rPr>
          <w:rFonts w:cstheme="minorHAnsi"/>
          <w:i/>
          <w:iCs/>
        </w:rPr>
        <w:t xml:space="preserve"> </w:t>
      </w:r>
      <w:proofErr w:type="spellStart"/>
      <w:r w:rsidR="00DE5C40" w:rsidRPr="00DE5C40">
        <w:rPr>
          <w:rFonts w:cstheme="minorHAnsi"/>
          <w:i/>
          <w:iCs/>
        </w:rPr>
        <w:t>féminines</w:t>
      </w:r>
      <w:proofErr w:type="spellEnd"/>
      <w:r w:rsidR="00DE5C40" w:rsidRPr="00DE5C40">
        <w:rPr>
          <w:rFonts w:cstheme="minorHAnsi"/>
        </w:rPr>
        <w:t xml:space="preserve"> forderte </w:t>
      </w:r>
      <w:r w:rsidR="00DE5C40">
        <w:rPr>
          <w:rFonts w:cstheme="minorHAnsi"/>
          <w:lang w:val="de-DE"/>
        </w:rPr>
        <w:t xml:space="preserve">Maria </w:t>
      </w:r>
      <w:proofErr w:type="spellStart"/>
      <w:r w:rsidR="00DE5C40">
        <w:rPr>
          <w:rFonts w:cstheme="minorHAnsi"/>
          <w:lang w:val="de-DE"/>
        </w:rPr>
        <w:t>Pognon</w:t>
      </w:r>
      <w:proofErr w:type="spellEnd"/>
      <w:r w:rsidR="00DE5C40">
        <w:rPr>
          <w:rFonts w:cstheme="minorHAnsi"/>
          <w:lang w:val="de-DE"/>
        </w:rPr>
        <w:t xml:space="preserve"> eine </w:t>
      </w:r>
      <w:r w:rsidR="00DE5C40" w:rsidRPr="00DE5C40">
        <w:rPr>
          <w:rFonts w:cstheme="minorHAnsi"/>
          <w:lang w:val="de-DE"/>
        </w:rPr>
        <w:t xml:space="preserve">Kompensation </w:t>
      </w:r>
      <w:r w:rsidR="00DE5C40">
        <w:rPr>
          <w:rFonts w:cstheme="minorHAnsi"/>
          <w:lang w:val="de-DE"/>
        </w:rPr>
        <w:t xml:space="preserve">für die von Frauen getätigte </w:t>
      </w:r>
      <w:r w:rsidR="00DE5C40" w:rsidRPr="00DE5C40">
        <w:rPr>
          <w:rFonts w:cstheme="minorHAnsi"/>
          <w:lang w:val="de-DE"/>
        </w:rPr>
        <w:t>Reproduktionsarbeit</w:t>
      </w:r>
      <w:r w:rsidR="00DE5C40">
        <w:rPr>
          <w:rFonts w:cstheme="minorHAnsi"/>
          <w:lang w:val="de-DE"/>
        </w:rPr>
        <w:t xml:space="preserve">, die eine zentrale gesellschaftliche soziale Funktion einnehme </w:t>
      </w:r>
      <w:r w:rsidR="00DE5C40" w:rsidRPr="00DE5C40">
        <w:rPr>
          <w:rFonts w:cstheme="minorHAnsi"/>
        </w:rPr>
        <w:t>(</w:t>
      </w:r>
      <w:r w:rsidR="006A5408">
        <w:rPr>
          <w:rFonts w:cstheme="minorHAnsi"/>
        </w:rPr>
        <w:t xml:space="preserve">vgl. </w:t>
      </w:r>
      <w:r w:rsidR="00DE5C40" w:rsidRPr="00DE5C40">
        <w:rPr>
          <w:rFonts w:cstheme="minorHAnsi"/>
        </w:rPr>
        <w:t>Scott 1999, S. 2</w:t>
      </w:r>
      <w:r w:rsidR="005844DF">
        <w:rPr>
          <w:rFonts w:cstheme="minorHAnsi"/>
        </w:rPr>
        <w:t>8</w:t>
      </w:r>
      <w:r w:rsidR="000A383D">
        <w:rPr>
          <w:rFonts w:cstheme="minorHAnsi"/>
        </w:rPr>
        <w:t xml:space="preserve">). </w:t>
      </w:r>
      <w:r>
        <w:rPr>
          <w:rFonts w:cstheme="minorHAnsi"/>
        </w:rPr>
        <w:t xml:space="preserve">Heute lässt sich der getätigte Aufwand in Zahlen umrechnen. </w:t>
      </w:r>
      <w:r w:rsidR="00C0586E">
        <w:rPr>
          <w:rFonts w:cstheme="minorHAnsi"/>
          <w:lang w:val="de-DE"/>
        </w:rPr>
        <w:t xml:space="preserve">Der Wert der unbezahlten Arbeit belief sich im Jahr 2016 laut Bundesamt für Statistik </w:t>
      </w:r>
      <w:r>
        <w:rPr>
          <w:rFonts w:cstheme="minorHAnsi"/>
          <w:lang w:val="de-DE"/>
        </w:rPr>
        <w:t xml:space="preserve">in der Schweiz </w:t>
      </w:r>
      <w:r w:rsidR="00C0586E">
        <w:rPr>
          <w:rFonts w:cstheme="minorHAnsi"/>
          <w:lang w:val="de-DE"/>
        </w:rPr>
        <w:t>auf 408 Milliarden Franken (</w:t>
      </w:r>
      <w:r w:rsidR="005E2578">
        <w:rPr>
          <w:rFonts w:cstheme="minorHAnsi"/>
          <w:lang w:val="de-DE"/>
        </w:rPr>
        <w:t xml:space="preserve">vgl. </w:t>
      </w:r>
      <w:r w:rsidR="00C0586E">
        <w:rPr>
          <w:rFonts w:cstheme="minorHAnsi"/>
          <w:lang w:val="de-DE"/>
        </w:rPr>
        <w:t>Medienmitteilung des B</w:t>
      </w:r>
      <w:r w:rsidR="001C796A">
        <w:rPr>
          <w:rFonts w:cstheme="minorHAnsi"/>
          <w:lang w:val="de-DE"/>
        </w:rPr>
        <w:t>F</w:t>
      </w:r>
      <w:r w:rsidR="00C0586E">
        <w:rPr>
          <w:rFonts w:cstheme="minorHAnsi"/>
          <w:lang w:val="de-DE"/>
        </w:rPr>
        <w:t>S vom 11.12.2017). Sarah Schilliger bezieht sich auf dieselben Berechnungen (einfach aus dem Jahr 2004, wo sie sich auf 270 Milliarden Franken pro Jahr belief) u</w:t>
      </w:r>
      <w:r w:rsidR="006A5408">
        <w:rPr>
          <w:rFonts w:cstheme="minorHAnsi"/>
          <w:lang w:val="de-DE"/>
        </w:rPr>
        <w:t>m zu zeigen</w:t>
      </w:r>
      <w:r w:rsidR="00C0586E">
        <w:rPr>
          <w:rFonts w:cstheme="minorHAnsi"/>
          <w:lang w:val="de-DE"/>
        </w:rPr>
        <w:t xml:space="preserve">, dass die Bedeutung des ökonomischen Faktors der unbezahlten Arbeit stark unterschätzt wird (vgl. Schilliger 2009, S. 96). Sie folgt hieraus, dass das Ende des ‚bürgerlichen Hausfrauenmodells‘ nicht in etwa „ein Ende </w:t>
      </w:r>
      <w:proofErr w:type="gramStart"/>
      <w:r w:rsidR="00C0586E">
        <w:rPr>
          <w:rFonts w:cstheme="minorHAnsi"/>
          <w:lang w:val="de-DE"/>
        </w:rPr>
        <w:t>der Haus</w:t>
      </w:r>
      <w:proofErr w:type="gramEnd"/>
      <w:r w:rsidR="00C0586E">
        <w:rPr>
          <w:rFonts w:cstheme="minorHAnsi"/>
          <w:lang w:val="de-DE"/>
        </w:rPr>
        <w:t>(</w:t>
      </w:r>
      <w:proofErr w:type="spellStart"/>
      <w:r w:rsidR="00C0586E">
        <w:rPr>
          <w:rFonts w:cstheme="minorHAnsi"/>
          <w:lang w:val="de-DE"/>
        </w:rPr>
        <w:t>frauen</w:t>
      </w:r>
      <w:proofErr w:type="spellEnd"/>
      <w:r w:rsidR="00C0586E">
        <w:rPr>
          <w:rFonts w:cstheme="minorHAnsi"/>
          <w:lang w:val="de-DE"/>
        </w:rPr>
        <w:t>)</w:t>
      </w:r>
      <w:proofErr w:type="spellStart"/>
      <w:r w:rsidR="00C0586E">
        <w:rPr>
          <w:rFonts w:cstheme="minorHAnsi"/>
          <w:lang w:val="de-DE"/>
        </w:rPr>
        <w:t>arbeit</w:t>
      </w:r>
      <w:proofErr w:type="spellEnd"/>
      <w:r w:rsidR="00C0586E">
        <w:rPr>
          <w:rFonts w:cstheme="minorHAnsi"/>
          <w:lang w:val="de-DE"/>
        </w:rPr>
        <w:t>“ (ebd.) bedeute, sondern der Beginn eines ‚</w:t>
      </w:r>
      <w:proofErr w:type="spellStart"/>
      <w:r w:rsidR="00C0586E">
        <w:rPr>
          <w:rFonts w:cstheme="minorHAnsi"/>
          <w:lang w:val="de-DE"/>
        </w:rPr>
        <w:t>Zuverdienerinnenmodells</w:t>
      </w:r>
      <w:proofErr w:type="spellEnd"/>
      <w:r w:rsidR="00C0586E">
        <w:rPr>
          <w:rFonts w:cstheme="minorHAnsi"/>
          <w:lang w:val="de-DE"/>
        </w:rPr>
        <w:t xml:space="preserve">‘, bei der die Frau einer Doppelbelastung ausgesetzt wird (vgl. ebd.). </w:t>
      </w:r>
      <w:r w:rsidR="009A71C7">
        <w:rPr>
          <w:rFonts w:cstheme="minorHAnsi"/>
          <w:lang w:val="de-DE"/>
        </w:rPr>
        <w:t>(Hier könnte ergänzt werden, dass</w:t>
      </w:r>
      <w:r>
        <w:rPr>
          <w:rFonts w:cstheme="minorHAnsi"/>
          <w:lang w:val="de-DE"/>
        </w:rPr>
        <w:t xml:space="preserve"> </w:t>
      </w:r>
      <w:r w:rsidR="009A71C7">
        <w:rPr>
          <w:rFonts w:cstheme="minorHAnsi"/>
          <w:lang w:val="de-DE"/>
        </w:rPr>
        <w:t>mittels Scott</w:t>
      </w:r>
      <w:r w:rsidR="00D91653">
        <w:rPr>
          <w:rFonts w:cstheme="minorHAnsi"/>
          <w:lang w:val="de-DE"/>
        </w:rPr>
        <w:t xml:space="preserve"> und Tilly</w:t>
      </w:r>
      <w:r w:rsidR="009A71C7">
        <w:rPr>
          <w:rFonts w:cstheme="minorHAnsi"/>
          <w:lang w:val="de-DE"/>
        </w:rPr>
        <w:t xml:space="preserve"> gezeigt werden kann, dass bereits im 19. Jahrhundert ein</w:t>
      </w:r>
      <w:r w:rsidR="006A5408">
        <w:rPr>
          <w:rFonts w:cstheme="minorHAnsi"/>
          <w:lang w:val="de-DE"/>
        </w:rPr>
        <w:t>e Art</w:t>
      </w:r>
      <w:r w:rsidR="009A71C7">
        <w:rPr>
          <w:rFonts w:cstheme="minorHAnsi"/>
          <w:lang w:val="de-DE"/>
        </w:rPr>
        <w:t xml:space="preserve"> ‚</w:t>
      </w:r>
      <w:proofErr w:type="spellStart"/>
      <w:r w:rsidR="009A71C7">
        <w:rPr>
          <w:rFonts w:cstheme="minorHAnsi"/>
          <w:lang w:val="de-DE"/>
        </w:rPr>
        <w:t>Zuverdienerinnenmodell</w:t>
      </w:r>
      <w:proofErr w:type="spellEnd"/>
      <w:r w:rsidR="009A71C7">
        <w:rPr>
          <w:rFonts w:cstheme="minorHAnsi"/>
          <w:lang w:val="de-DE"/>
        </w:rPr>
        <w:t>‘ bestand (</w:t>
      </w:r>
      <w:r w:rsidR="00037480">
        <w:rPr>
          <w:rFonts w:cstheme="minorHAnsi"/>
          <w:lang w:val="de-DE"/>
        </w:rPr>
        <w:t xml:space="preserve">vgl. </w:t>
      </w:r>
      <w:r w:rsidR="009A71C7">
        <w:rPr>
          <w:rFonts w:cstheme="minorHAnsi"/>
          <w:lang w:val="de-DE"/>
        </w:rPr>
        <w:t>Scott</w:t>
      </w:r>
      <w:r w:rsidR="00D91653">
        <w:rPr>
          <w:rFonts w:cstheme="minorHAnsi"/>
          <w:lang w:val="de-DE"/>
        </w:rPr>
        <w:t xml:space="preserve"> &amp; Tilly</w:t>
      </w:r>
      <w:r w:rsidR="009A71C7">
        <w:rPr>
          <w:rFonts w:cstheme="minorHAnsi"/>
          <w:lang w:val="de-DE"/>
        </w:rPr>
        <w:t xml:space="preserve"> 19</w:t>
      </w:r>
      <w:r w:rsidR="00037480">
        <w:rPr>
          <w:rFonts w:cstheme="minorHAnsi"/>
          <w:lang w:val="de-DE"/>
        </w:rPr>
        <w:t xml:space="preserve">75, S. 38).) </w:t>
      </w:r>
      <w:r w:rsidR="00C0586E">
        <w:rPr>
          <w:rFonts w:cstheme="minorHAnsi"/>
          <w:lang w:val="de-DE"/>
        </w:rPr>
        <w:t>Wie bereits Becker-Schmidt gezeigt hat, habe die doppelte Vergesellschaftung der Frau auch Implikationen auf die Lage der Frauen im Erwerbsleben (vgl. ebd.). Als Beispiel nennt Schilliger die Entgrenzung von Arbeit und Arbeitszeit (</w:t>
      </w:r>
      <w:r w:rsidR="005E2578">
        <w:rPr>
          <w:rFonts w:cstheme="minorHAnsi"/>
          <w:lang w:val="de-DE"/>
        </w:rPr>
        <w:t xml:space="preserve">vgl. Schilliger 2009, </w:t>
      </w:r>
      <w:r w:rsidR="00C0586E">
        <w:rPr>
          <w:rFonts w:cstheme="minorHAnsi"/>
          <w:lang w:val="de-DE"/>
        </w:rPr>
        <w:t xml:space="preserve">S. 97), welche die Grenzen zwischen ‚Arbeit und Leben‘ zunehmend verwischt (vgl. ebd.) und eine </w:t>
      </w:r>
      <w:proofErr w:type="spellStart"/>
      <w:r w:rsidR="00C0586E" w:rsidRPr="00C45A52">
        <w:rPr>
          <w:rFonts w:cstheme="minorHAnsi"/>
          <w:lang w:val="de-DE"/>
        </w:rPr>
        <w:t>grösseres</w:t>
      </w:r>
      <w:proofErr w:type="spellEnd"/>
      <w:r w:rsidR="00C0586E" w:rsidRPr="00C45A52">
        <w:rPr>
          <w:rFonts w:cstheme="minorHAnsi"/>
          <w:lang w:val="de-DE"/>
        </w:rPr>
        <w:t xml:space="preserve"> Selbstmanagement</w:t>
      </w:r>
      <w:r w:rsidR="00C0586E">
        <w:rPr>
          <w:rFonts w:cstheme="minorHAnsi"/>
          <w:lang w:val="de-DE"/>
        </w:rPr>
        <w:t xml:space="preserve"> erfordere (</w:t>
      </w:r>
      <w:r w:rsidR="005E2578">
        <w:rPr>
          <w:rFonts w:cstheme="minorHAnsi"/>
          <w:lang w:val="de-DE"/>
        </w:rPr>
        <w:t xml:space="preserve">vgl. ebd., </w:t>
      </w:r>
      <w:r w:rsidR="00C0586E">
        <w:rPr>
          <w:rFonts w:cstheme="minorHAnsi"/>
          <w:lang w:val="de-DE"/>
        </w:rPr>
        <w:t>S. 100). Dabei könnten insbesondere Menschen mit Betreuungspflichten dem Standard des ‚flexiblen Menschen‘</w:t>
      </w:r>
      <w:r w:rsidR="005E2578">
        <w:rPr>
          <w:rFonts w:cstheme="minorHAnsi"/>
          <w:lang w:val="de-DE"/>
        </w:rPr>
        <w:t xml:space="preserve"> </w:t>
      </w:r>
      <w:r w:rsidR="00C0586E">
        <w:rPr>
          <w:rFonts w:cstheme="minorHAnsi"/>
          <w:lang w:val="de-DE"/>
        </w:rPr>
        <w:t xml:space="preserve">nicht entsprechen, da die Flexibilität bezüglich bezahlter Arbeit schwer vereinbar sei mit der erforderlichen </w:t>
      </w:r>
      <w:r w:rsidR="006A5408">
        <w:rPr>
          <w:rFonts w:cstheme="minorHAnsi"/>
          <w:lang w:val="de-DE"/>
        </w:rPr>
        <w:t>Anpassungsfähigkeit</w:t>
      </w:r>
      <w:r w:rsidR="00C0586E">
        <w:rPr>
          <w:rFonts w:cstheme="minorHAnsi"/>
          <w:lang w:val="de-DE"/>
        </w:rPr>
        <w:t xml:space="preserve"> in Bezug zur unbezahlten Care-Arbeit (</w:t>
      </w:r>
      <w:r w:rsidR="005E2578">
        <w:rPr>
          <w:rFonts w:cstheme="minorHAnsi"/>
          <w:lang w:val="de-DE"/>
        </w:rPr>
        <w:t xml:space="preserve">vgl. ebd., </w:t>
      </w:r>
      <w:r w:rsidR="00C0586E">
        <w:rPr>
          <w:rFonts w:cstheme="minorHAnsi"/>
          <w:lang w:val="de-DE"/>
        </w:rPr>
        <w:t>S. 97). Dies münde in Problematiken wie ‚Zeitnot‘ und Stress (</w:t>
      </w:r>
      <w:r w:rsidR="005E2578">
        <w:rPr>
          <w:rFonts w:cstheme="minorHAnsi"/>
          <w:lang w:val="de-DE"/>
        </w:rPr>
        <w:t xml:space="preserve">vgl. </w:t>
      </w:r>
      <w:r w:rsidR="00C0586E">
        <w:rPr>
          <w:rFonts w:cstheme="minorHAnsi"/>
          <w:lang w:val="de-DE"/>
        </w:rPr>
        <w:t>ebd.). Oder wie Scott schreibt: „</w:t>
      </w:r>
      <w:proofErr w:type="spellStart"/>
      <w:r w:rsidR="00C0586E" w:rsidRPr="003F2729">
        <w:rPr>
          <w:rFonts w:cstheme="minorHAnsi"/>
          <w:lang w:val="de-DE"/>
        </w:rPr>
        <w:t>woman’s</w:t>
      </w:r>
      <w:proofErr w:type="spellEnd"/>
      <w:r w:rsidR="00C0586E" w:rsidRPr="003F2729">
        <w:rPr>
          <w:rFonts w:cstheme="minorHAnsi"/>
          <w:lang w:val="de-DE"/>
        </w:rPr>
        <w:t xml:space="preserve"> </w:t>
      </w:r>
      <w:proofErr w:type="spellStart"/>
      <w:r w:rsidR="00C0586E" w:rsidRPr="003F2729">
        <w:rPr>
          <w:rFonts w:cstheme="minorHAnsi"/>
          <w:lang w:val="de-DE"/>
        </w:rPr>
        <w:t>work</w:t>
      </w:r>
      <w:proofErr w:type="spellEnd"/>
      <w:r w:rsidR="00C0586E" w:rsidRPr="003F2729">
        <w:rPr>
          <w:rFonts w:cstheme="minorHAnsi"/>
          <w:lang w:val="de-DE"/>
        </w:rPr>
        <w:t xml:space="preserve"> </w:t>
      </w:r>
      <w:proofErr w:type="spellStart"/>
      <w:r w:rsidR="00C0586E" w:rsidRPr="003F2729">
        <w:rPr>
          <w:rFonts w:cstheme="minorHAnsi"/>
          <w:lang w:val="de-DE"/>
        </w:rPr>
        <w:t>is</w:t>
      </w:r>
      <w:proofErr w:type="spellEnd"/>
      <w:r w:rsidR="00C0586E" w:rsidRPr="003F2729">
        <w:rPr>
          <w:rFonts w:cstheme="minorHAnsi"/>
          <w:lang w:val="de-DE"/>
        </w:rPr>
        <w:t xml:space="preserve"> </w:t>
      </w:r>
      <w:proofErr w:type="spellStart"/>
      <w:r w:rsidR="00C0586E" w:rsidRPr="003F2729">
        <w:rPr>
          <w:rFonts w:cstheme="minorHAnsi"/>
          <w:lang w:val="de-DE"/>
        </w:rPr>
        <w:t>never</w:t>
      </w:r>
      <w:proofErr w:type="spellEnd"/>
      <w:r w:rsidR="00C0586E" w:rsidRPr="003F2729">
        <w:rPr>
          <w:rFonts w:cstheme="minorHAnsi"/>
          <w:lang w:val="de-DE"/>
        </w:rPr>
        <w:t xml:space="preserve"> </w:t>
      </w:r>
      <w:proofErr w:type="spellStart"/>
      <w:r w:rsidR="00C0586E" w:rsidRPr="003F2729">
        <w:rPr>
          <w:rFonts w:cstheme="minorHAnsi"/>
          <w:lang w:val="de-DE"/>
        </w:rPr>
        <w:t>done</w:t>
      </w:r>
      <w:proofErr w:type="spellEnd"/>
      <w:r w:rsidR="00C0586E">
        <w:rPr>
          <w:rFonts w:cstheme="minorHAnsi"/>
          <w:lang w:val="de-DE"/>
        </w:rPr>
        <w:t>“</w:t>
      </w:r>
      <w:r w:rsidR="00C0586E" w:rsidRPr="003F2729">
        <w:rPr>
          <w:rFonts w:cstheme="minorHAnsi"/>
          <w:lang w:val="de-DE"/>
        </w:rPr>
        <w:t xml:space="preserve"> (</w:t>
      </w:r>
      <w:r w:rsidR="00C0586E">
        <w:rPr>
          <w:rFonts w:cstheme="minorHAnsi"/>
          <w:lang w:val="de-DE"/>
        </w:rPr>
        <w:t xml:space="preserve">Scott 1975, </w:t>
      </w:r>
      <w:r w:rsidR="00C0586E" w:rsidRPr="003F2729">
        <w:rPr>
          <w:rFonts w:cstheme="minorHAnsi"/>
          <w:lang w:val="de-DE"/>
        </w:rPr>
        <w:t>S. 50)</w:t>
      </w:r>
      <w:r w:rsidR="00C0586E">
        <w:rPr>
          <w:rFonts w:cstheme="minorHAnsi"/>
          <w:lang w:val="de-DE"/>
        </w:rPr>
        <w:t xml:space="preserve">. </w:t>
      </w:r>
      <w:r w:rsidR="00C0586E" w:rsidRPr="00C45A52">
        <w:rPr>
          <w:rFonts w:cstheme="minorHAnsi"/>
          <w:lang w:val="de-DE"/>
        </w:rPr>
        <w:t xml:space="preserve">In Bezug zur Fragestellung </w:t>
      </w:r>
      <w:r w:rsidR="00C45A52" w:rsidRPr="00C45A52">
        <w:rPr>
          <w:rFonts w:cstheme="minorHAnsi"/>
          <w:lang w:val="de-DE"/>
        </w:rPr>
        <w:t>verdeutlicht</w:t>
      </w:r>
      <w:r w:rsidR="00C45A52">
        <w:rPr>
          <w:rFonts w:cstheme="minorHAnsi"/>
          <w:lang w:val="de-DE"/>
        </w:rPr>
        <w:t xml:space="preserve"> dies, dass obwohl Frauen </w:t>
      </w:r>
      <w:r w:rsidR="001143AA">
        <w:rPr>
          <w:rFonts w:cstheme="minorHAnsi"/>
          <w:lang w:val="de-DE"/>
        </w:rPr>
        <w:t xml:space="preserve">oftmals </w:t>
      </w:r>
      <w:r w:rsidR="00C45A52">
        <w:rPr>
          <w:rFonts w:cstheme="minorHAnsi"/>
          <w:lang w:val="de-DE"/>
        </w:rPr>
        <w:t xml:space="preserve">einer Doppelbelastung ausgesetzt sind und </w:t>
      </w:r>
      <w:r w:rsidR="001143AA">
        <w:rPr>
          <w:rFonts w:cstheme="minorHAnsi"/>
          <w:lang w:val="de-DE"/>
        </w:rPr>
        <w:t>überdurchschnittlich viel Arbeit leisten, wird diese nicht entsprechend honoriert</w:t>
      </w:r>
      <w:r w:rsidR="000A383D" w:rsidRPr="00DE5C40">
        <w:rPr>
          <w:rFonts w:cstheme="minorHAnsi"/>
        </w:rPr>
        <w:t xml:space="preserve">. </w:t>
      </w:r>
      <w:r w:rsidR="000A383D">
        <w:rPr>
          <w:rFonts w:cstheme="minorHAnsi"/>
          <w:lang w:val="de-DE"/>
        </w:rPr>
        <w:t xml:space="preserve">Aber auch bei der entlöhnten </w:t>
      </w:r>
      <w:r w:rsidR="006A5408">
        <w:rPr>
          <w:rFonts w:cstheme="minorHAnsi"/>
          <w:lang w:val="de-DE"/>
        </w:rPr>
        <w:t>Erwerbsa</w:t>
      </w:r>
      <w:r w:rsidR="000A383D">
        <w:rPr>
          <w:rFonts w:cstheme="minorHAnsi"/>
          <w:lang w:val="de-DE"/>
        </w:rPr>
        <w:t xml:space="preserve">rbeit fehlt vielfach die angemessene monetäre Wertschätzung, denn bis </w:t>
      </w:r>
      <w:r w:rsidR="000A383D">
        <w:rPr>
          <w:rFonts w:cstheme="minorHAnsi"/>
          <w:lang w:val="de-DE"/>
        </w:rPr>
        <w:lastRenderedPageBreak/>
        <w:t>heute ist der Gender Pay Gap auch in der Schweiz stark präsent (</w:t>
      </w:r>
      <w:r w:rsidR="005E2578">
        <w:rPr>
          <w:rFonts w:cstheme="minorHAnsi"/>
          <w:lang w:val="de-DE"/>
        </w:rPr>
        <w:t xml:space="preserve">vgl. Bundesamt für Statistik, </w:t>
      </w:r>
      <w:r w:rsidR="000A383D">
        <w:rPr>
          <w:rFonts w:cstheme="minorHAnsi"/>
          <w:lang w:val="de-DE"/>
        </w:rPr>
        <w:t xml:space="preserve">Lohnunterschied, 2020). Nach Nancy Frasers (2003) Theorie der Anerkennung und Umverteilung kann der Lohn als </w:t>
      </w:r>
      <w:proofErr w:type="spellStart"/>
      <w:r w:rsidR="000A383D">
        <w:rPr>
          <w:rFonts w:cstheme="minorHAnsi"/>
          <w:lang w:val="de-DE"/>
        </w:rPr>
        <w:t>Massstab</w:t>
      </w:r>
      <w:proofErr w:type="spellEnd"/>
      <w:r w:rsidR="000A383D">
        <w:rPr>
          <w:rFonts w:cstheme="minorHAnsi"/>
          <w:lang w:val="de-DE"/>
        </w:rPr>
        <w:t xml:space="preserve"> für den Grad der</w:t>
      </w:r>
      <w:r w:rsidR="000A383D" w:rsidRPr="001C5495">
        <w:rPr>
          <w:rFonts w:cstheme="minorHAnsi"/>
          <w:lang w:val="de-DE"/>
        </w:rPr>
        <w:t xml:space="preserve"> soziale</w:t>
      </w:r>
      <w:r w:rsidR="000A383D">
        <w:rPr>
          <w:rFonts w:cstheme="minorHAnsi"/>
          <w:lang w:val="de-DE"/>
        </w:rPr>
        <w:t>n</w:t>
      </w:r>
      <w:r w:rsidR="000A383D" w:rsidRPr="001C5495">
        <w:rPr>
          <w:rFonts w:cstheme="minorHAnsi"/>
          <w:lang w:val="de-DE"/>
        </w:rPr>
        <w:t xml:space="preserve"> Anerkennung</w:t>
      </w:r>
      <w:r w:rsidR="000A383D">
        <w:rPr>
          <w:rFonts w:cstheme="minorHAnsi"/>
          <w:lang w:val="de-DE"/>
        </w:rPr>
        <w:t xml:space="preserve"> der geleisteten Arbeit</w:t>
      </w:r>
      <w:r w:rsidR="000A383D" w:rsidRPr="001C5495">
        <w:rPr>
          <w:rFonts w:cstheme="minorHAnsi"/>
          <w:lang w:val="de-DE"/>
        </w:rPr>
        <w:t xml:space="preserve"> </w:t>
      </w:r>
      <w:r w:rsidR="000A383D">
        <w:rPr>
          <w:rFonts w:cstheme="minorHAnsi"/>
          <w:lang w:val="de-DE"/>
        </w:rPr>
        <w:t xml:space="preserve">fungieren (vgl. Fraser 2003). </w:t>
      </w:r>
      <w:r w:rsidR="00217EE7">
        <w:rPr>
          <w:rFonts w:cstheme="minorHAnsi"/>
          <w:lang w:val="de-DE"/>
        </w:rPr>
        <w:t xml:space="preserve">Oben aufgeworfene Frage sollte </w:t>
      </w:r>
      <w:r w:rsidR="000A383D">
        <w:rPr>
          <w:rFonts w:cstheme="minorHAnsi"/>
          <w:lang w:val="de-DE"/>
        </w:rPr>
        <w:t>folglich</w:t>
      </w:r>
      <w:r w:rsidR="00217EE7">
        <w:rPr>
          <w:rFonts w:cstheme="minorHAnsi"/>
          <w:lang w:val="de-DE"/>
        </w:rPr>
        <w:t xml:space="preserve"> mit einem ‚Ja‘ beantwortet werden könne</w:t>
      </w:r>
      <w:r w:rsidR="000A383D">
        <w:rPr>
          <w:rFonts w:cstheme="minorHAnsi"/>
          <w:lang w:val="de-DE"/>
        </w:rPr>
        <w:t>n, denn</w:t>
      </w:r>
      <w:r w:rsidR="001C5495">
        <w:rPr>
          <w:rFonts w:cstheme="minorHAnsi"/>
          <w:lang w:val="de-DE"/>
        </w:rPr>
        <w:t xml:space="preserve"> Frauen</w:t>
      </w:r>
      <w:r w:rsidR="00201D1C">
        <w:rPr>
          <w:rFonts w:cstheme="minorHAnsi"/>
          <w:lang w:val="de-DE"/>
        </w:rPr>
        <w:t xml:space="preserve"> erfahren noch heute</w:t>
      </w:r>
      <w:r w:rsidR="001C5495">
        <w:rPr>
          <w:rFonts w:cstheme="minorHAnsi"/>
          <w:lang w:val="de-DE"/>
        </w:rPr>
        <w:t xml:space="preserve"> </w:t>
      </w:r>
      <w:r w:rsidR="00201D1C">
        <w:rPr>
          <w:rFonts w:cstheme="minorHAnsi"/>
          <w:lang w:val="de-DE"/>
        </w:rPr>
        <w:t xml:space="preserve">einen Mangel an sozialer Anerkennung, </w:t>
      </w:r>
      <w:r w:rsidR="00D91653">
        <w:rPr>
          <w:rFonts w:cstheme="minorHAnsi"/>
          <w:lang w:val="de-DE"/>
        </w:rPr>
        <w:t xml:space="preserve">einerseits </w:t>
      </w:r>
      <w:r w:rsidR="003B3651">
        <w:rPr>
          <w:rFonts w:cstheme="minorHAnsi"/>
          <w:lang w:val="de-DE"/>
        </w:rPr>
        <w:t xml:space="preserve">für die entlöhnte Erwerbstätigkeit, </w:t>
      </w:r>
      <w:r w:rsidR="00201D1C">
        <w:rPr>
          <w:rFonts w:cstheme="minorHAnsi"/>
          <w:lang w:val="de-DE"/>
        </w:rPr>
        <w:t>andererseits</w:t>
      </w:r>
      <w:r w:rsidR="003B3651">
        <w:rPr>
          <w:rFonts w:cstheme="minorHAnsi"/>
          <w:lang w:val="de-DE"/>
        </w:rPr>
        <w:t xml:space="preserve"> für die unbezahlte Care- und Betreuungsarbeit.</w:t>
      </w:r>
    </w:p>
    <w:p w14:paraId="46A0EEF8" w14:textId="387E9D76" w:rsidR="002B6CC9" w:rsidRPr="00583750" w:rsidRDefault="00532362" w:rsidP="003B3BA0">
      <w:pPr>
        <w:spacing w:line="360" w:lineRule="auto"/>
        <w:jc w:val="both"/>
        <w:rPr>
          <w:rFonts w:cstheme="minorHAnsi"/>
          <w:lang w:val="de-DE"/>
        </w:rPr>
      </w:pPr>
      <w:r w:rsidRPr="00DA6997">
        <w:rPr>
          <w:rFonts w:cstheme="minorHAnsi"/>
        </w:rPr>
        <w:t xml:space="preserve">Dies zeigt sich auch in Scotts Artikel </w:t>
      </w:r>
      <w:r w:rsidR="00337485" w:rsidRPr="00DA6997">
        <w:rPr>
          <w:rFonts w:cstheme="minorHAnsi"/>
          <w:i/>
          <w:iCs/>
        </w:rPr>
        <w:t xml:space="preserve">The </w:t>
      </w:r>
      <w:proofErr w:type="spellStart"/>
      <w:r w:rsidRPr="00DA6997">
        <w:rPr>
          <w:rFonts w:cstheme="minorHAnsi"/>
          <w:i/>
          <w:iCs/>
        </w:rPr>
        <w:t>Mechanization</w:t>
      </w:r>
      <w:proofErr w:type="spellEnd"/>
      <w:r w:rsidRPr="00DA6997">
        <w:rPr>
          <w:rFonts w:cstheme="minorHAnsi"/>
          <w:i/>
          <w:iCs/>
        </w:rPr>
        <w:t xml:space="preserve"> </w:t>
      </w:r>
      <w:proofErr w:type="spellStart"/>
      <w:r w:rsidRPr="00DA6997">
        <w:rPr>
          <w:rFonts w:cstheme="minorHAnsi"/>
          <w:i/>
          <w:iCs/>
        </w:rPr>
        <w:t>of</w:t>
      </w:r>
      <w:proofErr w:type="spellEnd"/>
      <w:r w:rsidRPr="00DA6997">
        <w:rPr>
          <w:rFonts w:cstheme="minorHAnsi"/>
          <w:i/>
          <w:iCs/>
        </w:rPr>
        <w:t xml:space="preserve"> Women</w:t>
      </w:r>
      <w:r w:rsidR="00461E06" w:rsidRPr="00DA6997">
        <w:rPr>
          <w:rFonts w:cstheme="minorHAnsi"/>
          <w:i/>
          <w:iCs/>
        </w:rPr>
        <w:t>‘</w:t>
      </w:r>
      <w:r w:rsidRPr="00DA6997">
        <w:rPr>
          <w:rFonts w:cstheme="minorHAnsi"/>
          <w:i/>
          <w:iCs/>
        </w:rPr>
        <w:t>s Work (</w:t>
      </w:r>
      <w:r w:rsidR="00461E06" w:rsidRPr="00DA6997">
        <w:rPr>
          <w:rFonts w:cstheme="minorHAnsi"/>
          <w:i/>
          <w:iCs/>
        </w:rPr>
        <w:t>1982</w:t>
      </w:r>
      <w:r w:rsidRPr="00DA6997">
        <w:rPr>
          <w:rFonts w:cstheme="minorHAnsi"/>
          <w:i/>
          <w:iCs/>
        </w:rPr>
        <w:t>)</w:t>
      </w:r>
      <w:r w:rsidR="00DA6997" w:rsidRPr="00DA6997">
        <w:rPr>
          <w:rFonts w:cstheme="minorHAnsi"/>
          <w:i/>
          <w:iCs/>
        </w:rPr>
        <w:t xml:space="preserve"> </w:t>
      </w:r>
      <w:r w:rsidR="00DA6997" w:rsidRPr="00DA6997">
        <w:rPr>
          <w:rFonts w:cstheme="minorHAnsi"/>
        </w:rPr>
        <w:t xml:space="preserve">anhand der Art der Arbeit, die von </w:t>
      </w:r>
      <w:r w:rsidR="00DA6997">
        <w:rPr>
          <w:rFonts w:cstheme="minorHAnsi"/>
        </w:rPr>
        <w:t>F</w:t>
      </w:r>
      <w:r w:rsidR="00DA6997" w:rsidRPr="00DA6997">
        <w:rPr>
          <w:rFonts w:cstheme="minorHAnsi"/>
        </w:rPr>
        <w:t>rauen getätigt wurde</w:t>
      </w:r>
      <w:r w:rsidRPr="00DA6997">
        <w:rPr>
          <w:rFonts w:cstheme="minorHAnsi"/>
        </w:rPr>
        <w:t xml:space="preserve">. </w:t>
      </w:r>
      <w:r w:rsidR="00461E06">
        <w:rPr>
          <w:rFonts w:cstheme="minorHAnsi"/>
          <w:lang w:val="de-DE"/>
        </w:rPr>
        <w:t>Zwar fanden</w:t>
      </w:r>
      <w:r w:rsidR="000B1661">
        <w:rPr>
          <w:rFonts w:cstheme="minorHAnsi"/>
          <w:lang w:val="de-DE"/>
        </w:rPr>
        <w:t xml:space="preserve"> dank der Mechanisierung von Arbeitsabläufen</w:t>
      </w:r>
      <w:r w:rsidR="00461E06">
        <w:rPr>
          <w:rFonts w:cstheme="minorHAnsi"/>
          <w:lang w:val="de-DE"/>
        </w:rPr>
        <w:t xml:space="preserve"> immer mehr Frauen den Zugang zur bezahlte</w:t>
      </w:r>
      <w:r w:rsidR="0024672D">
        <w:rPr>
          <w:rFonts w:cstheme="minorHAnsi"/>
          <w:lang w:val="de-DE"/>
        </w:rPr>
        <w:t>n</w:t>
      </w:r>
      <w:r w:rsidR="00461E06">
        <w:rPr>
          <w:rFonts w:cstheme="minorHAnsi"/>
          <w:lang w:val="de-DE"/>
        </w:rPr>
        <w:t xml:space="preserve"> Arbeit, doch herrschte eine klare Hierarchie vor: Männer übernahmen die </w:t>
      </w:r>
      <w:r w:rsidR="000B1661">
        <w:rPr>
          <w:rFonts w:cstheme="minorHAnsi"/>
          <w:lang w:val="de-DE"/>
        </w:rPr>
        <w:t xml:space="preserve">komplexeren und </w:t>
      </w:r>
      <w:r w:rsidR="00461E06">
        <w:rPr>
          <w:rFonts w:cstheme="minorHAnsi"/>
          <w:lang w:val="de-DE"/>
        </w:rPr>
        <w:t>anspruchsvolle</w:t>
      </w:r>
      <w:r w:rsidR="000B1661">
        <w:rPr>
          <w:rFonts w:cstheme="minorHAnsi"/>
          <w:lang w:val="de-DE"/>
        </w:rPr>
        <w:t>ren</w:t>
      </w:r>
      <w:r w:rsidR="00461E06">
        <w:rPr>
          <w:rFonts w:cstheme="minorHAnsi"/>
          <w:lang w:val="de-DE"/>
        </w:rPr>
        <w:t xml:space="preserve"> Beschäftigungen, während Frauen für die ‚einfache‘</w:t>
      </w:r>
      <w:r w:rsidR="000B1661">
        <w:rPr>
          <w:rFonts w:cstheme="minorHAnsi"/>
          <w:lang w:val="de-DE"/>
        </w:rPr>
        <w:t xml:space="preserve">, routinierte </w:t>
      </w:r>
      <w:r w:rsidR="00461E06">
        <w:rPr>
          <w:rFonts w:cstheme="minorHAnsi"/>
          <w:lang w:val="de-DE"/>
        </w:rPr>
        <w:t>Arbeit angestellt wurden (</w:t>
      </w:r>
      <w:r w:rsidR="00B45CA8">
        <w:rPr>
          <w:rFonts w:cstheme="minorHAnsi"/>
          <w:lang w:val="de-DE"/>
        </w:rPr>
        <w:t xml:space="preserve">vgl. </w:t>
      </w:r>
      <w:r w:rsidR="00DA6997">
        <w:rPr>
          <w:rFonts w:cstheme="minorHAnsi"/>
          <w:lang w:val="de-DE"/>
        </w:rPr>
        <w:t>Scott 1982</w:t>
      </w:r>
      <w:r w:rsidR="00B45CA8">
        <w:rPr>
          <w:rFonts w:cstheme="minorHAnsi"/>
          <w:lang w:val="de-DE"/>
        </w:rPr>
        <w:t xml:space="preserve">, </w:t>
      </w:r>
      <w:r w:rsidR="00461E06">
        <w:rPr>
          <w:rFonts w:cstheme="minorHAnsi"/>
          <w:lang w:val="de-DE"/>
        </w:rPr>
        <w:t>S. 17</w:t>
      </w:r>
      <w:r w:rsidR="000B1661">
        <w:rPr>
          <w:rFonts w:cstheme="minorHAnsi"/>
          <w:lang w:val="de-DE"/>
        </w:rPr>
        <w:t>1f</w:t>
      </w:r>
      <w:r w:rsidR="00461E06">
        <w:rPr>
          <w:rFonts w:cstheme="minorHAnsi"/>
          <w:lang w:val="de-DE"/>
        </w:rPr>
        <w:t xml:space="preserve">). </w:t>
      </w:r>
      <w:r w:rsidR="000B1661">
        <w:rPr>
          <w:rFonts w:cstheme="minorHAnsi"/>
          <w:lang w:val="de-DE"/>
        </w:rPr>
        <w:t xml:space="preserve">Dies wurde mit dem essentialistischen Argument begründet, dass die </w:t>
      </w:r>
      <w:r w:rsidR="00217EE7">
        <w:rPr>
          <w:rFonts w:cstheme="minorHAnsi"/>
          <w:lang w:val="de-DE"/>
        </w:rPr>
        <w:t>‚</w:t>
      </w:r>
      <w:r w:rsidR="000B1661" w:rsidRPr="000B1661">
        <w:rPr>
          <w:rFonts w:cstheme="minorHAnsi"/>
          <w:lang w:val="de-DE"/>
        </w:rPr>
        <w:t>weibliche</w:t>
      </w:r>
      <w:r w:rsidR="00217EE7">
        <w:rPr>
          <w:rFonts w:cstheme="minorHAnsi"/>
          <w:lang w:val="de-DE"/>
        </w:rPr>
        <w:t>‘</w:t>
      </w:r>
      <w:r w:rsidR="000B1661" w:rsidRPr="000B1661">
        <w:rPr>
          <w:rFonts w:cstheme="minorHAnsi"/>
          <w:lang w:val="de-DE"/>
        </w:rPr>
        <w:t xml:space="preserve"> Art (passiv, geduldig und vorsichtig)</w:t>
      </w:r>
      <w:r w:rsidR="000B1661">
        <w:rPr>
          <w:rFonts w:cstheme="minorHAnsi"/>
          <w:lang w:val="de-DE"/>
        </w:rPr>
        <w:t xml:space="preserve"> passend sei für repetitive Arbeit (</w:t>
      </w:r>
      <w:r w:rsidR="00B45CA8">
        <w:rPr>
          <w:rFonts w:cstheme="minorHAnsi"/>
          <w:lang w:val="de-DE"/>
        </w:rPr>
        <w:t xml:space="preserve">vgl. ebd., </w:t>
      </w:r>
      <w:r w:rsidR="000B1661">
        <w:rPr>
          <w:rFonts w:cstheme="minorHAnsi"/>
          <w:lang w:val="de-DE"/>
        </w:rPr>
        <w:t>S. 171).</w:t>
      </w:r>
      <w:r w:rsidR="000C7ACC">
        <w:rPr>
          <w:rFonts w:cstheme="minorHAnsi"/>
          <w:lang w:val="de-DE"/>
        </w:rPr>
        <w:t xml:space="preserve"> </w:t>
      </w:r>
      <w:r w:rsidR="00B45CA8">
        <w:rPr>
          <w:rFonts w:cstheme="minorHAnsi"/>
          <w:lang w:val="de-DE"/>
        </w:rPr>
        <w:t>Es ist somit nicht erstaunlich, dass</w:t>
      </w:r>
      <w:r w:rsidR="00B45CA8" w:rsidRPr="003F2729">
        <w:rPr>
          <w:rFonts w:cstheme="minorHAnsi"/>
          <w:lang w:val="de-DE"/>
        </w:rPr>
        <w:t xml:space="preserve"> die Arbeit </w:t>
      </w:r>
      <w:r w:rsidR="00B45CA8">
        <w:rPr>
          <w:rFonts w:cstheme="minorHAnsi"/>
          <w:lang w:val="de-DE"/>
        </w:rPr>
        <w:t xml:space="preserve">wie Scott dies schreibt, vielfach </w:t>
      </w:r>
      <w:r w:rsidR="00234883">
        <w:rPr>
          <w:rFonts w:cstheme="minorHAnsi"/>
          <w:lang w:val="de-DE"/>
        </w:rPr>
        <w:t xml:space="preserve">als </w:t>
      </w:r>
      <w:r w:rsidR="00B45CA8" w:rsidRPr="003F2729">
        <w:rPr>
          <w:rFonts w:cstheme="minorHAnsi"/>
          <w:lang w:val="de-DE"/>
        </w:rPr>
        <w:t xml:space="preserve">typisch </w:t>
      </w:r>
      <w:r w:rsidR="00217EE7">
        <w:rPr>
          <w:rFonts w:cstheme="minorHAnsi"/>
          <w:lang w:val="de-DE"/>
        </w:rPr>
        <w:t>‚</w:t>
      </w:r>
      <w:r w:rsidR="00B45CA8" w:rsidRPr="003F2729">
        <w:rPr>
          <w:rFonts w:cstheme="minorHAnsi"/>
          <w:lang w:val="de-DE"/>
        </w:rPr>
        <w:t>weibliche</w:t>
      </w:r>
      <w:r w:rsidR="00217EE7">
        <w:rPr>
          <w:rFonts w:cstheme="minorHAnsi"/>
          <w:lang w:val="de-DE"/>
        </w:rPr>
        <w:t>‘</w:t>
      </w:r>
      <w:r w:rsidR="00B45CA8" w:rsidRPr="003F2729">
        <w:rPr>
          <w:rFonts w:cstheme="minorHAnsi"/>
          <w:lang w:val="de-DE"/>
        </w:rPr>
        <w:t xml:space="preserve"> Arbeit </w:t>
      </w:r>
      <w:r w:rsidR="00234883">
        <w:rPr>
          <w:rFonts w:cstheme="minorHAnsi"/>
          <w:lang w:val="de-DE"/>
        </w:rPr>
        <w:t>betrachtet wurde</w:t>
      </w:r>
      <w:r w:rsidR="00B45CA8">
        <w:rPr>
          <w:rFonts w:cstheme="minorHAnsi"/>
          <w:lang w:val="de-DE"/>
        </w:rPr>
        <w:t xml:space="preserve"> </w:t>
      </w:r>
      <w:r w:rsidR="00B45CA8" w:rsidRPr="003F2729">
        <w:rPr>
          <w:rFonts w:cstheme="minorHAnsi"/>
          <w:lang w:val="de-DE"/>
        </w:rPr>
        <w:t xml:space="preserve">(vgl. </w:t>
      </w:r>
      <w:r w:rsidR="0025170E">
        <w:rPr>
          <w:rFonts w:cstheme="minorHAnsi"/>
          <w:lang w:val="de-DE"/>
        </w:rPr>
        <w:t>ebd.</w:t>
      </w:r>
      <w:r w:rsidR="00B45CA8" w:rsidRPr="003F2729">
        <w:rPr>
          <w:rFonts w:cstheme="minorHAnsi"/>
          <w:lang w:val="de-DE"/>
        </w:rPr>
        <w:t>, S</w:t>
      </w:r>
      <w:r w:rsidR="0025170E">
        <w:rPr>
          <w:rFonts w:cstheme="minorHAnsi"/>
          <w:lang w:val="de-DE"/>
        </w:rPr>
        <w:t>. 167</w:t>
      </w:r>
      <w:r w:rsidR="00B45CA8" w:rsidRPr="003F2729">
        <w:rPr>
          <w:rFonts w:cstheme="minorHAnsi"/>
          <w:lang w:val="de-DE"/>
        </w:rPr>
        <w:t>)</w:t>
      </w:r>
      <w:r w:rsidR="00B45CA8">
        <w:rPr>
          <w:rFonts w:cstheme="minorHAnsi"/>
          <w:lang w:val="de-DE"/>
        </w:rPr>
        <w:t>.</w:t>
      </w:r>
      <w:r w:rsidR="0025170E">
        <w:rPr>
          <w:rFonts w:cstheme="minorHAnsi"/>
          <w:lang w:val="de-DE"/>
        </w:rPr>
        <w:t xml:space="preserve"> In </w:t>
      </w:r>
      <w:r w:rsidR="0025170E" w:rsidRPr="00D91653">
        <w:rPr>
          <w:rFonts w:cstheme="minorHAnsi"/>
          <w:i/>
          <w:iCs/>
          <w:lang w:val="de-DE"/>
        </w:rPr>
        <w:t xml:space="preserve">Women’s Work in </w:t>
      </w:r>
      <w:proofErr w:type="spellStart"/>
      <w:r w:rsidR="0025170E" w:rsidRPr="00D91653">
        <w:rPr>
          <w:rFonts w:cstheme="minorHAnsi"/>
          <w:i/>
          <w:iCs/>
          <w:lang w:val="de-DE"/>
        </w:rPr>
        <w:t>the</w:t>
      </w:r>
      <w:proofErr w:type="spellEnd"/>
      <w:r w:rsidR="0025170E" w:rsidRPr="00D91653">
        <w:rPr>
          <w:rFonts w:cstheme="minorHAnsi"/>
          <w:i/>
          <w:iCs/>
          <w:lang w:val="de-DE"/>
        </w:rPr>
        <w:t xml:space="preserve"> </w:t>
      </w:r>
      <w:proofErr w:type="spellStart"/>
      <w:r w:rsidR="0025170E" w:rsidRPr="00D91653">
        <w:rPr>
          <w:rFonts w:cstheme="minorHAnsi"/>
          <w:i/>
          <w:iCs/>
          <w:lang w:val="de-DE"/>
        </w:rPr>
        <w:t>Nineteenth</w:t>
      </w:r>
      <w:proofErr w:type="spellEnd"/>
      <w:r w:rsidR="0025170E" w:rsidRPr="00D91653">
        <w:rPr>
          <w:rFonts w:cstheme="minorHAnsi"/>
          <w:i/>
          <w:iCs/>
          <w:lang w:val="de-DE"/>
        </w:rPr>
        <w:t>-Century Europe (1975)</w:t>
      </w:r>
      <w:r w:rsidR="0025170E">
        <w:rPr>
          <w:rFonts w:cstheme="minorHAnsi"/>
          <w:lang w:val="de-DE"/>
        </w:rPr>
        <w:t xml:space="preserve"> schreiben Scott und Tilly </w:t>
      </w:r>
      <w:proofErr w:type="spellStart"/>
      <w:r w:rsidR="0025170E">
        <w:rPr>
          <w:rFonts w:cstheme="minorHAnsi"/>
          <w:lang w:val="de-DE"/>
        </w:rPr>
        <w:t>ausserdem</w:t>
      </w:r>
      <w:proofErr w:type="spellEnd"/>
      <w:r w:rsidR="0025170E">
        <w:rPr>
          <w:rFonts w:cstheme="minorHAnsi"/>
          <w:lang w:val="de-DE"/>
        </w:rPr>
        <w:t xml:space="preserve">, dass die Familie als Modell für </w:t>
      </w:r>
      <w:r w:rsidR="00D91653">
        <w:rPr>
          <w:rFonts w:cstheme="minorHAnsi"/>
          <w:lang w:val="de-DE"/>
        </w:rPr>
        <w:t>die hierarchischen Strukturen am Arbeitsplatz dienten (</w:t>
      </w:r>
      <w:r w:rsidR="005E2578">
        <w:rPr>
          <w:rFonts w:cstheme="minorHAnsi"/>
          <w:lang w:val="de-DE"/>
        </w:rPr>
        <w:t xml:space="preserve">Scott &amp; Tilly 1975, </w:t>
      </w:r>
      <w:r w:rsidR="00D91653">
        <w:rPr>
          <w:rFonts w:cstheme="minorHAnsi"/>
          <w:lang w:val="de-DE"/>
        </w:rPr>
        <w:t>S. 53).</w:t>
      </w:r>
      <w:r w:rsidR="00234883">
        <w:rPr>
          <w:rFonts w:cstheme="minorHAnsi"/>
          <w:lang w:val="de-DE"/>
        </w:rPr>
        <w:t xml:space="preserve"> </w:t>
      </w:r>
      <w:r w:rsidR="00B45CA8">
        <w:rPr>
          <w:rFonts w:cstheme="minorHAnsi"/>
          <w:lang w:val="de-DE"/>
        </w:rPr>
        <w:t>Dies erinnerte mich stark an Pierre Bourdieus Begriff der ‚</w:t>
      </w:r>
      <w:r w:rsidR="00B45CA8" w:rsidRPr="003F2729">
        <w:rPr>
          <w:rFonts w:cstheme="minorHAnsi"/>
          <w:lang w:val="de-DE"/>
        </w:rPr>
        <w:t>Quasifamilien</w:t>
      </w:r>
      <w:r w:rsidR="00B45CA8">
        <w:rPr>
          <w:rFonts w:cstheme="minorHAnsi"/>
          <w:lang w:val="de-DE"/>
        </w:rPr>
        <w:t>‘</w:t>
      </w:r>
      <w:r w:rsidR="00B45CA8" w:rsidRPr="003F2729">
        <w:rPr>
          <w:rFonts w:cstheme="minorHAnsi"/>
          <w:lang w:val="de-DE"/>
        </w:rPr>
        <w:t xml:space="preserve"> (</w:t>
      </w:r>
      <w:r w:rsidR="00B45CA8">
        <w:rPr>
          <w:rFonts w:cstheme="minorHAnsi"/>
          <w:lang w:val="de-DE"/>
        </w:rPr>
        <w:t xml:space="preserve">vgl. </w:t>
      </w:r>
      <w:r w:rsidR="00B45CA8" w:rsidRPr="003F2729">
        <w:rPr>
          <w:rFonts w:cstheme="minorHAnsi"/>
          <w:lang w:val="de-DE"/>
        </w:rPr>
        <w:t>Bourdieu</w:t>
      </w:r>
      <w:r w:rsidR="00B45CA8">
        <w:rPr>
          <w:rFonts w:cstheme="minorHAnsi"/>
          <w:lang w:val="de-DE"/>
        </w:rPr>
        <w:t xml:space="preserve"> 2020, S. 103</w:t>
      </w:r>
      <w:r w:rsidR="00B45CA8" w:rsidRPr="003F2729">
        <w:rPr>
          <w:rFonts w:cstheme="minorHAnsi"/>
          <w:lang w:val="de-DE"/>
        </w:rPr>
        <w:t>)</w:t>
      </w:r>
      <w:r w:rsidR="00B45CA8">
        <w:rPr>
          <w:rFonts w:cstheme="minorHAnsi"/>
          <w:lang w:val="de-DE"/>
        </w:rPr>
        <w:t>. Die</w:t>
      </w:r>
      <w:r w:rsidR="00B45CA8" w:rsidRPr="003F2729">
        <w:rPr>
          <w:rFonts w:cstheme="minorHAnsi"/>
          <w:lang w:val="de-DE"/>
        </w:rPr>
        <w:t xml:space="preserve"> patriarchale Familienstrukturen werden </w:t>
      </w:r>
      <w:r w:rsidR="00B45CA8">
        <w:rPr>
          <w:rFonts w:cstheme="minorHAnsi"/>
          <w:lang w:val="de-DE"/>
        </w:rPr>
        <w:t>am</w:t>
      </w:r>
      <w:r w:rsidR="00B45CA8" w:rsidRPr="003F2729">
        <w:rPr>
          <w:rFonts w:cstheme="minorHAnsi"/>
          <w:lang w:val="de-DE"/>
        </w:rPr>
        <w:t xml:space="preserve"> Arbeitsplatz </w:t>
      </w:r>
      <w:r w:rsidR="00B45CA8">
        <w:rPr>
          <w:rFonts w:cstheme="minorHAnsi"/>
          <w:lang w:val="de-DE"/>
        </w:rPr>
        <w:t>reproduziert</w:t>
      </w:r>
      <w:r w:rsidR="003B3651">
        <w:rPr>
          <w:rFonts w:cstheme="minorHAnsi"/>
          <w:lang w:val="de-DE"/>
        </w:rPr>
        <w:t xml:space="preserve"> (vgl. ebd.)</w:t>
      </w:r>
      <w:r w:rsidR="00B45CA8" w:rsidRPr="003F2729">
        <w:rPr>
          <w:rFonts w:cstheme="minorHAnsi"/>
          <w:lang w:val="de-DE"/>
        </w:rPr>
        <w:t xml:space="preserve"> </w:t>
      </w:r>
      <w:r w:rsidR="00B45CA8">
        <w:rPr>
          <w:rFonts w:cstheme="minorHAnsi"/>
          <w:lang w:val="de-DE"/>
        </w:rPr>
        <w:t>und in Scott</w:t>
      </w:r>
      <w:r w:rsidR="0025170E">
        <w:rPr>
          <w:rFonts w:cstheme="minorHAnsi"/>
          <w:lang w:val="de-DE"/>
        </w:rPr>
        <w:t xml:space="preserve"> und Tillys</w:t>
      </w:r>
      <w:r w:rsidR="00B45CA8">
        <w:rPr>
          <w:rFonts w:cstheme="minorHAnsi"/>
          <w:lang w:val="de-DE"/>
        </w:rPr>
        <w:t xml:space="preserve"> Worten bieten sie „</w:t>
      </w:r>
      <w:r w:rsidR="00217EE7">
        <w:rPr>
          <w:rFonts w:cstheme="minorHAnsi"/>
          <w:lang w:val="de-DE"/>
        </w:rPr>
        <w:t>‘</w:t>
      </w:r>
      <w:r w:rsidR="00B45CA8" w:rsidRPr="00792E65">
        <w:rPr>
          <w:rFonts w:cstheme="minorHAnsi"/>
          <w:lang w:val="de-DE"/>
        </w:rPr>
        <w:t>familiäre</w:t>
      </w:r>
      <w:r w:rsidR="00B45CA8">
        <w:rPr>
          <w:rFonts w:cstheme="minorHAnsi"/>
          <w:lang w:val="de-DE"/>
        </w:rPr>
        <w:t>‘</w:t>
      </w:r>
      <w:r w:rsidR="00B45CA8" w:rsidRPr="00792E65">
        <w:rPr>
          <w:rFonts w:cstheme="minorHAnsi"/>
          <w:lang w:val="de-DE"/>
        </w:rPr>
        <w:t xml:space="preserve"> Bedingungen für ihre Mädchen</w:t>
      </w:r>
      <w:r w:rsidR="00B45CA8">
        <w:rPr>
          <w:rFonts w:cstheme="minorHAnsi"/>
          <w:lang w:val="de-DE"/>
        </w:rPr>
        <w:t>“</w:t>
      </w:r>
      <w:r w:rsidR="00B45CA8" w:rsidRPr="00792E65">
        <w:rPr>
          <w:rFonts w:cstheme="minorHAnsi"/>
          <w:lang w:val="de-DE"/>
        </w:rPr>
        <w:t xml:space="preserve"> </w:t>
      </w:r>
      <w:r w:rsidR="00B45CA8" w:rsidRPr="003F2729">
        <w:rPr>
          <w:rFonts w:cstheme="minorHAnsi"/>
          <w:lang w:val="de-DE"/>
        </w:rPr>
        <w:t>(Scott</w:t>
      </w:r>
      <w:r w:rsidR="005E2578">
        <w:rPr>
          <w:rFonts w:cstheme="minorHAnsi"/>
          <w:lang w:val="de-DE"/>
        </w:rPr>
        <w:t xml:space="preserve"> &amp; Tilly</w:t>
      </w:r>
      <w:r w:rsidR="00B45CA8" w:rsidRPr="003F2729">
        <w:rPr>
          <w:rFonts w:cstheme="minorHAnsi"/>
          <w:lang w:val="de-DE"/>
        </w:rPr>
        <w:t xml:space="preserve"> 1975, S. 53</w:t>
      </w:r>
      <w:r w:rsidR="00B45CA8">
        <w:rPr>
          <w:rFonts w:cstheme="minorHAnsi"/>
          <w:lang w:val="de-DE"/>
        </w:rPr>
        <w:t>, Übersetzung von O.F.C.</w:t>
      </w:r>
      <w:r w:rsidR="00B45CA8" w:rsidRPr="003F2729">
        <w:rPr>
          <w:rFonts w:cstheme="minorHAnsi"/>
          <w:lang w:val="de-DE"/>
        </w:rPr>
        <w:t>)</w:t>
      </w:r>
      <w:r w:rsidR="00B45CA8">
        <w:rPr>
          <w:rFonts w:cstheme="minorHAnsi"/>
          <w:lang w:val="de-DE"/>
        </w:rPr>
        <w:t>. Frauen konnten somit nie den familiären Strukturen entfliehen.</w:t>
      </w:r>
      <w:r w:rsidR="002B6CC9" w:rsidRPr="002B6CC9">
        <w:rPr>
          <w:rFonts w:cstheme="minorHAnsi"/>
          <w:lang w:val="de-DE"/>
        </w:rPr>
        <w:t xml:space="preserve"> </w:t>
      </w:r>
      <w:r w:rsidR="00217EE7">
        <w:rPr>
          <w:rFonts w:cstheme="minorHAnsi"/>
          <w:lang w:val="de-DE"/>
        </w:rPr>
        <w:t>In</w:t>
      </w:r>
      <w:r w:rsidR="002B6CC9">
        <w:rPr>
          <w:rFonts w:cstheme="minorHAnsi"/>
          <w:lang w:val="de-DE"/>
        </w:rPr>
        <w:t xml:space="preserve"> </w:t>
      </w:r>
      <w:r w:rsidR="002B6CC9" w:rsidRPr="00AB1A71">
        <w:rPr>
          <w:rFonts w:cstheme="minorHAnsi"/>
          <w:i/>
          <w:iCs/>
          <w:lang w:val="de-DE"/>
        </w:rPr>
        <w:t xml:space="preserve">Gender: A </w:t>
      </w:r>
      <w:proofErr w:type="spellStart"/>
      <w:r w:rsidR="002B6CC9" w:rsidRPr="00AB1A71">
        <w:rPr>
          <w:rFonts w:cstheme="minorHAnsi"/>
          <w:i/>
          <w:iCs/>
          <w:lang w:val="de-DE"/>
        </w:rPr>
        <w:t>Useful</w:t>
      </w:r>
      <w:proofErr w:type="spellEnd"/>
      <w:r w:rsidR="002B6CC9" w:rsidRPr="00AB1A71">
        <w:rPr>
          <w:rFonts w:cstheme="minorHAnsi"/>
          <w:i/>
          <w:iCs/>
          <w:lang w:val="de-DE"/>
        </w:rPr>
        <w:t xml:space="preserve"> </w:t>
      </w:r>
      <w:proofErr w:type="spellStart"/>
      <w:r w:rsidR="002B6CC9" w:rsidRPr="00AB1A71">
        <w:rPr>
          <w:rFonts w:cstheme="minorHAnsi"/>
          <w:i/>
          <w:iCs/>
          <w:lang w:val="de-DE"/>
        </w:rPr>
        <w:t>Category</w:t>
      </w:r>
      <w:proofErr w:type="spellEnd"/>
      <w:r w:rsidR="002B6CC9" w:rsidRPr="00AB1A71">
        <w:rPr>
          <w:rFonts w:cstheme="minorHAnsi"/>
          <w:i/>
          <w:iCs/>
          <w:lang w:val="de-DE"/>
        </w:rPr>
        <w:t xml:space="preserve"> </w:t>
      </w:r>
      <w:proofErr w:type="spellStart"/>
      <w:r w:rsidR="002B6CC9" w:rsidRPr="00AB1A71">
        <w:rPr>
          <w:rFonts w:cstheme="minorHAnsi"/>
          <w:i/>
          <w:iCs/>
          <w:lang w:val="de-DE"/>
        </w:rPr>
        <w:t>of</w:t>
      </w:r>
      <w:proofErr w:type="spellEnd"/>
      <w:r w:rsidR="002B6CC9" w:rsidRPr="00AB1A71">
        <w:rPr>
          <w:rFonts w:cstheme="minorHAnsi"/>
          <w:i/>
          <w:iCs/>
          <w:lang w:val="de-DE"/>
        </w:rPr>
        <w:t xml:space="preserve"> Historical Analysis</w:t>
      </w:r>
      <w:r w:rsidR="002B6CC9" w:rsidRPr="003F2729">
        <w:rPr>
          <w:rFonts w:cstheme="minorHAnsi"/>
          <w:lang w:val="de-DE"/>
        </w:rPr>
        <w:t xml:space="preserve"> </w:t>
      </w:r>
      <w:r w:rsidR="002B6CC9" w:rsidRPr="002B6CC9">
        <w:rPr>
          <w:rFonts w:cstheme="minorHAnsi"/>
          <w:i/>
          <w:iCs/>
          <w:lang w:val="de-DE"/>
        </w:rPr>
        <w:t>(1986)</w:t>
      </w:r>
      <w:r w:rsidR="002B6CC9" w:rsidRPr="003F2729">
        <w:rPr>
          <w:rFonts w:cstheme="minorHAnsi"/>
          <w:lang w:val="de-DE"/>
        </w:rPr>
        <w:t xml:space="preserve">, </w:t>
      </w:r>
      <w:r w:rsidR="003C7921">
        <w:rPr>
          <w:rFonts w:cstheme="minorHAnsi"/>
          <w:lang w:val="de-DE"/>
        </w:rPr>
        <w:t>lernen wir</w:t>
      </w:r>
      <w:r w:rsidR="00217EE7">
        <w:rPr>
          <w:rFonts w:cstheme="minorHAnsi"/>
          <w:lang w:val="de-DE"/>
        </w:rPr>
        <w:t xml:space="preserve"> </w:t>
      </w:r>
      <w:proofErr w:type="spellStart"/>
      <w:r w:rsidR="00217EE7">
        <w:rPr>
          <w:rFonts w:cstheme="minorHAnsi"/>
          <w:lang w:val="de-DE"/>
        </w:rPr>
        <w:t>ausserdem</w:t>
      </w:r>
      <w:proofErr w:type="spellEnd"/>
      <w:r w:rsidR="00217EE7">
        <w:rPr>
          <w:rFonts w:cstheme="minorHAnsi"/>
          <w:lang w:val="de-DE"/>
        </w:rPr>
        <w:t xml:space="preserve">, </w:t>
      </w:r>
      <w:r w:rsidR="002B6CC9" w:rsidRPr="003F2729">
        <w:rPr>
          <w:rFonts w:cstheme="minorHAnsi"/>
          <w:lang w:val="de-DE"/>
        </w:rPr>
        <w:t xml:space="preserve">dass die Analyse von sozialen Ordnungen nicht nur auf die Betrachtung von </w:t>
      </w:r>
      <w:r w:rsidR="002B6CC9">
        <w:rPr>
          <w:rFonts w:cstheme="minorHAnsi"/>
          <w:lang w:val="de-DE"/>
        </w:rPr>
        <w:t>‚</w:t>
      </w:r>
      <w:proofErr w:type="spellStart"/>
      <w:r w:rsidR="002B6CC9" w:rsidRPr="003F2729">
        <w:rPr>
          <w:rFonts w:cstheme="minorHAnsi"/>
          <w:lang w:val="de-DE"/>
        </w:rPr>
        <w:t>kinship</w:t>
      </w:r>
      <w:proofErr w:type="spellEnd"/>
      <w:r w:rsidR="002B6CC9">
        <w:rPr>
          <w:rFonts w:cstheme="minorHAnsi"/>
          <w:lang w:val="de-DE"/>
        </w:rPr>
        <w:t>‘</w:t>
      </w:r>
      <w:r w:rsidR="002B6CC9" w:rsidRPr="003F2729">
        <w:rPr>
          <w:rFonts w:cstheme="minorHAnsi"/>
          <w:lang w:val="de-DE"/>
        </w:rPr>
        <w:t xml:space="preserve"> reduziert werden soll, sondern auch der </w:t>
      </w:r>
      <w:r w:rsidR="002B6CC9">
        <w:rPr>
          <w:rFonts w:cstheme="minorHAnsi"/>
          <w:lang w:val="de-DE"/>
        </w:rPr>
        <w:t>‚</w:t>
      </w:r>
      <w:proofErr w:type="spellStart"/>
      <w:r w:rsidR="002B6CC9" w:rsidRPr="003F2729">
        <w:rPr>
          <w:rFonts w:cstheme="minorHAnsi"/>
          <w:lang w:val="de-DE"/>
        </w:rPr>
        <w:t>labor</w:t>
      </w:r>
      <w:proofErr w:type="spellEnd"/>
      <w:r w:rsidR="002B6CC9" w:rsidRPr="003F2729">
        <w:rPr>
          <w:rFonts w:cstheme="minorHAnsi"/>
          <w:lang w:val="de-DE"/>
        </w:rPr>
        <w:t xml:space="preserve"> </w:t>
      </w:r>
      <w:proofErr w:type="spellStart"/>
      <w:r w:rsidR="002B6CC9" w:rsidRPr="003F2729">
        <w:rPr>
          <w:rFonts w:cstheme="minorHAnsi"/>
          <w:lang w:val="de-DE"/>
        </w:rPr>
        <w:t>market</w:t>
      </w:r>
      <w:proofErr w:type="spellEnd"/>
      <w:r w:rsidR="002B6CC9">
        <w:rPr>
          <w:rFonts w:cstheme="minorHAnsi"/>
          <w:lang w:val="de-DE"/>
        </w:rPr>
        <w:t>‘</w:t>
      </w:r>
      <w:r w:rsidR="002B6CC9" w:rsidRPr="003F2729">
        <w:rPr>
          <w:rFonts w:cstheme="minorHAnsi"/>
          <w:lang w:val="de-DE"/>
        </w:rPr>
        <w:t xml:space="preserve"> </w:t>
      </w:r>
      <w:r w:rsidR="002B6CC9">
        <w:rPr>
          <w:rFonts w:cstheme="minorHAnsi"/>
          <w:lang w:val="de-DE"/>
        </w:rPr>
        <w:t xml:space="preserve">betrachtet </w:t>
      </w:r>
      <w:r w:rsidR="002B6CC9" w:rsidRPr="003F2729">
        <w:rPr>
          <w:rFonts w:cstheme="minorHAnsi"/>
          <w:lang w:val="de-DE"/>
        </w:rPr>
        <w:t>werden muss</w:t>
      </w:r>
      <w:r w:rsidR="002B6CC9">
        <w:rPr>
          <w:rFonts w:cstheme="minorHAnsi"/>
          <w:lang w:val="de-DE"/>
        </w:rPr>
        <w:t>, um ein vollumfängliches Verständnis für die Geschlechterhierarchien zu erhalten</w:t>
      </w:r>
      <w:r w:rsidR="002B6CC9" w:rsidRPr="003F2729">
        <w:rPr>
          <w:rFonts w:cstheme="minorHAnsi"/>
          <w:lang w:val="de-DE"/>
        </w:rPr>
        <w:t xml:space="preserve"> (</w:t>
      </w:r>
      <w:r w:rsidR="002B6CC9">
        <w:rPr>
          <w:rFonts w:cstheme="minorHAnsi"/>
          <w:lang w:val="de-DE"/>
        </w:rPr>
        <w:t xml:space="preserve">vgl. Scott 1986, </w:t>
      </w:r>
      <w:r w:rsidR="002B6CC9" w:rsidRPr="003F2729">
        <w:rPr>
          <w:rFonts w:cstheme="minorHAnsi"/>
          <w:lang w:val="de-DE"/>
        </w:rPr>
        <w:t xml:space="preserve">S. 1068). </w:t>
      </w:r>
      <w:r w:rsidR="003C7921">
        <w:rPr>
          <w:rFonts w:cstheme="minorHAnsi"/>
          <w:lang w:val="de-DE"/>
        </w:rPr>
        <w:t>Scott</w:t>
      </w:r>
      <w:r w:rsidR="002B6CC9">
        <w:rPr>
          <w:rFonts w:cstheme="minorHAnsi"/>
          <w:lang w:val="de-DE"/>
        </w:rPr>
        <w:t xml:space="preserve"> setzt somit hier den Grundstein, um zu zeigen, dass Frauen nicht nur auf </w:t>
      </w:r>
      <w:r w:rsidR="003B3651">
        <w:rPr>
          <w:rFonts w:cstheme="minorHAnsi"/>
          <w:lang w:val="de-DE"/>
        </w:rPr>
        <w:t>ihre Tätigkeit i</w:t>
      </w:r>
      <w:r w:rsidR="003D18F5">
        <w:rPr>
          <w:rFonts w:cstheme="minorHAnsi"/>
          <w:lang w:val="de-DE"/>
        </w:rPr>
        <w:t>n der</w:t>
      </w:r>
      <w:r w:rsidR="003B3651">
        <w:rPr>
          <w:rFonts w:cstheme="minorHAnsi"/>
          <w:lang w:val="de-DE"/>
        </w:rPr>
        <w:t xml:space="preserve"> </w:t>
      </w:r>
      <w:r w:rsidR="002B6CC9">
        <w:rPr>
          <w:rFonts w:cstheme="minorHAnsi"/>
          <w:lang w:val="de-DE"/>
        </w:rPr>
        <w:t xml:space="preserve">Hausarbeit zu reduzieren seien, sondern auch ihre Rolle in der </w:t>
      </w:r>
      <w:r w:rsidR="002B6CC9" w:rsidRPr="005844DF">
        <w:rPr>
          <w:rFonts w:cstheme="minorHAnsi"/>
          <w:lang w:val="de-DE"/>
        </w:rPr>
        <w:t>Lohnarbeit etwas über ihre gesellschaftliche Stellung aussagt.</w:t>
      </w:r>
      <w:r w:rsidR="005844DF" w:rsidRPr="005844DF">
        <w:rPr>
          <w:rFonts w:cstheme="minorHAnsi"/>
          <w:lang w:val="de-DE"/>
        </w:rPr>
        <w:t xml:space="preserve"> Dass diese Hierarchie (insbesondere in autoritären Regimes) auch explizit in Gesetzen festgelegt wurde, zeigt Scott hier ebenfalls (vgl. ebd., S. 1072).</w:t>
      </w:r>
      <w:r w:rsidR="002B6CC9" w:rsidRPr="005844DF">
        <w:rPr>
          <w:rFonts w:cstheme="minorHAnsi"/>
          <w:lang w:val="de-DE"/>
        </w:rPr>
        <w:t xml:space="preserve"> </w:t>
      </w:r>
      <w:r w:rsidR="003B3651" w:rsidRPr="005844DF">
        <w:t xml:space="preserve">So seien </w:t>
      </w:r>
      <w:r w:rsidR="005844DF" w:rsidRPr="005844DF">
        <w:rPr>
          <w:rFonts w:cstheme="minorHAnsi"/>
        </w:rPr>
        <w:t>D</w:t>
      </w:r>
      <w:r w:rsidR="002B6CC9" w:rsidRPr="005844DF">
        <w:rPr>
          <w:rFonts w:cstheme="minorHAnsi"/>
        </w:rPr>
        <w:t xml:space="preserve">omination, </w:t>
      </w:r>
      <w:r w:rsidR="005844DF" w:rsidRPr="005844DF">
        <w:rPr>
          <w:rFonts w:cstheme="minorHAnsi"/>
        </w:rPr>
        <w:t>Stärke</w:t>
      </w:r>
      <w:r w:rsidR="002B6CC9" w:rsidRPr="005844DF">
        <w:rPr>
          <w:rFonts w:cstheme="minorHAnsi"/>
        </w:rPr>
        <w:t xml:space="preserve">, </w:t>
      </w:r>
      <w:r w:rsidR="005844DF" w:rsidRPr="005844DF">
        <w:rPr>
          <w:rFonts w:cstheme="minorHAnsi"/>
        </w:rPr>
        <w:t>Autorität</w:t>
      </w:r>
      <w:r w:rsidR="002B6CC9" w:rsidRPr="005844DF">
        <w:rPr>
          <w:rFonts w:cstheme="minorHAnsi"/>
        </w:rPr>
        <w:t xml:space="preserve"> and </w:t>
      </w:r>
      <w:r w:rsidR="005844DF" w:rsidRPr="005844DF">
        <w:rPr>
          <w:rFonts w:cstheme="minorHAnsi"/>
        </w:rPr>
        <w:t>Macht</w:t>
      </w:r>
      <w:r w:rsidR="002B6CC9" w:rsidRPr="005844DF">
        <w:rPr>
          <w:rFonts w:cstheme="minorHAnsi"/>
        </w:rPr>
        <w:t xml:space="preserve"> </w:t>
      </w:r>
      <w:r w:rsidR="005844DF" w:rsidRPr="005844DF">
        <w:rPr>
          <w:rFonts w:cstheme="minorHAnsi"/>
        </w:rPr>
        <w:t>männlich assoziiert worden</w:t>
      </w:r>
      <w:r w:rsidR="002B6CC9" w:rsidRPr="005844DF">
        <w:rPr>
          <w:rFonts w:cstheme="minorHAnsi"/>
        </w:rPr>
        <w:t xml:space="preserve"> </w:t>
      </w:r>
      <w:r w:rsidR="005844DF" w:rsidRPr="005844DF">
        <w:rPr>
          <w:rFonts w:cstheme="minorHAnsi"/>
        </w:rPr>
        <w:t>und durch Verbote wurden Frauen davor abgehalten</w:t>
      </w:r>
      <w:r w:rsidR="005844DF">
        <w:rPr>
          <w:rFonts w:cstheme="minorHAnsi"/>
        </w:rPr>
        <w:t>,</w:t>
      </w:r>
      <w:r w:rsidR="005844DF" w:rsidRPr="005844DF">
        <w:rPr>
          <w:rFonts w:cstheme="minorHAnsi"/>
        </w:rPr>
        <w:t xml:space="preserve"> öffentliche Rollen (beispielsweise in </w:t>
      </w:r>
      <w:r w:rsidR="005844DF">
        <w:rPr>
          <w:rFonts w:cstheme="minorHAnsi"/>
        </w:rPr>
        <w:t>d</w:t>
      </w:r>
      <w:r w:rsidR="005844DF" w:rsidRPr="005844DF">
        <w:rPr>
          <w:rFonts w:cstheme="minorHAnsi"/>
        </w:rPr>
        <w:t xml:space="preserve">er Politik) einzunehmen </w:t>
      </w:r>
      <w:r w:rsidR="002B6CC9" w:rsidRPr="005844DF">
        <w:rPr>
          <w:rFonts w:cstheme="minorHAnsi"/>
        </w:rPr>
        <w:t>(</w:t>
      </w:r>
      <w:r w:rsidR="005844DF" w:rsidRPr="005844DF">
        <w:rPr>
          <w:rFonts w:cstheme="minorHAnsi"/>
        </w:rPr>
        <w:t>vgl. ebd.).</w:t>
      </w:r>
    </w:p>
    <w:p w14:paraId="057D4503" w14:textId="3EC504F8" w:rsidR="00DD383E" w:rsidRPr="00D96918" w:rsidRDefault="00B45CA8" w:rsidP="003B3BA0">
      <w:pPr>
        <w:spacing w:line="360" w:lineRule="auto"/>
        <w:jc w:val="both"/>
        <w:rPr>
          <w:rFonts w:cstheme="minorHAnsi"/>
        </w:rPr>
      </w:pPr>
      <w:r>
        <w:rPr>
          <w:rFonts w:cstheme="minorHAnsi"/>
          <w:lang w:val="de-DE"/>
        </w:rPr>
        <w:t xml:space="preserve">Um genauer zu verstehen, woher </w:t>
      </w:r>
      <w:r w:rsidR="0086563D">
        <w:rPr>
          <w:rFonts w:cstheme="minorHAnsi"/>
          <w:lang w:val="de-DE"/>
        </w:rPr>
        <w:t xml:space="preserve">diese Überlegenheit von Männern gegenüber Frauen und </w:t>
      </w:r>
      <w:r>
        <w:rPr>
          <w:rFonts w:cstheme="minorHAnsi"/>
          <w:lang w:val="de-DE"/>
        </w:rPr>
        <w:t>die</w:t>
      </w:r>
      <w:r w:rsidR="0086563D">
        <w:rPr>
          <w:rFonts w:cstheme="minorHAnsi"/>
          <w:lang w:val="de-DE"/>
        </w:rPr>
        <w:t xml:space="preserve"> </w:t>
      </w:r>
      <w:r>
        <w:rPr>
          <w:rFonts w:cstheme="minorHAnsi"/>
          <w:lang w:val="de-DE"/>
        </w:rPr>
        <w:t xml:space="preserve">essentialistische Verbindung von Frauen </w:t>
      </w:r>
      <w:r w:rsidR="005D5BD3">
        <w:rPr>
          <w:rFonts w:cstheme="minorHAnsi"/>
          <w:lang w:val="de-DE"/>
        </w:rPr>
        <w:t>mit</w:t>
      </w:r>
      <w:r>
        <w:rPr>
          <w:rFonts w:cstheme="minorHAnsi"/>
          <w:lang w:val="de-DE"/>
        </w:rPr>
        <w:t xml:space="preserve"> Reproduktionsarbeit </w:t>
      </w:r>
      <w:r w:rsidR="0047085C">
        <w:rPr>
          <w:rFonts w:cstheme="minorHAnsi"/>
          <w:lang w:val="de-DE"/>
        </w:rPr>
        <w:t>herrührt</w:t>
      </w:r>
      <w:r>
        <w:rPr>
          <w:rFonts w:cstheme="minorHAnsi"/>
          <w:lang w:val="de-DE"/>
        </w:rPr>
        <w:t xml:space="preserve">, </w:t>
      </w:r>
      <w:r w:rsidR="008C1167">
        <w:rPr>
          <w:rFonts w:cstheme="minorHAnsi"/>
          <w:lang w:val="de-DE"/>
        </w:rPr>
        <w:t xml:space="preserve">sind Sherry Ortners Überlegungen im Artikel </w:t>
      </w:r>
      <w:proofErr w:type="spellStart"/>
      <w:r w:rsidR="008C1167" w:rsidRPr="00195C5D">
        <w:rPr>
          <w:rFonts w:cstheme="minorHAnsi"/>
          <w:i/>
          <w:iCs/>
          <w:lang w:val="de-DE"/>
        </w:rPr>
        <w:t>Is</w:t>
      </w:r>
      <w:proofErr w:type="spellEnd"/>
      <w:r w:rsidR="008C1167" w:rsidRPr="00195C5D">
        <w:rPr>
          <w:rFonts w:cstheme="minorHAnsi"/>
          <w:i/>
          <w:iCs/>
          <w:lang w:val="de-DE"/>
        </w:rPr>
        <w:t xml:space="preserve"> </w:t>
      </w:r>
      <w:proofErr w:type="spellStart"/>
      <w:r w:rsidR="008C1167" w:rsidRPr="00195C5D">
        <w:rPr>
          <w:rFonts w:cstheme="minorHAnsi"/>
          <w:i/>
          <w:iCs/>
          <w:lang w:val="de-DE"/>
        </w:rPr>
        <w:t>Female</w:t>
      </w:r>
      <w:proofErr w:type="spellEnd"/>
      <w:r w:rsidR="008C1167" w:rsidRPr="00195C5D">
        <w:rPr>
          <w:rFonts w:cstheme="minorHAnsi"/>
          <w:i/>
          <w:iCs/>
          <w:lang w:val="de-DE"/>
        </w:rPr>
        <w:t xml:space="preserve"> </w:t>
      </w:r>
      <w:proofErr w:type="spellStart"/>
      <w:r w:rsidR="008C1167" w:rsidRPr="00195C5D">
        <w:rPr>
          <w:rFonts w:cstheme="minorHAnsi"/>
          <w:i/>
          <w:iCs/>
          <w:lang w:val="de-DE"/>
        </w:rPr>
        <w:t>to</w:t>
      </w:r>
      <w:proofErr w:type="spellEnd"/>
      <w:r w:rsidR="008C1167" w:rsidRPr="00195C5D">
        <w:rPr>
          <w:rFonts w:cstheme="minorHAnsi"/>
          <w:i/>
          <w:iCs/>
          <w:lang w:val="de-DE"/>
        </w:rPr>
        <w:t xml:space="preserve"> Male </w:t>
      </w:r>
      <w:proofErr w:type="spellStart"/>
      <w:r w:rsidR="008C1167" w:rsidRPr="00195C5D">
        <w:rPr>
          <w:rFonts w:cstheme="minorHAnsi"/>
          <w:i/>
          <w:iCs/>
          <w:lang w:val="de-DE"/>
        </w:rPr>
        <w:t>as</w:t>
      </w:r>
      <w:proofErr w:type="spellEnd"/>
      <w:r w:rsidR="008C1167" w:rsidRPr="00195C5D">
        <w:rPr>
          <w:rFonts w:cstheme="minorHAnsi"/>
          <w:i/>
          <w:iCs/>
          <w:lang w:val="de-DE"/>
        </w:rPr>
        <w:t xml:space="preserve"> Culture </w:t>
      </w:r>
      <w:proofErr w:type="spellStart"/>
      <w:r w:rsidR="008C1167" w:rsidRPr="00195C5D">
        <w:rPr>
          <w:rFonts w:cstheme="minorHAnsi"/>
          <w:i/>
          <w:iCs/>
          <w:lang w:val="de-DE"/>
        </w:rPr>
        <w:t>is</w:t>
      </w:r>
      <w:proofErr w:type="spellEnd"/>
      <w:r w:rsidR="008C1167" w:rsidRPr="00195C5D">
        <w:rPr>
          <w:rFonts w:cstheme="minorHAnsi"/>
          <w:i/>
          <w:iCs/>
          <w:lang w:val="de-DE"/>
        </w:rPr>
        <w:t xml:space="preserve"> </w:t>
      </w:r>
      <w:proofErr w:type="spellStart"/>
      <w:r w:rsidR="008C1167">
        <w:rPr>
          <w:rFonts w:cstheme="minorHAnsi"/>
          <w:i/>
          <w:iCs/>
          <w:lang w:val="de-DE"/>
        </w:rPr>
        <w:t>t</w:t>
      </w:r>
      <w:r w:rsidR="008C1167" w:rsidRPr="00195C5D">
        <w:rPr>
          <w:rFonts w:cstheme="minorHAnsi"/>
          <w:i/>
          <w:iCs/>
          <w:lang w:val="de-DE"/>
        </w:rPr>
        <w:t>o</w:t>
      </w:r>
      <w:proofErr w:type="spellEnd"/>
      <w:r w:rsidR="008C1167" w:rsidRPr="00195C5D">
        <w:rPr>
          <w:rFonts w:cstheme="minorHAnsi"/>
          <w:i/>
          <w:iCs/>
          <w:lang w:val="de-DE"/>
        </w:rPr>
        <w:t xml:space="preserve"> Nature?</w:t>
      </w:r>
      <w:r w:rsidR="008C1167" w:rsidRPr="006461ED">
        <w:rPr>
          <w:rFonts w:cstheme="minorHAnsi"/>
          <w:i/>
          <w:iCs/>
          <w:lang w:val="de-DE"/>
        </w:rPr>
        <w:t xml:space="preserve"> (1974)</w:t>
      </w:r>
      <w:r w:rsidR="008C1167">
        <w:rPr>
          <w:rFonts w:cstheme="minorHAnsi"/>
          <w:lang w:val="de-DE"/>
        </w:rPr>
        <w:t xml:space="preserve"> aufschlussreich. </w:t>
      </w:r>
      <w:r w:rsidR="005D5BD3">
        <w:t xml:space="preserve">In </w:t>
      </w:r>
      <w:r w:rsidR="005D5BD3">
        <w:lastRenderedPageBreak/>
        <w:t xml:space="preserve">Anlehnung an die </w:t>
      </w:r>
      <w:r w:rsidR="005D5BD3" w:rsidRPr="005D5BD3">
        <w:t xml:space="preserve">Theorie von Lévi Strauss, die besagt, dass die Kultur der Natur </w:t>
      </w:r>
      <w:r w:rsidR="009D36D9">
        <w:t xml:space="preserve">stets </w:t>
      </w:r>
      <w:r w:rsidR="005D5BD3" w:rsidRPr="005D5BD3">
        <w:t xml:space="preserve">überlegen </w:t>
      </w:r>
      <w:r w:rsidR="00984116">
        <w:t>sei</w:t>
      </w:r>
      <w:r w:rsidR="005D5BD3" w:rsidRPr="005D5BD3">
        <w:t xml:space="preserve"> (</w:t>
      </w:r>
      <w:r w:rsidR="005D5BD3">
        <w:t>vgl. Ortner 1974, S. 79</w:t>
      </w:r>
      <w:r w:rsidR="005D5BD3" w:rsidRPr="005D5BD3">
        <w:t xml:space="preserve">) </w:t>
      </w:r>
      <w:r w:rsidR="005D5BD3" w:rsidRPr="00386D3B">
        <w:t>argumentiert</w:t>
      </w:r>
      <w:r w:rsidR="005D5BD3" w:rsidRPr="005D5BD3">
        <w:t xml:space="preserve"> </w:t>
      </w:r>
      <w:r w:rsidR="005D5BD3" w:rsidRPr="00386D3B">
        <w:t xml:space="preserve">Ortner, dass es eine universelle Tatsache </w:t>
      </w:r>
      <w:r w:rsidR="00984116">
        <w:t>ist</w:t>
      </w:r>
      <w:r w:rsidR="005D5BD3" w:rsidRPr="00386D3B">
        <w:t>, dass Frauen einen sekundären Status in der Gesellschaft haben</w:t>
      </w:r>
      <w:r w:rsidR="005D5BD3">
        <w:t xml:space="preserve"> (vgl. ebd., S. 67), da</w:t>
      </w:r>
      <w:r w:rsidR="005D5BD3" w:rsidRPr="005D5BD3">
        <w:t xml:space="preserve"> Frauen </w:t>
      </w:r>
      <w:r w:rsidR="00984116">
        <w:t>aufgrund ihrer</w:t>
      </w:r>
      <w:r w:rsidR="005D5BD3" w:rsidRPr="005D5BD3">
        <w:t xml:space="preserve"> Physiologie und reproduktive</w:t>
      </w:r>
      <w:r w:rsidR="00984116">
        <w:t>n</w:t>
      </w:r>
      <w:r w:rsidR="005D5BD3" w:rsidRPr="005D5BD3">
        <w:t xml:space="preserve"> Funktionen als näher </w:t>
      </w:r>
      <w:r w:rsidR="00984116">
        <w:t>zur</w:t>
      </w:r>
      <w:r w:rsidR="005D5BD3" w:rsidRPr="005D5BD3">
        <w:t xml:space="preserve"> Natur gesehen werden (</w:t>
      </w:r>
      <w:r w:rsidR="00984116">
        <w:t>vgl. ebd., S. 74</w:t>
      </w:r>
      <w:r w:rsidR="005D5BD3" w:rsidRPr="005D5BD3">
        <w:t xml:space="preserve">). </w:t>
      </w:r>
      <w:r w:rsidR="00B34061">
        <w:t>Sie zeigt weiter, dass die</w:t>
      </w:r>
      <w:r w:rsidR="008C1167" w:rsidRPr="00386D3B">
        <w:t xml:space="preserve"> physiologische</w:t>
      </w:r>
      <w:r w:rsidR="00D91653">
        <w:t xml:space="preserve"> reproduktive Fähigkeit</w:t>
      </w:r>
      <w:r w:rsidR="008C1167" w:rsidRPr="00386D3B">
        <w:t xml:space="preserve"> der Frau dazu tendier</w:t>
      </w:r>
      <w:r w:rsidR="00D91653">
        <w:t>t</w:t>
      </w:r>
      <w:r w:rsidR="008C1167" w:rsidRPr="00386D3B">
        <w:t>, ihre soziale Bewegung einzuschränken</w:t>
      </w:r>
      <w:r w:rsidR="00B34061">
        <w:t xml:space="preserve">, sodass </w:t>
      </w:r>
      <w:r w:rsidR="008C1167" w:rsidRPr="00386D3B">
        <w:t xml:space="preserve">sie generell auf bestimmte soziale Kontexte </w:t>
      </w:r>
      <w:r w:rsidR="00B34061">
        <w:t>ein</w:t>
      </w:r>
      <w:r w:rsidR="00DD383E">
        <w:t>ge</w:t>
      </w:r>
      <w:r w:rsidR="00B34061">
        <w:t>grenzt</w:t>
      </w:r>
      <w:r w:rsidR="00DD383E">
        <w:t xml:space="preserve"> wird</w:t>
      </w:r>
      <w:r w:rsidR="008C1167" w:rsidRPr="00386D3B">
        <w:t>, die wiederum als naturnäher angesehen werden (</w:t>
      </w:r>
      <w:r w:rsidR="00B34061">
        <w:t>vgl. ebd.</w:t>
      </w:r>
      <w:r w:rsidR="008C1167" w:rsidRPr="00386D3B">
        <w:t xml:space="preserve">, </w:t>
      </w:r>
      <w:r w:rsidR="00B34061">
        <w:t xml:space="preserve">S. </w:t>
      </w:r>
      <w:r w:rsidR="008C1167" w:rsidRPr="00386D3B">
        <w:t xml:space="preserve">77). </w:t>
      </w:r>
      <w:r w:rsidR="00D96918" w:rsidRPr="00D96918">
        <w:rPr>
          <w:lang w:val="en-GB"/>
        </w:rPr>
        <w:t xml:space="preserve">Dies </w:t>
      </w:r>
      <w:proofErr w:type="spellStart"/>
      <w:r w:rsidR="00D96918" w:rsidRPr="00D96918">
        <w:rPr>
          <w:lang w:val="en-GB"/>
        </w:rPr>
        <w:t>zeigt</w:t>
      </w:r>
      <w:proofErr w:type="spellEnd"/>
      <w:r w:rsidR="00D96918" w:rsidRPr="00D96918">
        <w:rPr>
          <w:lang w:val="en-GB"/>
        </w:rPr>
        <w:t xml:space="preserve"> Scott </w:t>
      </w:r>
      <w:proofErr w:type="spellStart"/>
      <w:r w:rsidR="00D96918" w:rsidRPr="00D96918">
        <w:rPr>
          <w:lang w:val="en-GB"/>
        </w:rPr>
        <w:t>auch</w:t>
      </w:r>
      <w:proofErr w:type="spellEnd"/>
      <w:r w:rsidR="00D96918" w:rsidRPr="00D96918">
        <w:rPr>
          <w:lang w:val="en-GB"/>
        </w:rPr>
        <w:t xml:space="preserve"> </w:t>
      </w:r>
      <w:proofErr w:type="spellStart"/>
      <w:r w:rsidR="00D96918" w:rsidRPr="00D96918">
        <w:rPr>
          <w:lang w:val="en-GB"/>
        </w:rPr>
        <w:t>im</w:t>
      </w:r>
      <w:proofErr w:type="spellEnd"/>
      <w:r w:rsidR="00D96918" w:rsidRPr="00D96918">
        <w:rPr>
          <w:lang w:val="en-GB"/>
        </w:rPr>
        <w:t xml:space="preserve"> Text </w:t>
      </w:r>
      <w:r w:rsidR="00D96918" w:rsidRPr="00D96918">
        <w:rPr>
          <w:rFonts w:cstheme="minorHAnsi"/>
          <w:i/>
          <w:iCs/>
          <w:lang w:val="en-GB"/>
        </w:rPr>
        <w:t xml:space="preserve">French Feminists and the Rights of 'Man': </w:t>
      </w:r>
      <w:proofErr w:type="spellStart"/>
      <w:r w:rsidR="00D96918" w:rsidRPr="00D96918">
        <w:rPr>
          <w:rFonts w:cstheme="minorHAnsi"/>
          <w:i/>
          <w:iCs/>
          <w:lang w:val="en-GB"/>
        </w:rPr>
        <w:t>Olympe</w:t>
      </w:r>
      <w:proofErr w:type="spellEnd"/>
      <w:r w:rsidR="00D96918" w:rsidRPr="00D96918">
        <w:rPr>
          <w:rFonts w:cstheme="minorHAnsi"/>
          <w:i/>
          <w:iCs/>
          <w:lang w:val="en-GB"/>
        </w:rPr>
        <w:t xml:space="preserve"> de </w:t>
      </w:r>
      <w:proofErr w:type="spellStart"/>
      <w:r w:rsidR="00D96918" w:rsidRPr="00D96918">
        <w:rPr>
          <w:rFonts w:cstheme="minorHAnsi"/>
          <w:i/>
          <w:iCs/>
          <w:lang w:val="en-GB"/>
        </w:rPr>
        <w:t>Gouges's</w:t>
      </w:r>
      <w:proofErr w:type="spellEnd"/>
      <w:r w:rsidR="00D96918" w:rsidRPr="00D96918">
        <w:rPr>
          <w:rFonts w:cstheme="minorHAnsi"/>
          <w:i/>
          <w:iCs/>
          <w:lang w:val="en-GB"/>
        </w:rPr>
        <w:t xml:space="preserve"> Declarations (1989)</w:t>
      </w:r>
      <w:r w:rsidR="00D96918" w:rsidRPr="00D96918">
        <w:rPr>
          <w:rFonts w:cstheme="minorHAnsi"/>
          <w:lang w:val="en-GB"/>
        </w:rPr>
        <w:t>.</w:t>
      </w:r>
      <w:r w:rsidR="003601FC">
        <w:rPr>
          <w:rFonts w:cstheme="minorHAnsi"/>
          <w:lang w:val="en-GB"/>
        </w:rPr>
        <w:t xml:space="preserve"> </w:t>
      </w:r>
      <w:r w:rsidR="003601FC" w:rsidRPr="003601FC">
        <w:rPr>
          <w:rFonts w:cstheme="minorHAnsi"/>
        </w:rPr>
        <w:t>In</w:t>
      </w:r>
      <w:r w:rsidR="003601FC">
        <w:rPr>
          <w:rFonts w:cstheme="minorHAnsi"/>
        </w:rPr>
        <w:t xml:space="preserve"> Anlehnung an Olympe de</w:t>
      </w:r>
      <w:r w:rsidR="00D96918" w:rsidRPr="003601FC">
        <w:t xml:space="preserve"> </w:t>
      </w:r>
      <w:proofErr w:type="spellStart"/>
      <w:r w:rsidR="00D96918">
        <w:t>Gouge</w:t>
      </w:r>
      <w:r w:rsidR="003601FC">
        <w:t>s</w:t>
      </w:r>
      <w:proofErr w:type="spellEnd"/>
      <w:r w:rsidR="00D96918">
        <w:t xml:space="preserve">, </w:t>
      </w:r>
      <w:r w:rsidR="003601FC">
        <w:t>seien</w:t>
      </w:r>
      <w:r w:rsidR="00D96918">
        <w:t xml:space="preserve"> Geschlechter nur zwecks Reproduktion von der Natur unterschieden w</w:t>
      </w:r>
      <w:r w:rsidR="00D91653">
        <w:t>o</w:t>
      </w:r>
      <w:r w:rsidR="00D96918">
        <w:t>rden (</w:t>
      </w:r>
      <w:r w:rsidR="003601FC">
        <w:t xml:space="preserve">vgl. Scott 1989, </w:t>
      </w:r>
      <w:r w:rsidR="00D96918">
        <w:t xml:space="preserve">S. </w:t>
      </w:r>
      <w:r w:rsidR="00D96918" w:rsidRPr="00D91653">
        <w:rPr>
          <w:lang w:val="de-DE"/>
        </w:rPr>
        <w:t xml:space="preserve">13). Systeme seien menschengemacht und störten die natürliche archaische </w:t>
      </w:r>
      <w:r w:rsidR="00D91653">
        <w:rPr>
          <w:lang w:val="de-DE"/>
        </w:rPr>
        <w:t>„</w:t>
      </w:r>
      <w:proofErr w:type="spellStart"/>
      <w:r w:rsidR="00D96918" w:rsidRPr="00D91653">
        <w:rPr>
          <w:lang w:val="de-DE"/>
        </w:rPr>
        <w:t>confusions</w:t>
      </w:r>
      <w:proofErr w:type="spellEnd"/>
      <w:r w:rsidR="00D91653">
        <w:rPr>
          <w:lang w:val="de-DE"/>
        </w:rPr>
        <w:t>“</w:t>
      </w:r>
      <w:r w:rsidR="00D96918" w:rsidRPr="00D91653">
        <w:rPr>
          <w:lang w:val="de-DE"/>
        </w:rPr>
        <w:t xml:space="preserve"> (</w:t>
      </w:r>
      <w:r w:rsidR="003601FC" w:rsidRPr="00D91653">
        <w:rPr>
          <w:lang w:val="de-DE"/>
        </w:rPr>
        <w:t>ebd.</w:t>
      </w:r>
      <w:r w:rsidR="00D96918" w:rsidRPr="00D91653">
        <w:rPr>
          <w:lang w:val="de-DE"/>
        </w:rPr>
        <w:t xml:space="preserve">). </w:t>
      </w:r>
      <w:r w:rsidR="003601FC" w:rsidRPr="00D91653">
        <w:rPr>
          <w:lang w:val="de-DE"/>
        </w:rPr>
        <w:t xml:space="preserve">Die Natur gebe keine klare Ordnung vor. </w:t>
      </w:r>
      <w:r w:rsidR="00DD383E" w:rsidRPr="00D91653">
        <w:rPr>
          <w:lang w:val="de-DE"/>
        </w:rPr>
        <w:t xml:space="preserve">Dass diese Hierarchie Kultur-Natur resp. Mann-Frau nicht naturgegeben ist, wird </w:t>
      </w:r>
      <w:r w:rsidR="003601FC" w:rsidRPr="00D91653">
        <w:rPr>
          <w:lang w:val="de-DE"/>
        </w:rPr>
        <w:t xml:space="preserve">auch </w:t>
      </w:r>
      <w:r w:rsidR="00DD383E" w:rsidRPr="00D91653">
        <w:rPr>
          <w:lang w:val="de-DE"/>
        </w:rPr>
        <w:t xml:space="preserve">mittels Scotts </w:t>
      </w:r>
      <w:r w:rsidR="00DD383E" w:rsidRPr="00D91653">
        <w:rPr>
          <w:rFonts w:cstheme="minorHAnsi"/>
          <w:lang w:val="de-DE"/>
        </w:rPr>
        <w:t xml:space="preserve">Text </w:t>
      </w:r>
      <w:r w:rsidR="00DD383E" w:rsidRPr="00D91653">
        <w:rPr>
          <w:rFonts w:cstheme="minorHAnsi"/>
          <w:i/>
          <w:iCs/>
          <w:lang w:val="de-DE"/>
        </w:rPr>
        <w:t>Feminist Family Politics</w:t>
      </w:r>
      <w:r w:rsidR="00DD383E" w:rsidRPr="00D91653">
        <w:rPr>
          <w:rFonts w:cstheme="minorHAnsi"/>
          <w:lang w:val="de-DE"/>
        </w:rPr>
        <w:t xml:space="preserve"> </w:t>
      </w:r>
      <w:r w:rsidR="00DD383E" w:rsidRPr="00D91653">
        <w:rPr>
          <w:rFonts w:cstheme="minorHAnsi"/>
          <w:i/>
          <w:iCs/>
          <w:lang w:val="de-DE"/>
        </w:rPr>
        <w:t>(1999)</w:t>
      </w:r>
      <w:r w:rsidR="00DD383E" w:rsidRPr="00D91653">
        <w:rPr>
          <w:rFonts w:cstheme="minorHAnsi"/>
          <w:lang w:val="de-DE"/>
        </w:rPr>
        <w:t xml:space="preserve"> deutlich. </w:t>
      </w:r>
      <w:r w:rsidR="00C31161" w:rsidRPr="00D91653">
        <w:rPr>
          <w:rFonts w:cstheme="minorHAnsi"/>
          <w:lang w:val="de-DE"/>
        </w:rPr>
        <w:t xml:space="preserve">Hier </w:t>
      </w:r>
      <w:r w:rsidR="00DD383E" w:rsidRPr="00D91653">
        <w:rPr>
          <w:rFonts w:cstheme="minorHAnsi"/>
          <w:lang w:val="de-DE"/>
        </w:rPr>
        <w:t>schreibt</w:t>
      </w:r>
      <w:r w:rsidR="00C31161" w:rsidRPr="00D91653">
        <w:rPr>
          <w:rFonts w:cstheme="minorHAnsi"/>
          <w:lang w:val="de-DE"/>
        </w:rPr>
        <w:t xml:space="preserve"> die Historikerin</w:t>
      </w:r>
      <w:r w:rsidR="00DD383E" w:rsidRPr="00D91653">
        <w:rPr>
          <w:rFonts w:cstheme="minorHAnsi"/>
          <w:lang w:val="de-DE"/>
        </w:rPr>
        <w:t>, dass gesetzlich festgelegte familiäre Normen kulturell und historisch hervorgebracht sind, statt in</w:t>
      </w:r>
      <w:r w:rsidR="00DD383E">
        <w:rPr>
          <w:rFonts w:cstheme="minorHAnsi"/>
          <w:lang w:val="de-DE"/>
        </w:rPr>
        <w:t xml:space="preserve"> der Natur festgesetzt (</w:t>
      </w:r>
      <w:r w:rsidR="00B149ED">
        <w:rPr>
          <w:rFonts w:cstheme="minorHAnsi"/>
          <w:lang w:val="de-DE"/>
        </w:rPr>
        <w:t xml:space="preserve">vgl. </w:t>
      </w:r>
      <w:r w:rsidR="00DD383E">
        <w:rPr>
          <w:rFonts w:cstheme="minorHAnsi"/>
          <w:lang w:val="de-DE"/>
        </w:rPr>
        <w:t>Scott 1999, S. 26).</w:t>
      </w:r>
      <w:r w:rsidR="002B6CC9">
        <w:rPr>
          <w:rFonts w:cstheme="minorHAnsi"/>
          <w:lang w:val="de-DE"/>
        </w:rPr>
        <w:t xml:space="preserve"> Dabei geht Scott noch weiter und postuliert, dass diese normativen Arrangements nicht nur eine Historizität haben, sondern die Biologie konstruieren, um sie an die </w:t>
      </w:r>
      <w:r w:rsidR="004F12D6">
        <w:rPr>
          <w:rFonts w:cstheme="minorHAnsi"/>
          <w:lang w:val="de-DE"/>
        </w:rPr>
        <w:t>gesellschaftliche Idealv</w:t>
      </w:r>
      <w:r w:rsidR="002B6CC9">
        <w:rPr>
          <w:rFonts w:cstheme="minorHAnsi"/>
          <w:lang w:val="de-DE"/>
        </w:rPr>
        <w:t>orstellung von Familie anzupassen (vgl. ebd., S. 24).</w:t>
      </w:r>
      <w:r w:rsidR="00DD383E">
        <w:rPr>
          <w:rFonts w:cstheme="minorHAnsi"/>
          <w:lang w:val="de-DE"/>
        </w:rPr>
        <w:t xml:space="preserve"> Dies lässt sich auch </w:t>
      </w:r>
      <w:r w:rsidR="00AC3017">
        <w:rPr>
          <w:rFonts w:cstheme="minorHAnsi"/>
          <w:lang w:val="de-DE"/>
        </w:rPr>
        <w:t xml:space="preserve">– </w:t>
      </w:r>
      <w:r w:rsidR="00DD383E">
        <w:rPr>
          <w:rFonts w:cstheme="minorHAnsi"/>
          <w:lang w:val="de-DE"/>
        </w:rPr>
        <w:t>insbesondere</w:t>
      </w:r>
      <w:r w:rsidR="00C31161">
        <w:rPr>
          <w:rFonts w:cstheme="minorHAnsi"/>
          <w:lang w:val="de-DE"/>
        </w:rPr>
        <w:t xml:space="preserve"> </w:t>
      </w:r>
      <w:proofErr w:type="spellStart"/>
      <w:r w:rsidR="00B149ED">
        <w:rPr>
          <w:rFonts w:cstheme="minorHAnsi"/>
          <w:lang w:val="de-DE"/>
        </w:rPr>
        <w:t>im</w:t>
      </w:r>
      <w:proofErr w:type="spellEnd"/>
      <w:r w:rsidR="00DD383E">
        <w:rPr>
          <w:rFonts w:cstheme="minorHAnsi"/>
          <w:lang w:val="de-DE"/>
        </w:rPr>
        <w:t xml:space="preserve"> </w:t>
      </w:r>
      <w:r w:rsidR="00C31161">
        <w:rPr>
          <w:rFonts w:cstheme="minorHAnsi"/>
          <w:lang w:val="de-DE"/>
        </w:rPr>
        <w:t xml:space="preserve">Bezug auf </w:t>
      </w:r>
      <w:r w:rsidR="00DD383E">
        <w:rPr>
          <w:rFonts w:cstheme="minorHAnsi"/>
          <w:lang w:val="de-DE"/>
        </w:rPr>
        <w:t xml:space="preserve">Simone de Beauvoirs berühmten Satz </w:t>
      </w:r>
      <w:r w:rsidR="00DD383E">
        <w:rPr>
          <w:lang w:val="de-DE"/>
        </w:rPr>
        <w:t>„</w:t>
      </w:r>
      <w:r w:rsidR="00DD383E" w:rsidRPr="006043EE">
        <w:rPr>
          <w:lang w:val="de-DE"/>
        </w:rPr>
        <w:t>Man kommt nicht als Frau zur Welt, man wird es</w:t>
      </w:r>
      <w:r w:rsidR="00DD383E">
        <w:rPr>
          <w:lang w:val="de-DE"/>
        </w:rPr>
        <w:t>“</w:t>
      </w:r>
      <w:r w:rsidR="00DD383E" w:rsidRPr="006043EE">
        <w:rPr>
          <w:lang w:val="de-DE"/>
        </w:rPr>
        <w:t xml:space="preserve"> (</w:t>
      </w:r>
      <w:r w:rsidR="00DD383E">
        <w:rPr>
          <w:lang w:val="de-DE"/>
        </w:rPr>
        <w:t xml:space="preserve">Beauvoir 2020, </w:t>
      </w:r>
      <w:r w:rsidR="00DD383E" w:rsidRPr="006043EE">
        <w:rPr>
          <w:lang w:val="de-DE"/>
        </w:rPr>
        <w:t>S. 334)</w:t>
      </w:r>
      <w:r w:rsidR="00AC3017">
        <w:rPr>
          <w:lang w:val="de-DE"/>
        </w:rPr>
        <w:t xml:space="preserve"> –</w:t>
      </w:r>
      <w:r w:rsidR="00DD383E" w:rsidRPr="006043EE">
        <w:rPr>
          <w:lang w:val="de-DE"/>
        </w:rPr>
        <w:t xml:space="preserve"> </w:t>
      </w:r>
      <w:r w:rsidR="00DD383E">
        <w:rPr>
          <w:lang w:val="de-DE"/>
        </w:rPr>
        <w:t>auch</w:t>
      </w:r>
      <w:r w:rsidR="00AC3017">
        <w:rPr>
          <w:lang w:val="de-DE"/>
        </w:rPr>
        <w:t xml:space="preserve"> </w:t>
      </w:r>
      <w:r w:rsidR="00DD383E">
        <w:rPr>
          <w:lang w:val="de-DE"/>
        </w:rPr>
        <w:t xml:space="preserve">auf die generelle Geschlechterhierarchie anwenden. </w:t>
      </w:r>
      <w:r w:rsidR="004F12D6">
        <w:rPr>
          <w:lang w:val="de-DE"/>
        </w:rPr>
        <w:t xml:space="preserve">Das Machtgefälle zwischen Männer und </w:t>
      </w:r>
      <w:r w:rsidR="004F12D6" w:rsidRPr="004F12D6">
        <w:rPr>
          <w:lang w:val="de-DE"/>
        </w:rPr>
        <w:t xml:space="preserve">Frauen ist somit stark in unserer Gesellschaft verwurzelt und erklärt auch, weshalb es die Frau ist, </w:t>
      </w:r>
      <w:r w:rsidR="00D91653">
        <w:rPr>
          <w:lang w:val="de-DE"/>
        </w:rPr>
        <w:t>die</w:t>
      </w:r>
      <w:r w:rsidR="003601FC" w:rsidRPr="004F12D6">
        <w:t xml:space="preserve"> mit d</w:t>
      </w:r>
      <w:r w:rsidR="004F12D6" w:rsidRPr="004F12D6">
        <w:t>er</w:t>
      </w:r>
      <w:r w:rsidR="003601FC" w:rsidRPr="004F12D6">
        <w:t xml:space="preserve"> Problematik </w:t>
      </w:r>
      <w:r w:rsidR="004F12D6" w:rsidRPr="004F12D6">
        <w:t xml:space="preserve">der doppelten Vergesellschaftung </w:t>
      </w:r>
      <w:r w:rsidR="003601FC" w:rsidRPr="004F12D6">
        <w:t>konfrontiert ist und nicht der Mann</w:t>
      </w:r>
      <w:r w:rsidR="004F12D6" w:rsidRPr="004F12D6">
        <w:t>.</w:t>
      </w:r>
    </w:p>
    <w:p w14:paraId="7ED47ECD" w14:textId="2152FA71" w:rsidR="00D96918" w:rsidRPr="00785484" w:rsidRDefault="00D96918" w:rsidP="003B3BA0">
      <w:pPr>
        <w:spacing w:line="360" w:lineRule="auto"/>
        <w:jc w:val="both"/>
        <w:rPr>
          <w:rFonts w:cstheme="minorHAnsi"/>
          <w:lang w:val="de-DE"/>
        </w:rPr>
      </w:pPr>
      <w:r>
        <w:rPr>
          <w:rFonts w:cstheme="minorHAnsi"/>
          <w:lang w:val="de-DE"/>
        </w:rPr>
        <w:t>I</w:t>
      </w:r>
      <w:r w:rsidRPr="003F2729">
        <w:rPr>
          <w:rFonts w:cstheme="minorHAnsi"/>
          <w:lang w:val="de-DE"/>
        </w:rPr>
        <w:t xml:space="preserve">n </w:t>
      </w:r>
      <w:r w:rsidRPr="0081461C">
        <w:rPr>
          <w:rFonts w:cstheme="minorHAnsi"/>
          <w:i/>
          <w:iCs/>
          <w:lang w:val="de-DE"/>
        </w:rPr>
        <w:t xml:space="preserve">French </w:t>
      </w:r>
      <w:proofErr w:type="spellStart"/>
      <w:r w:rsidRPr="0081461C">
        <w:rPr>
          <w:rFonts w:cstheme="minorHAnsi"/>
          <w:i/>
          <w:iCs/>
          <w:lang w:val="de-DE"/>
        </w:rPr>
        <w:t>Feminists</w:t>
      </w:r>
      <w:proofErr w:type="spellEnd"/>
      <w:r w:rsidRPr="0081461C">
        <w:rPr>
          <w:rFonts w:cstheme="minorHAnsi"/>
          <w:i/>
          <w:iCs/>
          <w:lang w:val="de-DE"/>
        </w:rPr>
        <w:t xml:space="preserve"> and </w:t>
      </w:r>
      <w:proofErr w:type="spellStart"/>
      <w:r w:rsidRPr="0081461C">
        <w:rPr>
          <w:rFonts w:cstheme="minorHAnsi"/>
          <w:i/>
          <w:iCs/>
          <w:lang w:val="de-DE"/>
        </w:rPr>
        <w:t>the</w:t>
      </w:r>
      <w:proofErr w:type="spellEnd"/>
      <w:r w:rsidRPr="0081461C">
        <w:rPr>
          <w:rFonts w:cstheme="minorHAnsi"/>
          <w:i/>
          <w:iCs/>
          <w:lang w:val="de-DE"/>
        </w:rPr>
        <w:t xml:space="preserve"> Rights </w:t>
      </w:r>
      <w:proofErr w:type="spellStart"/>
      <w:r w:rsidRPr="0081461C">
        <w:rPr>
          <w:rFonts w:cstheme="minorHAnsi"/>
          <w:i/>
          <w:iCs/>
          <w:lang w:val="de-DE"/>
        </w:rPr>
        <w:t>of</w:t>
      </w:r>
      <w:proofErr w:type="spellEnd"/>
      <w:r w:rsidRPr="0081461C">
        <w:rPr>
          <w:rFonts w:cstheme="minorHAnsi"/>
          <w:i/>
          <w:iCs/>
          <w:lang w:val="de-DE"/>
        </w:rPr>
        <w:t xml:space="preserve"> 'Man': Olympe de </w:t>
      </w:r>
      <w:proofErr w:type="spellStart"/>
      <w:proofErr w:type="gramStart"/>
      <w:r w:rsidRPr="0081461C">
        <w:rPr>
          <w:rFonts w:cstheme="minorHAnsi"/>
          <w:i/>
          <w:iCs/>
          <w:lang w:val="de-DE"/>
        </w:rPr>
        <w:t>Gouges's</w:t>
      </w:r>
      <w:proofErr w:type="spellEnd"/>
      <w:proofErr w:type="gramEnd"/>
      <w:r w:rsidRPr="0081461C">
        <w:rPr>
          <w:rFonts w:cstheme="minorHAnsi"/>
          <w:i/>
          <w:iCs/>
          <w:lang w:val="de-DE"/>
        </w:rPr>
        <w:t xml:space="preserve"> </w:t>
      </w:r>
      <w:proofErr w:type="spellStart"/>
      <w:r w:rsidRPr="0081461C">
        <w:rPr>
          <w:rFonts w:cstheme="minorHAnsi"/>
          <w:i/>
          <w:iCs/>
          <w:lang w:val="de-DE"/>
        </w:rPr>
        <w:t>Declarations</w:t>
      </w:r>
      <w:proofErr w:type="spellEnd"/>
      <w:r w:rsidRPr="0081461C">
        <w:rPr>
          <w:rFonts w:cstheme="minorHAnsi"/>
          <w:i/>
          <w:iCs/>
          <w:lang w:val="de-DE"/>
        </w:rPr>
        <w:t xml:space="preserve"> (1989)</w:t>
      </w:r>
      <w:r>
        <w:rPr>
          <w:rFonts w:cstheme="minorHAnsi"/>
          <w:lang w:val="de-DE"/>
        </w:rPr>
        <w:t xml:space="preserve"> fokussiert Scott auf</w:t>
      </w:r>
      <w:r w:rsidRPr="003F2729">
        <w:rPr>
          <w:rFonts w:cstheme="minorHAnsi"/>
          <w:lang w:val="de-DE"/>
        </w:rPr>
        <w:t xml:space="preserve"> Gesetzgebungen, die</w:t>
      </w:r>
      <w:r>
        <w:rPr>
          <w:rFonts w:cstheme="minorHAnsi"/>
          <w:lang w:val="de-DE"/>
        </w:rPr>
        <w:t xml:space="preserve"> bereits zur Zeit der Französischen Revolution</w:t>
      </w:r>
      <w:r w:rsidRPr="003F2729">
        <w:rPr>
          <w:rFonts w:cstheme="minorHAnsi"/>
          <w:lang w:val="de-DE"/>
        </w:rPr>
        <w:t xml:space="preserve"> auf die Geschlechterverhältnisse einwirkten.</w:t>
      </w:r>
      <w:r>
        <w:rPr>
          <w:rFonts w:cstheme="minorHAnsi"/>
          <w:lang w:val="de-DE"/>
        </w:rPr>
        <w:t xml:space="preserve"> Scott zeigt, dass der Mann den Standard für die damalige</w:t>
      </w:r>
      <w:r w:rsidR="004F12D6">
        <w:rPr>
          <w:rFonts w:cstheme="minorHAnsi"/>
          <w:lang w:val="de-DE"/>
        </w:rPr>
        <w:t>n</w:t>
      </w:r>
      <w:r>
        <w:rPr>
          <w:rFonts w:cstheme="minorHAnsi"/>
          <w:lang w:val="de-DE"/>
        </w:rPr>
        <w:t xml:space="preserve"> Gesetz</w:t>
      </w:r>
      <w:r w:rsidR="004F12D6">
        <w:rPr>
          <w:rFonts w:cstheme="minorHAnsi"/>
          <w:lang w:val="de-DE"/>
        </w:rPr>
        <w:t>e</w:t>
      </w:r>
      <w:r>
        <w:rPr>
          <w:rFonts w:cstheme="minorHAnsi"/>
          <w:lang w:val="de-DE"/>
        </w:rPr>
        <w:t xml:space="preserve"> darstell</w:t>
      </w:r>
      <w:r w:rsidR="003C7921">
        <w:rPr>
          <w:rFonts w:cstheme="minorHAnsi"/>
          <w:lang w:val="de-DE"/>
        </w:rPr>
        <w:t xml:space="preserve">te </w:t>
      </w:r>
      <w:r>
        <w:rPr>
          <w:rFonts w:cstheme="minorHAnsi"/>
          <w:lang w:val="de-DE"/>
        </w:rPr>
        <w:t>(vgl. Scott 1989). Dies erinnert</w:t>
      </w:r>
      <w:r w:rsidR="003C7921">
        <w:rPr>
          <w:rFonts w:cstheme="minorHAnsi"/>
          <w:lang w:val="de-DE"/>
        </w:rPr>
        <w:t>e mich</w:t>
      </w:r>
      <w:r>
        <w:rPr>
          <w:rFonts w:cstheme="minorHAnsi"/>
          <w:lang w:val="de-DE"/>
        </w:rPr>
        <w:t xml:space="preserve"> stark an </w:t>
      </w:r>
      <w:r w:rsidR="00785484">
        <w:rPr>
          <w:rFonts w:cstheme="minorHAnsi"/>
          <w:lang w:val="de-DE"/>
        </w:rPr>
        <w:t>ein</w:t>
      </w:r>
      <w:r w:rsidR="004F12D6">
        <w:rPr>
          <w:rFonts w:cstheme="minorHAnsi"/>
          <w:lang w:val="de-DE"/>
        </w:rPr>
        <w:t xml:space="preserve"> Zitat von Simone de Beauvoir</w:t>
      </w:r>
      <w:r w:rsidR="00785484">
        <w:rPr>
          <w:rFonts w:cstheme="minorHAnsi"/>
          <w:lang w:val="de-DE"/>
        </w:rPr>
        <w:t xml:space="preserve">: </w:t>
      </w:r>
      <w:r w:rsidR="00785484">
        <w:rPr>
          <w:lang w:val="de-DE"/>
        </w:rPr>
        <w:t>„</w:t>
      </w:r>
      <w:r w:rsidR="00785484" w:rsidRPr="006043EE">
        <w:rPr>
          <w:lang w:val="de-DE"/>
        </w:rPr>
        <w:t>Da es Männer waren, die die Gesetze gemacht haben und zusammengestellt haben, begünstigen sie ihr Geschlecht, und die Rechtsgelehrten verkehrten die Gesetze in Privilegien</w:t>
      </w:r>
      <w:r w:rsidR="00785484">
        <w:rPr>
          <w:lang w:val="de-DE"/>
        </w:rPr>
        <w:t>“</w:t>
      </w:r>
      <w:r w:rsidR="00785484" w:rsidRPr="006043EE">
        <w:rPr>
          <w:lang w:val="de-DE"/>
        </w:rPr>
        <w:t xml:space="preserve"> (</w:t>
      </w:r>
      <w:r w:rsidR="00785484">
        <w:rPr>
          <w:lang w:val="de-DE"/>
        </w:rPr>
        <w:t xml:space="preserve">Beauvoir 2020, </w:t>
      </w:r>
      <w:r w:rsidR="00785484" w:rsidRPr="006043EE">
        <w:rPr>
          <w:lang w:val="de-DE"/>
        </w:rPr>
        <w:t xml:space="preserve">S. 18). </w:t>
      </w:r>
      <w:r w:rsidR="004F12D6">
        <w:rPr>
          <w:rFonts w:cstheme="minorHAnsi"/>
          <w:lang w:val="de-DE"/>
        </w:rPr>
        <w:t>A</w:t>
      </w:r>
      <w:r w:rsidR="00131263">
        <w:rPr>
          <w:rFonts w:cstheme="minorHAnsi"/>
          <w:lang w:val="de-DE"/>
        </w:rPr>
        <w:t xml:space="preserve">ber insbesondere </w:t>
      </w:r>
      <w:r>
        <w:rPr>
          <w:rFonts w:cstheme="minorHAnsi"/>
          <w:lang w:val="de-DE"/>
        </w:rPr>
        <w:t>Beauvoir</w:t>
      </w:r>
      <w:r w:rsidR="00131263">
        <w:rPr>
          <w:rFonts w:cstheme="minorHAnsi"/>
          <w:lang w:val="de-DE"/>
        </w:rPr>
        <w:t>s Erkenntnisse</w:t>
      </w:r>
      <w:r>
        <w:rPr>
          <w:rFonts w:cstheme="minorHAnsi"/>
          <w:lang w:val="de-DE"/>
        </w:rPr>
        <w:t>, dass d</w:t>
      </w:r>
      <w:r w:rsidRPr="006043EE">
        <w:rPr>
          <w:lang w:val="de-DE"/>
        </w:rPr>
        <w:t>er Mann das Vollkommene</w:t>
      </w:r>
      <w:r>
        <w:rPr>
          <w:lang w:val="de-DE"/>
        </w:rPr>
        <w:t xml:space="preserve"> ist und</w:t>
      </w:r>
      <w:r w:rsidRPr="006043EE">
        <w:rPr>
          <w:lang w:val="de-DE"/>
        </w:rPr>
        <w:t xml:space="preserve"> die Frau das </w:t>
      </w:r>
      <w:r>
        <w:rPr>
          <w:lang w:val="de-DE"/>
        </w:rPr>
        <w:t>‚</w:t>
      </w:r>
      <w:r w:rsidRPr="006043EE">
        <w:rPr>
          <w:lang w:val="de-DE"/>
        </w:rPr>
        <w:t>Andere</w:t>
      </w:r>
      <w:r>
        <w:rPr>
          <w:lang w:val="de-DE"/>
        </w:rPr>
        <w:t>‘</w:t>
      </w:r>
      <w:r w:rsidRPr="006043EE">
        <w:rPr>
          <w:lang w:val="de-DE"/>
        </w:rPr>
        <w:t xml:space="preserve"> </w:t>
      </w:r>
      <w:r w:rsidR="00131263">
        <w:rPr>
          <w:lang w:val="de-DE"/>
        </w:rPr>
        <w:t xml:space="preserve">sind in diesem Zusammenhang interessant </w:t>
      </w:r>
      <w:r w:rsidRPr="006043EE">
        <w:rPr>
          <w:lang w:val="de-DE"/>
        </w:rPr>
        <w:t>(</w:t>
      </w:r>
      <w:r>
        <w:rPr>
          <w:lang w:val="de-DE"/>
        </w:rPr>
        <w:t xml:space="preserve">vgl. </w:t>
      </w:r>
      <w:r w:rsidRPr="006043EE">
        <w:rPr>
          <w:lang w:val="de-DE"/>
        </w:rPr>
        <w:t xml:space="preserve">Beauvoir 2020, S. 12). Bei der Frau </w:t>
      </w:r>
      <w:r>
        <w:rPr>
          <w:lang w:val="de-DE"/>
        </w:rPr>
        <w:t xml:space="preserve">sei </w:t>
      </w:r>
      <w:r w:rsidRPr="006043EE">
        <w:rPr>
          <w:lang w:val="de-DE"/>
        </w:rPr>
        <w:t>ihr Geschlecht stets präsent</w:t>
      </w:r>
      <w:r>
        <w:rPr>
          <w:lang w:val="de-DE"/>
        </w:rPr>
        <w:t>, während</w:t>
      </w:r>
      <w:r w:rsidRPr="006043EE">
        <w:rPr>
          <w:lang w:val="de-DE"/>
        </w:rPr>
        <w:t xml:space="preserve"> der Mann ein geschlechtloses Wesen</w:t>
      </w:r>
      <w:r>
        <w:rPr>
          <w:lang w:val="de-DE"/>
        </w:rPr>
        <w:t xml:space="preserve"> bleibe</w:t>
      </w:r>
      <w:r w:rsidRPr="006043EE">
        <w:rPr>
          <w:lang w:val="de-DE"/>
        </w:rPr>
        <w:t xml:space="preserve"> (</w:t>
      </w:r>
      <w:r>
        <w:rPr>
          <w:lang w:val="de-DE"/>
        </w:rPr>
        <w:t xml:space="preserve">vgl. </w:t>
      </w:r>
      <w:r w:rsidRPr="006043EE">
        <w:rPr>
          <w:lang w:val="de-DE"/>
        </w:rPr>
        <w:t>ebd.)</w:t>
      </w:r>
      <w:r w:rsidR="00785484">
        <w:rPr>
          <w:lang w:val="de-DE"/>
        </w:rPr>
        <w:t xml:space="preserve">. Dies </w:t>
      </w:r>
      <w:r w:rsidR="00131263">
        <w:rPr>
          <w:lang w:val="de-DE"/>
        </w:rPr>
        <w:t xml:space="preserve">zeigt, dass die Frau stets eine </w:t>
      </w:r>
      <w:proofErr w:type="spellStart"/>
      <w:r w:rsidR="00131263">
        <w:rPr>
          <w:lang w:val="de-DE"/>
        </w:rPr>
        <w:t>ausserordentliche</w:t>
      </w:r>
      <w:proofErr w:type="spellEnd"/>
      <w:r w:rsidR="00131263">
        <w:rPr>
          <w:lang w:val="de-DE"/>
        </w:rPr>
        <w:t xml:space="preserve"> Rolle in der Gesellschaft einnimmt</w:t>
      </w:r>
      <w:r w:rsidRPr="006043EE">
        <w:rPr>
          <w:lang w:val="de-DE"/>
        </w:rPr>
        <w:t xml:space="preserve">. </w:t>
      </w:r>
      <w:r>
        <w:rPr>
          <w:lang w:val="de-DE"/>
        </w:rPr>
        <w:t>Scotts Auflistung der Dichotomie Mann</w:t>
      </w:r>
      <w:r w:rsidR="00B149ED">
        <w:rPr>
          <w:lang w:val="de-DE"/>
        </w:rPr>
        <w:t xml:space="preserve"> vs. </w:t>
      </w:r>
      <w:r>
        <w:rPr>
          <w:lang w:val="de-DE"/>
        </w:rPr>
        <w:t xml:space="preserve">Frau </w:t>
      </w:r>
      <w:r w:rsidR="00131263">
        <w:rPr>
          <w:lang w:val="de-DE"/>
        </w:rPr>
        <w:t>verdeutlicht</w:t>
      </w:r>
      <w:r>
        <w:rPr>
          <w:lang w:val="de-DE"/>
        </w:rPr>
        <w:t xml:space="preserve"> die dama</w:t>
      </w:r>
      <w:r w:rsidR="00131263">
        <w:rPr>
          <w:lang w:val="de-DE"/>
        </w:rPr>
        <w:t>ls</w:t>
      </w:r>
      <w:r>
        <w:rPr>
          <w:lang w:val="de-DE"/>
        </w:rPr>
        <w:t xml:space="preserve"> vorherrschende essentialistische Vorstellung</w:t>
      </w:r>
      <w:r w:rsidR="00131263">
        <w:rPr>
          <w:lang w:val="de-DE"/>
        </w:rPr>
        <w:t xml:space="preserve"> und</w:t>
      </w:r>
      <w:r w:rsidR="00785484">
        <w:rPr>
          <w:lang w:val="de-DE"/>
        </w:rPr>
        <w:t xml:space="preserve"> Exklusion von</w:t>
      </w:r>
      <w:r w:rsidR="00131263">
        <w:rPr>
          <w:lang w:val="de-DE"/>
        </w:rPr>
        <w:t xml:space="preserve"> Frauen aus den Zielen der Französischen Revolution</w:t>
      </w:r>
      <w:r>
        <w:rPr>
          <w:lang w:val="de-DE"/>
        </w:rPr>
        <w:t xml:space="preserve"> (vgl. Scott 1989, S. 4). Wie dies bereits Beauvoir formuliert hat, werden Frauen im Kontrast zu Männern definiert und sichern so die </w:t>
      </w:r>
      <w:r>
        <w:rPr>
          <w:lang w:val="de-DE"/>
        </w:rPr>
        <w:lastRenderedPageBreak/>
        <w:t xml:space="preserve">Existenz der Männer (vgl. ebd.). </w:t>
      </w:r>
      <w:proofErr w:type="spellStart"/>
      <w:r w:rsidRPr="0047085C">
        <w:rPr>
          <w:lang w:val="en-GB"/>
        </w:rPr>
        <w:t>Olympe</w:t>
      </w:r>
      <w:proofErr w:type="spellEnd"/>
      <w:r w:rsidRPr="0047085C">
        <w:rPr>
          <w:lang w:val="en-GB"/>
        </w:rPr>
        <w:t xml:space="preserve"> de Gouges </w:t>
      </w:r>
      <w:r w:rsidR="00131263">
        <w:rPr>
          <w:lang w:val="en-GB"/>
        </w:rPr>
        <w:t xml:space="preserve">hat </w:t>
      </w:r>
      <w:proofErr w:type="spellStart"/>
      <w:r w:rsidRPr="0047085C">
        <w:rPr>
          <w:lang w:val="en-GB"/>
        </w:rPr>
        <w:t>bereits</w:t>
      </w:r>
      <w:proofErr w:type="spellEnd"/>
      <w:r w:rsidRPr="0047085C">
        <w:rPr>
          <w:lang w:val="en-GB"/>
        </w:rPr>
        <w:t xml:space="preserve"> </w:t>
      </w:r>
      <w:proofErr w:type="spellStart"/>
      <w:r w:rsidRPr="0047085C">
        <w:rPr>
          <w:lang w:val="en-GB"/>
        </w:rPr>
        <w:t>zu</w:t>
      </w:r>
      <w:proofErr w:type="spellEnd"/>
      <w:r w:rsidRPr="0047085C">
        <w:rPr>
          <w:lang w:val="en-GB"/>
        </w:rPr>
        <w:t xml:space="preserve"> </w:t>
      </w:r>
      <w:proofErr w:type="spellStart"/>
      <w:r w:rsidRPr="0047085C">
        <w:rPr>
          <w:lang w:val="en-GB"/>
        </w:rPr>
        <w:t>Zeiten</w:t>
      </w:r>
      <w:proofErr w:type="spellEnd"/>
      <w:r w:rsidRPr="0047085C">
        <w:rPr>
          <w:lang w:val="en-GB"/>
        </w:rPr>
        <w:t xml:space="preserve"> der </w:t>
      </w:r>
      <w:proofErr w:type="spellStart"/>
      <w:r w:rsidRPr="0047085C">
        <w:rPr>
          <w:lang w:val="en-GB"/>
        </w:rPr>
        <w:t>Französischen</w:t>
      </w:r>
      <w:proofErr w:type="spellEnd"/>
      <w:r w:rsidRPr="0047085C">
        <w:rPr>
          <w:lang w:val="en-GB"/>
        </w:rPr>
        <w:t xml:space="preserve"> Revolution </w:t>
      </w:r>
      <w:proofErr w:type="spellStart"/>
      <w:r w:rsidRPr="0047085C">
        <w:rPr>
          <w:lang w:val="en-GB"/>
        </w:rPr>
        <w:t>postuliert</w:t>
      </w:r>
      <w:proofErr w:type="spellEnd"/>
      <w:r w:rsidRPr="0047085C">
        <w:rPr>
          <w:lang w:val="en-GB"/>
        </w:rPr>
        <w:t xml:space="preserve">, </w:t>
      </w:r>
      <w:proofErr w:type="spellStart"/>
      <w:r w:rsidRPr="0047085C">
        <w:rPr>
          <w:lang w:val="en-GB"/>
        </w:rPr>
        <w:t>dass</w:t>
      </w:r>
      <w:proofErr w:type="spellEnd"/>
      <w:r w:rsidRPr="0047085C">
        <w:rPr>
          <w:lang w:val="en-GB"/>
        </w:rPr>
        <w:t xml:space="preserve"> „simply adding Woman to the </w:t>
      </w:r>
      <w:r w:rsidRPr="0047085C">
        <w:rPr>
          <w:i/>
          <w:iCs/>
          <w:lang w:val="en-GB"/>
        </w:rPr>
        <w:t>Declaration of the Rights of Man</w:t>
      </w:r>
      <w:r w:rsidRPr="0047085C">
        <w:rPr>
          <w:lang w:val="en-GB"/>
        </w:rPr>
        <w:t xml:space="preserve"> did not suffice at this point” (</w:t>
      </w:r>
      <w:proofErr w:type="spellStart"/>
      <w:r w:rsidRPr="0047085C">
        <w:rPr>
          <w:lang w:val="en-GB"/>
        </w:rPr>
        <w:t>ebd</w:t>
      </w:r>
      <w:proofErr w:type="spellEnd"/>
      <w:r w:rsidRPr="0047085C">
        <w:rPr>
          <w:lang w:val="en-GB"/>
        </w:rPr>
        <w:t xml:space="preserve">., S. 10). </w:t>
      </w:r>
      <w:r>
        <w:rPr>
          <w:lang w:val="de-DE"/>
        </w:rPr>
        <w:t>D</w:t>
      </w:r>
      <w:r w:rsidRPr="00DF1702">
        <w:rPr>
          <w:lang w:val="de-DE"/>
        </w:rPr>
        <w:t>as abstrakte universal</w:t>
      </w:r>
      <w:r>
        <w:rPr>
          <w:lang w:val="de-DE"/>
        </w:rPr>
        <w:t>e</w:t>
      </w:r>
      <w:r w:rsidRPr="00DF1702">
        <w:rPr>
          <w:lang w:val="de-DE"/>
        </w:rPr>
        <w:t xml:space="preserve"> </w:t>
      </w:r>
      <w:r>
        <w:rPr>
          <w:lang w:val="de-DE"/>
        </w:rPr>
        <w:t>Subjekt (welches stark mit dem Mann assoziiert werde)</w:t>
      </w:r>
      <w:r w:rsidRPr="00DF1702">
        <w:rPr>
          <w:lang w:val="de-DE"/>
        </w:rPr>
        <w:t xml:space="preserve"> reiche im Gesetz nicht aus</w:t>
      </w:r>
      <w:r>
        <w:rPr>
          <w:lang w:val="de-DE"/>
        </w:rPr>
        <w:t>, um d</w:t>
      </w:r>
      <w:r w:rsidR="003C7921">
        <w:rPr>
          <w:lang w:val="de-DE"/>
        </w:rPr>
        <w:t>er</w:t>
      </w:r>
      <w:r>
        <w:rPr>
          <w:lang w:val="de-DE"/>
        </w:rPr>
        <w:t xml:space="preserve"> individuelle</w:t>
      </w:r>
      <w:r w:rsidR="003C7921">
        <w:rPr>
          <w:lang w:val="de-DE"/>
        </w:rPr>
        <w:t>n</w:t>
      </w:r>
      <w:r>
        <w:rPr>
          <w:lang w:val="de-DE"/>
        </w:rPr>
        <w:t xml:space="preserve"> Situation von Frauen gerecht zu werden</w:t>
      </w:r>
      <w:r w:rsidRPr="00DF1702">
        <w:rPr>
          <w:lang w:val="de-DE"/>
        </w:rPr>
        <w:t xml:space="preserve"> (z.B. bei Mutterschaft). </w:t>
      </w:r>
      <w:r>
        <w:t xml:space="preserve">Es </w:t>
      </w:r>
      <w:r w:rsidRPr="000F7732">
        <w:t>bräuchte konkrete,</w:t>
      </w:r>
      <w:r>
        <w:t xml:space="preserve"> neue Gesetzgebungen. Im Bezug zur doppelten Vergesellschaftung bedeutet dies, dass auch hier eine Anerkennung der individuellen Schwierigkeiten geschehen müsste, um mit individuellen Lösungen eine Veränderung zu erzielen. </w:t>
      </w:r>
      <w:r w:rsidRPr="0047085C">
        <w:t xml:space="preserve">Hier möchte ich kurz auf die feministische Kritik </w:t>
      </w:r>
      <w:r w:rsidR="0047085C" w:rsidRPr="0047085C">
        <w:t>zum</w:t>
      </w:r>
      <w:r w:rsidRPr="0047085C">
        <w:t xml:space="preserve"> homo oeconomicus verweisen</w:t>
      </w:r>
      <w:r w:rsidR="003C7921">
        <w:t>, weil dieses Konzept für meine Masterarbeit relevant ist</w:t>
      </w:r>
      <w:r w:rsidR="0047085C" w:rsidRPr="0047085C">
        <w:t>. Der homo oeconomicus ist ein Modell aus den Wirtschaftswissenschaften und beschreibt den Idealtypus eines wirtschaftlich denkenden Menschen (vgl. Habermann 2010, S. 153).</w:t>
      </w:r>
      <w:r w:rsidR="0047085C">
        <w:t xml:space="preserve"> </w:t>
      </w:r>
      <w:r w:rsidR="0047085C" w:rsidRPr="0047085C">
        <w:t>In der feministischen Kritik wird diesem Modell vorgeworfen, dass der homo oeconomicus st</w:t>
      </w:r>
      <w:r w:rsidR="0047085C" w:rsidRPr="009B0CE6">
        <w:t xml:space="preserve">ark mit einer männlichen Besetzung assoziiert wird und Frauen deshalb exkludiert werden (vgl. ebd.). Die bereits von Olympe de </w:t>
      </w:r>
      <w:proofErr w:type="spellStart"/>
      <w:r w:rsidR="0047085C" w:rsidRPr="009B0CE6">
        <w:t>Gouges</w:t>
      </w:r>
      <w:proofErr w:type="spellEnd"/>
      <w:r w:rsidR="0047085C" w:rsidRPr="009B0CE6">
        <w:t xml:space="preserve"> aufgeworfene Problematik des Mann</w:t>
      </w:r>
      <w:r w:rsidR="00131263">
        <w:t>es</w:t>
      </w:r>
      <w:r w:rsidR="0047085C" w:rsidRPr="009B0CE6">
        <w:t xml:space="preserve"> als Standard greift somit auch in der Wirtschaft. In Bezug zur Fragestellung bedeutet dies, dass der </w:t>
      </w:r>
      <w:r w:rsidRPr="009B0CE6">
        <w:t>Zugang</w:t>
      </w:r>
      <w:r w:rsidR="0047085C" w:rsidRPr="009B0CE6">
        <w:t xml:space="preserve"> zu einer gleichgestellt anerkennten Erwerbstätigkeit </w:t>
      </w:r>
      <w:r w:rsidR="0047085C" w:rsidRPr="003C7921">
        <w:rPr>
          <w:lang w:val="de-DE"/>
        </w:rPr>
        <w:t xml:space="preserve">nicht nur durch die </w:t>
      </w:r>
      <w:r w:rsidR="009B0CE6" w:rsidRPr="003C7921">
        <w:rPr>
          <w:lang w:val="de-DE"/>
        </w:rPr>
        <w:t>log</w:t>
      </w:r>
      <w:r w:rsidR="00131263" w:rsidRPr="003C7921">
        <w:rPr>
          <w:lang w:val="de-DE"/>
        </w:rPr>
        <w:t>i</w:t>
      </w:r>
      <w:r w:rsidR="009B0CE6" w:rsidRPr="003C7921">
        <w:rPr>
          <w:lang w:val="de-DE"/>
        </w:rPr>
        <w:t xml:space="preserve">stische Schwierigkeit der </w:t>
      </w:r>
      <w:r w:rsidR="0047085C" w:rsidRPr="003C7921">
        <w:rPr>
          <w:lang w:val="de-DE"/>
        </w:rPr>
        <w:t>doppelte</w:t>
      </w:r>
      <w:r w:rsidR="009B0CE6" w:rsidRPr="003C7921">
        <w:rPr>
          <w:lang w:val="de-DE"/>
        </w:rPr>
        <w:t>n Vergesellschaftung</w:t>
      </w:r>
      <w:r w:rsidR="0047085C" w:rsidRPr="003C7921">
        <w:rPr>
          <w:lang w:val="de-DE"/>
        </w:rPr>
        <w:t xml:space="preserve"> aufgrund der Involviertheit </w:t>
      </w:r>
      <w:r w:rsidR="009B0CE6" w:rsidRPr="003C7921">
        <w:rPr>
          <w:lang w:val="de-DE"/>
        </w:rPr>
        <w:t xml:space="preserve">in </w:t>
      </w:r>
      <w:r w:rsidR="0047085C" w:rsidRPr="003C7921">
        <w:rPr>
          <w:lang w:val="de-DE"/>
        </w:rPr>
        <w:t>beide Sphären</w:t>
      </w:r>
      <w:r w:rsidRPr="003C7921">
        <w:rPr>
          <w:lang w:val="de-DE"/>
        </w:rPr>
        <w:t xml:space="preserve"> erschwert </w:t>
      </w:r>
      <w:r w:rsidR="0047085C" w:rsidRPr="003C7921">
        <w:rPr>
          <w:lang w:val="de-DE"/>
        </w:rPr>
        <w:t>wird</w:t>
      </w:r>
      <w:r w:rsidR="009B0CE6" w:rsidRPr="003C7921">
        <w:rPr>
          <w:lang w:val="de-DE"/>
        </w:rPr>
        <w:t xml:space="preserve">, </w:t>
      </w:r>
      <w:r w:rsidRPr="003C7921">
        <w:rPr>
          <w:lang w:val="de-DE"/>
        </w:rPr>
        <w:t>sondern auch eine symbolisch</w:t>
      </w:r>
      <w:r w:rsidR="009B0CE6" w:rsidRPr="003C7921">
        <w:rPr>
          <w:lang w:val="de-DE"/>
        </w:rPr>
        <w:t>e Problematik dahintersteckt</w:t>
      </w:r>
      <w:r w:rsidRPr="003C7921">
        <w:rPr>
          <w:lang w:val="de-DE"/>
        </w:rPr>
        <w:t xml:space="preserve">: Wirtschaften </w:t>
      </w:r>
      <w:r w:rsidR="00131263" w:rsidRPr="003C7921">
        <w:rPr>
          <w:lang w:val="de-DE"/>
        </w:rPr>
        <w:t>wird</w:t>
      </w:r>
      <w:r w:rsidRPr="003C7921">
        <w:rPr>
          <w:lang w:val="de-DE"/>
        </w:rPr>
        <w:t xml:space="preserve"> männlich assoziiert</w:t>
      </w:r>
      <w:r w:rsidR="00131263" w:rsidRPr="003C7921">
        <w:rPr>
          <w:lang w:val="de-DE"/>
        </w:rPr>
        <w:t xml:space="preserve"> und Frauen </w:t>
      </w:r>
      <w:r w:rsidR="003C7921" w:rsidRPr="003C7921">
        <w:rPr>
          <w:lang w:val="de-DE"/>
        </w:rPr>
        <w:t>werden</w:t>
      </w:r>
      <w:r w:rsidR="00131263" w:rsidRPr="003C7921">
        <w:rPr>
          <w:lang w:val="de-DE"/>
        </w:rPr>
        <w:t xml:space="preserve"> nicht mitgedacht, weshalb sie als </w:t>
      </w:r>
      <w:r w:rsidR="003C7921">
        <w:rPr>
          <w:lang w:val="de-DE"/>
        </w:rPr>
        <w:t>‚</w:t>
      </w:r>
      <w:r w:rsidR="00131263" w:rsidRPr="003C7921">
        <w:rPr>
          <w:lang w:val="de-DE"/>
        </w:rPr>
        <w:t>Eindringlinge</w:t>
      </w:r>
      <w:r w:rsidR="003C7921">
        <w:rPr>
          <w:lang w:val="de-DE"/>
        </w:rPr>
        <w:t>‘</w:t>
      </w:r>
      <w:r w:rsidR="00131263" w:rsidRPr="003C7921">
        <w:rPr>
          <w:lang w:val="de-DE"/>
        </w:rPr>
        <w:t xml:space="preserve"> wahrgenommen werden könn</w:t>
      </w:r>
      <w:r w:rsidR="003C7921">
        <w:rPr>
          <w:lang w:val="de-DE"/>
        </w:rPr>
        <w:t>t</w:t>
      </w:r>
      <w:r w:rsidR="00131263" w:rsidRPr="003C7921">
        <w:rPr>
          <w:lang w:val="de-DE"/>
        </w:rPr>
        <w:t>en</w:t>
      </w:r>
      <w:r w:rsidR="003C7921">
        <w:rPr>
          <w:lang w:val="de-DE"/>
        </w:rPr>
        <w:t xml:space="preserve"> (was wiederum die Vorstellung untermauert, dass Frauen den </w:t>
      </w:r>
      <w:proofErr w:type="spellStart"/>
      <w:r w:rsidR="003C7921">
        <w:rPr>
          <w:lang w:val="de-DE"/>
        </w:rPr>
        <w:t>Grossteil</w:t>
      </w:r>
      <w:proofErr w:type="spellEnd"/>
      <w:r w:rsidR="003C7921">
        <w:rPr>
          <w:lang w:val="de-DE"/>
        </w:rPr>
        <w:t xml:space="preserve"> an Care- und Hausarbeit übernehmen sollten und der Mann der </w:t>
      </w:r>
      <w:r w:rsidR="00B149ED">
        <w:rPr>
          <w:lang w:val="de-DE"/>
        </w:rPr>
        <w:t>m</w:t>
      </w:r>
      <w:r w:rsidR="003C7921">
        <w:rPr>
          <w:lang w:val="de-DE"/>
        </w:rPr>
        <w:t>ain-</w:t>
      </w:r>
      <w:proofErr w:type="spellStart"/>
      <w:r w:rsidR="003C7921">
        <w:rPr>
          <w:lang w:val="de-DE"/>
        </w:rPr>
        <w:t>breadwinner</w:t>
      </w:r>
      <w:proofErr w:type="spellEnd"/>
      <w:r w:rsidR="003C7921">
        <w:rPr>
          <w:lang w:val="de-DE"/>
        </w:rPr>
        <w:t xml:space="preserve"> </w:t>
      </w:r>
      <w:r w:rsidR="00B149ED">
        <w:rPr>
          <w:lang w:val="de-DE"/>
        </w:rPr>
        <w:t>bleibt</w:t>
      </w:r>
      <w:r w:rsidR="003C7921">
        <w:rPr>
          <w:lang w:val="de-DE"/>
        </w:rPr>
        <w:t>)</w:t>
      </w:r>
      <w:r w:rsidRPr="003C7921">
        <w:rPr>
          <w:lang w:val="de-DE"/>
        </w:rPr>
        <w:t>.</w:t>
      </w:r>
    </w:p>
    <w:p w14:paraId="713323CD" w14:textId="3F891F3A" w:rsidR="00C13E95" w:rsidRPr="00961C8F" w:rsidRDefault="002B6CC9" w:rsidP="003B3BA0">
      <w:pPr>
        <w:spacing w:line="360" w:lineRule="auto"/>
        <w:jc w:val="both"/>
        <w:rPr>
          <w:rFonts w:cstheme="minorHAnsi"/>
          <w:lang w:val="de-DE"/>
        </w:rPr>
      </w:pPr>
      <w:r w:rsidRPr="002B6CC9">
        <w:t xml:space="preserve">In </w:t>
      </w:r>
      <w:r w:rsidRPr="002B6CC9">
        <w:rPr>
          <w:i/>
          <w:iCs/>
        </w:rPr>
        <w:t>Feminist Family Politics (1999)</w:t>
      </w:r>
      <w:r>
        <w:t xml:space="preserve"> </w:t>
      </w:r>
      <w:r w:rsidRPr="002B6CC9">
        <w:t>lässt sich au</w:t>
      </w:r>
      <w:r>
        <w:t xml:space="preserve">sserdem eine Verbindung zu </w:t>
      </w:r>
      <w:r w:rsidRPr="002B6CC9">
        <w:rPr>
          <w:i/>
          <w:iCs/>
        </w:rPr>
        <w:t xml:space="preserve">The </w:t>
      </w:r>
      <w:proofErr w:type="spellStart"/>
      <w:r w:rsidRPr="002B6CC9">
        <w:rPr>
          <w:i/>
          <w:iCs/>
        </w:rPr>
        <w:t>Mechanization</w:t>
      </w:r>
      <w:proofErr w:type="spellEnd"/>
      <w:r w:rsidRPr="002B6CC9">
        <w:rPr>
          <w:i/>
          <w:iCs/>
        </w:rPr>
        <w:t xml:space="preserve"> </w:t>
      </w:r>
      <w:proofErr w:type="spellStart"/>
      <w:r w:rsidRPr="002B6CC9">
        <w:rPr>
          <w:i/>
          <w:iCs/>
        </w:rPr>
        <w:t>of</w:t>
      </w:r>
      <w:proofErr w:type="spellEnd"/>
      <w:r w:rsidRPr="002B6CC9">
        <w:rPr>
          <w:i/>
          <w:iCs/>
        </w:rPr>
        <w:t xml:space="preserve"> Women’s Work (</w:t>
      </w:r>
      <w:r w:rsidR="00C13E95">
        <w:rPr>
          <w:i/>
          <w:iCs/>
        </w:rPr>
        <w:t>1982</w:t>
      </w:r>
      <w:r w:rsidRPr="002B6CC9">
        <w:rPr>
          <w:i/>
          <w:iCs/>
        </w:rPr>
        <w:t>)</w:t>
      </w:r>
      <w:r>
        <w:t xml:space="preserve"> ausmachen, die ebenfalls spannend ist in dieser Hinsicht. </w:t>
      </w:r>
      <w:r w:rsidR="00BC7F26">
        <w:t xml:space="preserve">Scott schreibt, dass die häuslich-präsente Mutter im Zuge der neuen </w:t>
      </w:r>
      <w:r w:rsidR="00BC7F26" w:rsidRPr="007B1754">
        <w:rPr>
          <w:lang w:val="de-DE"/>
        </w:rPr>
        <w:t xml:space="preserve">mittelklassischen Vorstellung von Familie </w:t>
      </w:r>
      <w:r w:rsidR="003C7921">
        <w:rPr>
          <w:lang w:val="de-DE"/>
        </w:rPr>
        <w:t xml:space="preserve">des </w:t>
      </w:r>
      <w:r w:rsidR="00BC7F26" w:rsidRPr="007B1754">
        <w:rPr>
          <w:lang w:val="de-DE"/>
        </w:rPr>
        <w:t>19. Jahrhundert</w:t>
      </w:r>
      <w:r w:rsidR="003C7921">
        <w:rPr>
          <w:lang w:val="de-DE"/>
        </w:rPr>
        <w:t>s</w:t>
      </w:r>
      <w:r w:rsidR="00BC7F26" w:rsidRPr="007B1754">
        <w:rPr>
          <w:lang w:val="de-DE"/>
        </w:rPr>
        <w:t xml:space="preserve"> ein Zeichen einer ökonomisch sowie emotional stabile</w:t>
      </w:r>
      <w:r w:rsidR="00651BDA">
        <w:rPr>
          <w:lang w:val="de-DE"/>
        </w:rPr>
        <w:t>n</w:t>
      </w:r>
      <w:r w:rsidR="00BC7F26" w:rsidRPr="007B1754">
        <w:rPr>
          <w:lang w:val="de-DE"/>
        </w:rPr>
        <w:t xml:space="preserve"> Familie wurde (vgl. Scott 1999, S. 24)</w:t>
      </w:r>
      <w:r w:rsidR="007B1754" w:rsidRPr="007B1754">
        <w:rPr>
          <w:lang w:val="de-DE"/>
        </w:rPr>
        <w:t xml:space="preserve"> – oder wie Scott in einem anderen Artikel schreibt: </w:t>
      </w:r>
      <w:r w:rsidR="007B1754">
        <w:rPr>
          <w:lang w:val="de-DE"/>
        </w:rPr>
        <w:t>„</w:t>
      </w:r>
      <w:r w:rsidR="007B1754" w:rsidRPr="007B1754">
        <w:rPr>
          <w:lang w:val="de-DE"/>
        </w:rPr>
        <w:t>The well-</w:t>
      </w:r>
      <w:proofErr w:type="spellStart"/>
      <w:r w:rsidR="007B1754" w:rsidRPr="007B1754">
        <w:rPr>
          <w:lang w:val="de-DE"/>
        </w:rPr>
        <w:t>ordered</w:t>
      </w:r>
      <w:proofErr w:type="spellEnd"/>
      <w:r w:rsidR="007B1754" w:rsidRPr="007B1754">
        <w:rPr>
          <w:lang w:val="de-DE"/>
        </w:rPr>
        <w:t xml:space="preserve"> </w:t>
      </w:r>
      <w:proofErr w:type="spellStart"/>
      <w:r w:rsidR="007B1754" w:rsidRPr="007B1754">
        <w:rPr>
          <w:lang w:val="de-DE"/>
        </w:rPr>
        <w:t>family</w:t>
      </w:r>
      <w:proofErr w:type="spellEnd"/>
      <w:r w:rsidR="007B1754" w:rsidRPr="007B1754">
        <w:rPr>
          <w:lang w:val="de-DE"/>
        </w:rPr>
        <w:t xml:space="preserve"> </w:t>
      </w:r>
      <w:proofErr w:type="spellStart"/>
      <w:r w:rsidR="007B1754" w:rsidRPr="007B1754">
        <w:rPr>
          <w:lang w:val="de-DE"/>
        </w:rPr>
        <w:t>as</w:t>
      </w:r>
      <w:proofErr w:type="spellEnd"/>
      <w:r w:rsidR="007B1754" w:rsidRPr="007B1754">
        <w:rPr>
          <w:lang w:val="de-DE"/>
        </w:rPr>
        <w:t xml:space="preserve"> </w:t>
      </w:r>
      <w:proofErr w:type="spellStart"/>
      <w:r w:rsidR="007B1754" w:rsidRPr="007B1754">
        <w:rPr>
          <w:lang w:val="de-DE"/>
        </w:rPr>
        <w:t>the</w:t>
      </w:r>
      <w:proofErr w:type="spellEnd"/>
      <w:r w:rsidR="007B1754" w:rsidRPr="007B1754">
        <w:rPr>
          <w:lang w:val="de-DE"/>
        </w:rPr>
        <w:t xml:space="preserve"> </w:t>
      </w:r>
      <w:proofErr w:type="spellStart"/>
      <w:r w:rsidR="007B1754" w:rsidRPr="007B1754">
        <w:rPr>
          <w:lang w:val="de-DE"/>
        </w:rPr>
        <w:t>foundation</w:t>
      </w:r>
      <w:proofErr w:type="spellEnd"/>
      <w:r w:rsidR="007B1754" w:rsidRPr="007B1754">
        <w:rPr>
          <w:lang w:val="de-DE"/>
        </w:rPr>
        <w:t xml:space="preserve"> </w:t>
      </w:r>
      <w:proofErr w:type="spellStart"/>
      <w:r w:rsidR="007B1754" w:rsidRPr="007B1754">
        <w:rPr>
          <w:lang w:val="de-DE"/>
        </w:rPr>
        <w:t>of</w:t>
      </w:r>
      <w:proofErr w:type="spellEnd"/>
      <w:r w:rsidR="007B1754" w:rsidRPr="007B1754">
        <w:rPr>
          <w:lang w:val="de-DE"/>
        </w:rPr>
        <w:t xml:space="preserve"> </w:t>
      </w:r>
      <w:proofErr w:type="spellStart"/>
      <w:r w:rsidR="007B1754" w:rsidRPr="007B1754">
        <w:rPr>
          <w:lang w:val="de-DE"/>
        </w:rPr>
        <w:t>the</w:t>
      </w:r>
      <w:proofErr w:type="spellEnd"/>
      <w:r w:rsidR="007B1754" w:rsidRPr="007B1754">
        <w:rPr>
          <w:lang w:val="de-DE"/>
        </w:rPr>
        <w:t xml:space="preserve"> well-</w:t>
      </w:r>
      <w:proofErr w:type="spellStart"/>
      <w:r w:rsidR="007B1754" w:rsidRPr="007B1754">
        <w:rPr>
          <w:lang w:val="de-DE"/>
        </w:rPr>
        <w:t>ordered</w:t>
      </w:r>
      <w:proofErr w:type="spellEnd"/>
      <w:r w:rsidR="007B1754" w:rsidRPr="007B1754">
        <w:rPr>
          <w:lang w:val="de-DE"/>
        </w:rPr>
        <w:t xml:space="preserve"> </w:t>
      </w:r>
      <w:proofErr w:type="spellStart"/>
      <w:r w:rsidR="007B1754" w:rsidRPr="007B1754">
        <w:rPr>
          <w:lang w:val="de-DE"/>
        </w:rPr>
        <w:t>state</w:t>
      </w:r>
      <w:proofErr w:type="spellEnd"/>
      <w:r w:rsidR="007B1754">
        <w:rPr>
          <w:lang w:val="de-DE"/>
        </w:rPr>
        <w:t>“</w:t>
      </w:r>
      <w:r w:rsidR="007B1754" w:rsidRPr="007B1754">
        <w:rPr>
          <w:lang w:val="de-DE"/>
        </w:rPr>
        <w:t xml:space="preserve"> (</w:t>
      </w:r>
      <w:r w:rsidR="007B1754">
        <w:rPr>
          <w:lang w:val="de-DE"/>
        </w:rPr>
        <w:t xml:space="preserve">Scott 1986, </w:t>
      </w:r>
      <w:r w:rsidR="007B1754" w:rsidRPr="007B1754">
        <w:rPr>
          <w:lang w:val="de-DE"/>
        </w:rPr>
        <w:t>S. 1071)</w:t>
      </w:r>
      <w:r w:rsidR="00BC7F26" w:rsidRPr="007B1754">
        <w:rPr>
          <w:lang w:val="de-DE"/>
        </w:rPr>
        <w:t xml:space="preserve">. Es sei zu diesem Zeitpunkt gewesen, dass Reproduktionsarbeit, die zuvor auf unterschiedliche professionelle Personen aufgeteilt wurde, nun </w:t>
      </w:r>
      <w:r w:rsidR="00B149ED">
        <w:rPr>
          <w:lang w:val="de-DE"/>
        </w:rPr>
        <w:t>unter den</w:t>
      </w:r>
      <w:r w:rsidR="00651BDA">
        <w:rPr>
          <w:lang w:val="de-DE"/>
        </w:rPr>
        <w:t xml:space="preserve"> </w:t>
      </w:r>
      <w:r w:rsidR="00BC7F26" w:rsidRPr="007B1754">
        <w:rPr>
          <w:lang w:val="de-DE"/>
        </w:rPr>
        <w:t xml:space="preserve">Arbeitsbereich einer einzigen Person subsumiert wurde (vgl. </w:t>
      </w:r>
      <w:r w:rsidR="006367AC">
        <w:rPr>
          <w:lang w:val="de-DE"/>
        </w:rPr>
        <w:t>Scott 1999, S. 24</w:t>
      </w:r>
      <w:r w:rsidR="00BC7F26" w:rsidRPr="007B1754">
        <w:rPr>
          <w:lang w:val="de-DE"/>
        </w:rPr>
        <w:t>).</w:t>
      </w:r>
      <w:r w:rsidR="00C13E95" w:rsidRPr="007B1754">
        <w:rPr>
          <w:lang w:val="de-DE"/>
        </w:rPr>
        <w:t xml:space="preserve"> Die Verbindung zu </w:t>
      </w:r>
      <w:r w:rsidR="00C13E95" w:rsidRPr="007B1754">
        <w:rPr>
          <w:i/>
          <w:iCs/>
          <w:lang w:val="de-DE"/>
        </w:rPr>
        <w:t xml:space="preserve">The </w:t>
      </w:r>
      <w:proofErr w:type="spellStart"/>
      <w:r w:rsidR="00C13E95" w:rsidRPr="007B1754">
        <w:rPr>
          <w:i/>
          <w:iCs/>
          <w:lang w:val="de-DE"/>
        </w:rPr>
        <w:t>Mechanization</w:t>
      </w:r>
      <w:proofErr w:type="spellEnd"/>
      <w:r w:rsidR="00C13E95" w:rsidRPr="007B1754">
        <w:rPr>
          <w:i/>
          <w:iCs/>
          <w:lang w:val="de-DE"/>
        </w:rPr>
        <w:t xml:space="preserve"> </w:t>
      </w:r>
      <w:proofErr w:type="spellStart"/>
      <w:r w:rsidR="00C13E95" w:rsidRPr="007B1754">
        <w:rPr>
          <w:i/>
          <w:iCs/>
          <w:lang w:val="de-DE"/>
        </w:rPr>
        <w:t>of</w:t>
      </w:r>
      <w:proofErr w:type="spellEnd"/>
      <w:r w:rsidR="00C13E95" w:rsidRPr="007B1754">
        <w:rPr>
          <w:i/>
          <w:iCs/>
          <w:lang w:val="de-DE"/>
        </w:rPr>
        <w:t xml:space="preserve"> Women’s Work (1982)</w:t>
      </w:r>
      <w:r w:rsidR="00C13E95" w:rsidRPr="007B1754">
        <w:rPr>
          <w:rFonts w:cstheme="minorHAnsi"/>
          <w:lang w:val="de-DE"/>
        </w:rPr>
        <w:t xml:space="preserve"> </w:t>
      </w:r>
      <w:r w:rsidR="00961C8F" w:rsidRPr="007B1754">
        <w:rPr>
          <w:rFonts w:cstheme="minorHAnsi"/>
          <w:lang w:val="de-DE"/>
        </w:rPr>
        <w:t xml:space="preserve">ist in dieser Hinsicht zu finden, dass bereits zu diesem Zeitpunkt Idealvorstellungen </w:t>
      </w:r>
      <w:r w:rsidR="003C7921">
        <w:rPr>
          <w:rFonts w:cstheme="minorHAnsi"/>
          <w:lang w:val="de-DE"/>
        </w:rPr>
        <w:t>des</w:t>
      </w:r>
      <w:r w:rsidR="00961C8F" w:rsidRPr="007B1754">
        <w:rPr>
          <w:rFonts w:cstheme="minorHAnsi"/>
          <w:lang w:val="de-DE"/>
        </w:rPr>
        <w:t xml:space="preserve"> Muttersein</w:t>
      </w:r>
      <w:r w:rsidR="003C7921">
        <w:rPr>
          <w:rFonts w:cstheme="minorHAnsi"/>
          <w:lang w:val="de-DE"/>
        </w:rPr>
        <w:t>s</w:t>
      </w:r>
      <w:r w:rsidR="00961C8F" w:rsidRPr="007B1754">
        <w:rPr>
          <w:rFonts w:cstheme="minorHAnsi"/>
          <w:lang w:val="de-DE"/>
        </w:rPr>
        <w:t xml:space="preserve"> vorherrschten. Mit der </w:t>
      </w:r>
      <w:r w:rsidR="00C13E95" w:rsidRPr="007B1754">
        <w:rPr>
          <w:rFonts w:cstheme="minorHAnsi"/>
          <w:lang w:val="de-DE"/>
        </w:rPr>
        <w:t>Mechanisierung der privaten Sphäre</w:t>
      </w:r>
      <w:r w:rsidR="00651BDA">
        <w:rPr>
          <w:rFonts w:cstheme="minorHAnsi"/>
          <w:lang w:val="de-DE"/>
        </w:rPr>
        <w:t xml:space="preserve"> im 20. Jahrhundert</w:t>
      </w:r>
      <w:r w:rsidR="00C13E95" w:rsidRPr="007B1754">
        <w:rPr>
          <w:rFonts w:cstheme="minorHAnsi"/>
          <w:lang w:val="de-DE"/>
        </w:rPr>
        <w:t xml:space="preserve">, also </w:t>
      </w:r>
      <w:r w:rsidR="00651BDA">
        <w:rPr>
          <w:rFonts w:cstheme="minorHAnsi"/>
          <w:lang w:val="de-DE"/>
        </w:rPr>
        <w:t xml:space="preserve">als eine </w:t>
      </w:r>
      <w:r w:rsidR="006367AC">
        <w:rPr>
          <w:rFonts w:cstheme="minorHAnsi"/>
          <w:lang w:val="de-DE"/>
        </w:rPr>
        <w:t xml:space="preserve">kommerzielle </w:t>
      </w:r>
      <w:r w:rsidR="00C13E95" w:rsidRPr="007B1754">
        <w:rPr>
          <w:rFonts w:cstheme="minorHAnsi"/>
          <w:lang w:val="de-DE"/>
        </w:rPr>
        <w:t>Verbreitung von Haushaltsgeräten</w:t>
      </w:r>
      <w:r w:rsidR="00651BDA">
        <w:rPr>
          <w:rFonts w:cstheme="minorHAnsi"/>
          <w:lang w:val="de-DE"/>
        </w:rPr>
        <w:t xml:space="preserve"> stattfand</w:t>
      </w:r>
      <w:r w:rsidR="00C13E95" w:rsidRPr="007B1754">
        <w:rPr>
          <w:rFonts w:cstheme="minorHAnsi"/>
          <w:lang w:val="de-DE"/>
        </w:rPr>
        <w:t xml:space="preserve">, </w:t>
      </w:r>
      <w:r w:rsidR="00961C8F" w:rsidRPr="007B1754">
        <w:rPr>
          <w:rFonts w:cstheme="minorHAnsi"/>
          <w:lang w:val="de-DE"/>
        </w:rPr>
        <w:t>verschärfte sich dieses Mutterbild noch</w:t>
      </w:r>
      <w:r w:rsidR="003C7921">
        <w:rPr>
          <w:rFonts w:cstheme="minorHAnsi"/>
          <w:lang w:val="de-DE"/>
        </w:rPr>
        <w:t xml:space="preserve"> zusätzlich</w:t>
      </w:r>
      <w:r w:rsidR="00C13E95" w:rsidRPr="007B1754">
        <w:rPr>
          <w:rFonts w:cstheme="minorHAnsi"/>
          <w:lang w:val="de-DE"/>
        </w:rPr>
        <w:t xml:space="preserve"> (vgl. ebd., S. 182). </w:t>
      </w:r>
      <w:r w:rsidR="00961C8F" w:rsidRPr="007B1754">
        <w:rPr>
          <w:rFonts w:cstheme="minorHAnsi"/>
          <w:lang w:val="de-DE"/>
        </w:rPr>
        <w:t xml:space="preserve">Anstatt die Quantität von Hausarbeit mit Hilfe der Haushaltsgeräte zu reduzieren, verfestigte sich die Vorstellung, dass Frauen „Expertinnen für die psychologische, körperlichen und schulischen </w:t>
      </w:r>
      <w:r w:rsidR="00961C8F" w:rsidRPr="007B1754">
        <w:rPr>
          <w:rFonts w:cstheme="minorHAnsi"/>
          <w:lang w:val="de-DE"/>
        </w:rPr>
        <w:lastRenderedPageBreak/>
        <w:t xml:space="preserve">Entwicklung ihrer Kinder“ (Scott 1982, S. 182, Übersetzung von O.F.C.) verantwortlich waren. </w:t>
      </w:r>
      <w:r w:rsidR="00C13E95" w:rsidRPr="007B1754">
        <w:rPr>
          <w:rFonts w:cstheme="minorHAnsi"/>
          <w:lang w:val="de-DE"/>
        </w:rPr>
        <w:t xml:space="preserve">Dies erinnerte mich stark an Textors Definition der ‚Supermutter‘ </w:t>
      </w:r>
      <w:r w:rsidR="00961C8F" w:rsidRPr="007B1754">
        <w:rPr>
          <w:rFonts w:cstheme="minorHAnsi"/>
          <w:lang w:val="de-DE"/>
        </w:rPr>
        <w:t xml:space="preserve">bei welchem erwartet wird, dass die Frau den perfekten Spagat schafft zwischen </w:t>
      </w:r>
      <w:r w:rsidR="003427E7" w:rsidRPr="007B1754">
        <w:rPr>
          <w:rFonts w:cstheme="minorHAnsi"/>
          <w:lang w:val="de-DE"/>
        </w:rPr>
        <w:t>einwandfreie</w:t>
      </w:r>
      <w:r w:rsidR="006367AC">
        <w:rPr>
          <w:rFonts w:cstheme="minorHAnsi"/>
          <w:lang w:val="de-DE"/>
        </w:rPr>
        <w:t>r</w:t>
      </w:r>
      <w:r w:rsidR="003427E7" w:rsidRPr="007B1754">
        <w:rPr>
          <w:rFonts w:cstheme="minorHAnsi"/>
          <w:lang w:val="de-DE"/>
        </w:rPr>
        <w:t xml:space="preserve"> </w:t>
      </w:r>
      <w:r w:rsidR="00961C8F" w:rsidRPr="007B1754">
        <w:rPr>
          <w:rFonts w:cstheme="minorHAnsi"/>
          <w:lang w:val="de-DE"/>
        </w:rPr>
        <w:t>Kindererziehung, blitzblankem Haushalt und erfolgreiche</w:t>
      </w:r>
      <w:r w:rsidR="003427E7" w:rsidRPr="007B1754">
        <w:rPr>
          <w:rFonts w:cstheme="minorHAnsi"/>
          <w:lang w:val="de-DE"/>
        </w:rPr>
        <w:t>r</w:t>
      </w:r>
      <w:r w:rsidR="00961C8F" w:rsidRPr="007B1754">
        <w:rPr>
          <w:rFonts w:cstheme="minorHAnsi"/>
          <w:lang w:val="de-DE"/>
        </w:rPr>
        <w:t xml:space="preserve"> Karriere </w:t>
      </w:r>
      <w:r w:rsidR="00C13E95" w:rsidRPr="007B1754">
        <w:rPr>
          <w:rFonts w:cstheme="minorHAnsi"/>
          <w:lang w:val="de-DE"/>
        </w:rPr>
        <w:t>(</w:t>
      </w:r>
      <w:r w:rsidR="00961C8F" w:rsidRPr="007B1754">
        <w:rPr>
          <w:rFonts w:cstheme="minorHAnsi"/>
          <w:lang w:val="de-DE"/>
        </w:rPr>
        <w:t xml:space="preserve">vgl. </w:t>
      </w:r>
      <w:r w:rsidR="00C13E95" w:rsidRPr="007B1754">
        <w:rPr>
          <w:rFonts w:cstheme="minorHAnsi"/>
          <w:lang w:val="de-DE"/>
        </w:rPr>
        <w:t xml:space="preserve">Textor </w:t>
      </w:r>
      <w:r w:rsidR="003427E7" w:rsidRPr="007B1754">
        <w:rPr>
          <w:rFonts w:cstheme="minorHAnsi"/>
          <w:lang w:val="de-DE"/>
        </w:rPr>
        <w:t>2001</w:t>
      </w:r>
      <w:r w:rsidR="00C13E95" w:rsidRPr="007B1754">
        <w:rPr>
          <w:rFonts w:cstheme="minorHAnsi"/>
          <w:lang w:val="de-DE"/>
        </w:rPr>
        <w:t>)</w:t>
      </w:r>
      <w:r w:rsidR="003427E7" w:rsidRPr="007B1754">
        <w:rPr>
          <w:rFonts w:cstheme="minorHAnsi"/>
          <w:lang w:val="de-DE"/>
        </w:rPr>
        <w:t>.</w:t>
      </w:r>
      <w:r w:rsidR="0005192B" w:rsidRPr="007B1754">
        <w:rPr>
          <w:rFonts w:cstheme="minorHAnsi"/>
          <w:lang w:val="de-DE"/>
        </w:rPr>
        <w:t xml:space="preserve"> Wie Textor dies </w:t>
      </w:r>
      <w:r w:rsidR="00B149ED">
        <w:rPr>
          <w:rFonts w:cstheme="minorHAnsi"/>
          <w:lang w:val="de-DE"/>
        </w:rPr>
        <w:t xml:space="preserve">ebenfalls </w:t>
      </w:r>
      <w:r w:rsidR="0005192B" w:rsidRPr="007B1754">
        <w:rPr>
          <w:rFonts w:cstheme="minorHAnsi"/>
          <w:lang w:val="de-DE"/>
        </w:rPr>
        <w:t xml:space="preserve">betont, </w:t>
      </w:r>
      <w:r w:rsidR="0047085C">
        <w:rPr>
          <w:rFonts w:cstheme="minorHAnsi"/>
          <w:lang w:val="de-DE"/>
        </w:rPr>
        <w:t>sind diese gesellschaftlichen Erwartungen</w:t>
      </w:r>
      <w:r w:rsidR="0005192B" w:rsidRPr="007B1754">
        <w:rPr>
          <w:rFonts w:cstheme="minorHAnsi"/>
          <w:lang w:val="de-DE"/>
        </w:rPr>
        <w:t xml:space="preserve"> offensichtlich mit einer </w:t>
      </w:r>
      <w:proofErr w:type="spellStart"/>
      <w:r w:rsidR="0005192B" w:rsidRPr="007B1754">
        <w:rPr>
          <w:rFonts w:cstheme="minorHAnsi"/>
          <w:lang w:val="de-DE"/>
        </w:rPr>
        <w:t>grossen</w:t>
      </w:r>
      <w:proofErr w:type="spellEnd"/>
      <w:r w:rsidR="0005192B" w:rsidRPr="007B1754">
        <w:rPr>
          <w:rFonts w:cstheme="minorHAnsi"/>
          <w:lang w:val="de-DE"/>
        </w:rPr>
        <w:t xml:space="preserve"> Doppelbelastung verbunden und zeigt auf, welche</w:t>
      </w:r>
      <w:r w:rsidR="0005192B">
        <w:rPr>
          <w:rFonts w:cstheme="minorHAnsi"/>
          <w:lang w:val="de-DE"/>
        </w:rPr>
        <w:t xml:space="preserve"> normativen Vorstellungen von Muttersein mit dem Konzept der doppelten Vergesellschaftung verbunden sind</w:t>
      </w:r>
      <w:r w:rsidR="00BC380C">
        <w:rPr>
          <w:rFonts w:cstheme="minorHAnsi"/>
          <w:lang w:val="de-DE"/>
        </w:rPr>
        <w:t xml:space="preserve">. </w:t>
      </w:r>
    </w:p>
    <w:p w14:paraId="532D8A8D" w14:textId="6A523C75" w:rsidR="00C86E95" w:rsidRPr="00201D1C" w:rsidRDefault="00141B87" w:rsidP="00992BE4">
      <w:pPr>
        <w:spacing w:line="360" w:lineRule="auto"/>
        <w:jc w:val="both"/>
        <w:rPr>
          <w:lang w:val="de-DE"/>
        </w:rPr>
      </w:pPr>
      <w:r>
        <w:rPr>
          <w:lang w:val="de-DE"/>
        </w:rPr>
        <w:t xml:space="preserve">Aus Scotts Texten habe ich viel für meine Masterarbeit gelernt. </w:t>
      </w:r>
      <w:r w:rsidR="004115C7">
        <w:rPr>
          <w:lang w:val="de-DE"/>
        </w:rPr>
        <w:t>Es war spannend, mich mit dem</w:t>
      </w:r>
      <w:r>
        <w:rPr>
          <w:lang w:val="de-DE"/>
        </w:rPr>
        <w:t xml:space="preserve"> </w:t>
      </w:r>
      <w:r w:rsidR="004115C7">
        <w:rPr>
          <w:lang w:val="de-DE"/>
        </w:rPr>
        <w:t>U</w:t>
      </w:r>
      <w:r>
        <w:rPr>
          <w:lang w:val="de-DE"/>
        </w:rPr>
        <w:t>rsprung geschlecht</w:t>
      </w:r>
      <w:r w:rsidR="00B149ED">
        <w:rPr>
          <w:lang w:val="de-DE"/>
        </w:rPr>
        <w:t>s</w:t>
      </w:r>
      <w:r>
        <w:rPr>
          <w:lang w:val="de-DE"/>
        </w:rPr>
        <w:t>spezifischer Arbeit und der Sphärentrennung</w:t>
      </w:r>
      <w:r w:rsidR="004115C7">
        <w:rPr>
          <w:lang w:val="de-DE"/>
        </w:rPr>
        <w:t xml:space="preserve"> zu beschäftigen und zu erkennen, dass die doppelte Vergesellschaftung</w:t>
      </w:r>
      <w:r w:rsidR="003C7921">
        <w:rPr>
          <w:lang w:val="de-DE"/>
        </w:rPr>
        <w:t xml:space="preserve"> und die damit verbundene Doppelbelastung</w:t>
      </w:r>
      <w:r w:rsidR="004115C7">
        <w:rPr>
          <w:lang w:val="de-DE"/>
        </w:rPr>
        <w:t xml:space="preserve"> kein neues Phänomen ist. Insbesondere fand ich es aufschlussreich, Scotts Überlegungen mit Theorien </w:t>
      </w:r>
      <w:proofErr w:type="gramStart"/>
      <w:r w:rsidR="004115C7">
        <w:rPr>
          <w:lang w:val="de-DE"/>
        </w:rPr>
        <w:t>von anderen Autor</w:t>
      </w:r>
      <w:proofErr w:type="gramEnd"/>
      <w:r w:rsidR="004115C7">
        <w:rPr>
          <w:lang w:val="de-DE"/>
        </w:rPr>
        <w:t>*innen zu verbinden</w:t>
      </w:r>
      <w:r>
        <w:rPr>
          <w:lang w:val="de-DE"/>
        </w:rPr>
        <w:t xml:space="preserve">. </w:t>
      </w:r>
      <w:r w:rsidR="00992BE4">
        <w:rPr>
          <w:lang w:val="de-DE"/>
        </w:rPr>
        <w:t xml:space="preserve">Dabei fand ich es sehr </w:t>
      </w:r>
      <w:r w:rsidR="00C761EF">
        <w:rPr>
          <w:lang w:val="de-DE"/>
        </w:rPr>
        <w:t>gewinnbringend</w:t>
      </w:r>
      <w:r w:rsidR="00992BE4">
        <w:rPr>
          <w:lang w:val="de-DE"/>
        </w:rPr>
        <w:t xml:space="preserve">, vertieft über den Mangel an sozialer Anerkennung der weiblichen Erwerbsarbeit, sowie der unbezahlten Haus- resp. </w:t>
      </w:r>
      <w:proofErr w:type="spellStart"/>
      <w:r w:rsidR="00992BE4">
        <w:rPr>
          <w:lang w:val="de-DE"/>
        </w:rPr>
        <w:t>Carearbeit</w:t>
      </w:r>
      <w:proofErr w:type="spellEnd"/>
      <w:r w:rsidR="00992BE4">
        <w:rPr>
          <w:lang w:val="de-DE"/>
        </w:rPr>
        <w:t xml:space="preserve"> zu denken. </w:t>
      </w:r>
      <w:r w:rsidR="0077231F">
        <w:rPr>
          <w:lang w:val="de-DE"/>
        </w:rPr>
        <w:t xml:space="preserve">Ich eignete mir eine wertvolle geschichtliche Perspektive zur weiblichen Erwerbsarbeit an, die es mir erlaubt, zeitgenössische Debatten zur Vereinbarkeit von Familie und Beruf zu kontextualisieren.  </w:t>
      </w:r>
      <w:r w:rsidR="00C86E95">
        <w:rPr>
          <w:lang w:val="de-DE"/>
        </w:rPr>
        <w:t xml:space="preserve">Was ich hier jedoch noch ergänzen möchte ist der Lernfaktor, den ich dank Scott in Bezug zur Historisierung und Kontextualisierung hatte. Oben habe ich ausführlich Scotts Erkenntnisse zur </w:t>
      </w:r>
      <w:r w:rsidR="00C86E95" w:rsidRPr="005A0033">
        <w:rPr>
          <w:lang w:val="de-DE"/>
        </w:rPr>
        <w:t>gesellschaftlichen Situation von jungen</w:t>
      </w:r>
      <w:r w:rsidR="00B149ED">
        <w:rPr>
          <w:lang w:val="de-DE"/>
        </w:rPr>
        <w:t>, unverheirateten</w:t>
      </w:r>
      <w:r w:rsidR="00C86E95" w:rsidRPr="005A0033">
        <w:rPr>
          <w:lang w:val="de-DE"/>
        </w:rPr>
        <w:t xml:space="preserve"> Frauen im 19. Jahrhundert diskutiert. Was jedoch wichtig ist: </w:t>
      </w:r>
      <w:r w:rsidR="00C86E95" w:rsidRPr="005A0033">
        <w:rPr>
          <w:rFonts w:cstheme="minorHAnsi"/>
          <w:lang w:val="de-DE"/>
        </w:rPr>
        <w:t xml:space="preserve">Die Frauen haben dies aus familiärer Solidarität gemacht (vgl. Scott &amp; Tilly 1975, S. 54). Es war eine andere </w:t>
      </w:r>
      <w:proofErr w:type="spellStart"/>
      <w:r w:rsidR="00C86E95" w:rsidRPr="005A0033">
        <w:rPr>
          <w:rFonts w:cstheme="minorHAnsi"/>
          <w:lang w:val="de-DE"/>
        </w:rPr>
        <w:t>historical</w:t>
      </w:r>
      <w:proofErr w:type="spellEnd"/>
      <w:r w:rsidR="00C86E95" w:rsidRPr="005A0033">
        <w:rPr>
          <w:rFonts w:cstheme="minorHAnsi"/>
          <w:lang w:val="de-DE"/>
        </w:rPr>
        <w:t xml:space="preserve"> </w:t>
      </w:r>
      <w:proofErr w:type="spellStart"/>
      <w:r w:rsidR="00C86E95" w:rsidRPr="005A0033">
        <w:rPr>
          <w:rFonts w:cstheme="minorHAnsi"/>
          <w:lang w:val="de-DE"/>
        </w:rPr>
        <w:t>experience</w:t>
      </w:r>
      <w:proofErr w:type="spellEnd"/>
      <w:r w:rsidR="00C86E95" w:rsidRPr="005A0033">
        <w:rPr>
          <w:rFonts w:cstheme="minorHAnsi"/>
          <w:lang w:val="de-DE"/>
        </w:rPr>
        <w:t>, denn die Vorstellungen eines glücklichen</w:t>
      </w:r>
      <w:r w:rsidR="005A0033" w:rsidRPr="005A0033">
        <w:rPr>
          <w:rFonts w:cstheme="minorHAnsi"/>
          <w:lang w:val="de-DE"/>
        </w:rPr>
        <w:t xml:space="preserve"> und</w:t>
      </w:r>
      <w:r w:rsidR="00C86E95" w:rsidRPr="005A0033">
        <w:rPr>
          <w:rFonts w:cstheme="minorHAnsi"/>
          <w:lang w:val="de-DE"/>
        </w:rPr>
        <w:t xml:space="preserve"> erfüllten Lebens</w:t>
      </w:r>
      <w:r w:rsidR="005A0033" w:rsidRPr="005A0033">
        <w:rPr>
          <w:rFonts w:cstheme="minorHAnsi"/>
          <w:lang w:val="de-DE"/>
        </w:rPr>
        <w:t xml:space="preserve"> </w:t>
      </w:r>
      <w:r w:rsidR="0077231F">
        <w:rPr>
          <w:rFonts w:cstheme="minorHAnsi"/>
          <w:lang w:val="de-DE"/>
        </w:rPr>
        <w:t xml:space="preserve">waren damals vielleicht </w:t>
      </w:r>
      <w:r w:rsidR="005A0033" w:rsidRPr="005A0033">
        <w:rPr>
          <w:rFonts w:cstheme="minorHAnsi"/>
          <w:lang w:val="de-DE"/>
        </w:rPr>
        <w:t>nicht dieselben wie heute.</w:t>
      </w:r>
      <w:r w:rsidR="00C86E95" w:rsidRPr="005A0033">
        <w:rPr>
          <w:rFonts w:cstheme="minorHAnsi"/>
          <w:lang w:val="de-DE"/>
        </w:rPr>
        <w:t xml:space="preserve"> </w:t>
      </w:r>
      <w:r w:rsidR="005A0033" w:rsidRPr="005A0033">
        <w:rPr>
          <w:rFonts w:cstheme="minorHAnsi"/>
          <w:lang w:val="de-DE"/>
        </w:rPr>
        <w:t>Folglich</w:t>
      </w:r>
      <w:r w:rsidR="00C86E95" w:rsidRPr="005A0033">
        <w:rPr>
          <w:rFonts w:cstheme="minorHAnsi"/>
          <w:lang w:val="de-DE"/>
        </w:rPr>
        <w:t xml:space="preserve"> </w:t>
      </w:r>
      <w:r w:rsidR="0077231F">
        <w:rPr>
          <w:rFonts w:cstheme="minorHAnsi"/>
          <w:lang w:val="de-DE"/>
        </w:rPr>
        <w:t>habe ich gelernt,</w:t>
      </w:r>
      <w:r w:rsidR="005A0033" w:rsidRPr="005A0033">
        <w:rPr>
          <w:rFonts w:cstheme="minorHAnsi"/>
          <w:lang w:val="de-DE"/>
        </w:rPr>
        <w:t xml:space="preserve"> </w:t>
      </w:r>
      <w:r w:rsidR="00C86E95" w:rsidRPr="005A0033">
        <w:rPr>
          <w:rFonts w:cstheme="minorHAnsi"/>
          <w:lang w:val="de-DE"/>
        </w:rPr>
        <w:t xml:space="preserve">sensibel dafür </w:t>
      </w:r>
      <w:r w:rsidR="0077231F">
        <w:rPr>
          <w:rFonts w:cstheme="minorHAnsi"/>
          <w:lang w:val="de-DE"/>
        </w:rPr>
        <w:t xml:space="preserve">zu </w:t>
      </w:r>
      <w:r w:rsidR="00C86E95" w:rsidRPr="005A0033">
        <w:rPr>
          <w:rFonts w:cstheme="minorHAnsi"/>
          <w:lang w:val="de-DE"/>
        </w:rPr>
        <w:t xml:space="preserve">sein, dass </w:t>
      </w:r>
      <w:r w:rsidR="00B149ED">
        <w:rPr>
          <w:rFonts w:cstheme="minorHAnsi"/>
          <w:lang w:val="de-DE"/>
        </w:rPr>
        <w:t xml:space="preserve">ich </w:t>
      </w:r>
      <w:r w:rsidR="005A0033" w:rsidRPr="005A0033">
        <w:rPr>
          <w:rFonts w:cstheme="minorHAnsi"/>
          <w:lang w:val="de-DE"/>
        </w:rPr>
        <w:t>keine kurzschlüssigen Schlussfolgerungen</w:t>
      </w:r>
      <w:r w:rsidR="00C86E95" w:rsidRPr="005A0033">
        <w:rPr>
          <w:rFonts w:cstheme="minorHAnsi"/>
          <w:lang w:val="de-DE"/>
        </w:rPr>
        <w:t xml:space="preserve"> auf andere historische Zeiten </w:t>
      </w:r>
      <w:r w:rsidR="00B149ED">
        <w:rPr>
          <w:rFonts w:cstheme="minorHAnsi"/>
          <w:lang w:val="de-DE"/>
        </w:rPr>
        <w:t>mache</w:t>
      </w:r>
      <w:r w:rsidR="00C86E95" w:rsidRPr="005A0033">
        <w:rPr>
          <w:rFonts w:cstheme="minorHAnsi"/>
          <w:lang w:val="de-DE"/>
        </w:rPr>
        <w:t>. Dies gilt auch für den zeitgenössischen Kulturvergleich</w:t>
      </w:r>
      <w:r w:rsidR="005A0033" w:rsidRPr="005A0033">
        <w:rPr>
          <w:rFonts w:cstheme="minorHAnsi"/>
          <w:lang w:val="de-DE"/>
        </w:rPr>
        <w:t xml:space="preserve"> oder in gegenwärtigen</w:t>
      </w:r>
      <w:r w:rsidR="00C86E95" w:rsidRPr="005A0033">
        <w:rPr>
          <w:rFonts w:cstheme="minorHAnsi"/>
          <w:lang w:val="de-DE"/>
        </w:rPr>
        <w:t xml:space="preserve"> Debatten </w:t>
      </w:r>
      <w:r w:rsidR="0077231F">
        <w:rPr>
          <w:rFonts w:cstheme="minorHAnsi"/>
          <w:lang w:val="de-DE"/>
        </w:rPr>
        <w:t>über</w:t>
      </w:r>
      <w:r w:rsidR="00C86E95" w:rsidRPr="005A0033">
        <w:rPr>
          <w:rFonts w:cstheme="minorHAnsi"/>
          <w:lang w:val="de-DE"/>
        </w:rPr>
        <w:t xml:space="preserve"> die doppelte Vergesellschaftung der Frau</w:t>
      </w:r>
      <w:r w:rsidR="005A0033" w:rsidRPr="005A0033">
        <w:rPr>
          <w:rFonts w:cstheme="minorHAnsi"/>
          <w:lang w:val="de-DE"/>
        </w:rPr>
        <w:t>.</w:t>
      </w:r>
      <w:r w:rsidR="005A0033">
        <w:rPr>
          <w:rFonts w:cstheme="minorHAnsi"/>
          <w:lang w:val="de-DE"/>
        </w:rPr>
        <w:t xml:space="preserve"> Denn wie Scott schreib</w:t>
      </w:r>
      <w:r w:rsidR="001F578F">
        <w:rPr>
          <w:rFonts w:cstheme="minorHAnsi"/>
          <w:lang w:val="de-DE"/>
        </w:rPr>
        <w:t>t, muss auf die individuelle Situation von Frauen eingegangen werden (</w:t>
      </w:r>
      <w:r w:rsidR="0077231F">
        <w:rPr>
          <w:rFonts w:cstheme="minorHAnsi"/>
          <w:lang w:val="de-DE"/>
        </w:rPr>
        <w:t xml:space="preserve">vgl. </w:t>
      </w:r>
      <w:r w:rsidR="001F578F">
        <w:rPr>
          <w:lang w:val="de-DE"/>
        </w:rPr>
        <w:t>Scott 1989</w:t>
      </w:r>
      <w:r w:rsidR="001F578F" w:rsidRPr="001F578F">
        <w:t>, S. 10</w:t>
      </w:r>
      <w:r w:rsidR="001F578F">
        <w:t xml:space="preserve">) </w:t>
      </w:r>
      <w:r w:rsidR="001F578F">
        <w:rPr>
          <w:rFonts w:cstheme="minorHAnsi"/>
          <w:lang w:val="de-DE"/>
        </w:rPr>
        <w:t>– nicht nur als Kollektiv, sondern jeder einzelnen Frau</w:t>
      </w:r>
      <w:r w:rsidR="004D05A8">
        <w:rPr>
          <w:rFonts w:cstheme="minorHAnsi"/>
          <w:lang w:val="de-DE"/>
        </w:rPr>
        <w:t>.</w:t>
      </w:r>
    </w:p>
    <w:p w14:paraId="6BE7178C" w14:textId="1B7F4428" w:rsidR="00197357" w:rsidRDefault="00197357" w:rsidP="00141B87">
      <w:pPr>
        <w:jc w:val="both"/>
        <w:rPr>
          <w:lang w:val="de-DE"/>
        </w:rPr>
      </w:pPr>
    </w:p>
    <w:p w14:paraId="7C667464" w14:textId="7768816C" w:rsidR="00197357" w:rsidRPr="006043EE" w:rsidRDefault="00197357" w:rsidP="00141B87">
      <w:pPr>
        <w:jc w:val="both"/>
        <w:rPr>
          <w:lang w:val="de-DE"/>
        </w:rPr>
      </w:pP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sidR="003E49CF">
        <w:rPr>
          <w:lang w:val="de-DE"/>
        </w:rPr>
        <w:tab/>
        <w:t>[24</w:t>
      </w:r>
      <w:r w:rsidR="000A2166">
        <w:rPr>
          <w:lang w:val="de-DE"/>
        </w:rPr>
        <w:t>87</w:t>
      </w:r>
      <w:r w:rsidR="003E49CF">
        <w:rPr>
          <w:lang w:val="de-DE"/>
        </w:rPr>
        <w:t xml:space="preserve"> Wörter]</w:t>
      </w:r>
    </w:p>
    <w:p w14:paraId="1A573B0B" w14:textId="77777777" w:rsidR="00141B87" w:rsidRPr="003F2729" w:rsidRDefault="00141B87">
      <w:pPr>
        <w:rPr>
          <w:rFonts w:cstheme="minorHAnsi"/>
          <w:lang w:val="de-DE"/>
        </w:rPr>
      </w:pPr>
    </w:p>
    <w:p w14:paraId="30B1D5BB" w14:textId="77777777" w:rsidR="003E619F" w:rsidRPr="003F2729" w:rsidRDefault="003E619F">
      <w:pPr>
        <w:rPr>
          <w:rFonts w:cstheme="minorHAnsi"/>
          <w:lang w:val="de-DE"/>
        </w:rPr>
      </w:pPr>
    </w:p>
    <w:p w14:paraId="3762F530" w14:textId="77777777" w:rsidR="00634252" w:rsidRDefault="00634252">
      <w:pPr>
        <w:rPr>
          <w:rFonts w:cstheme="minorHAnsi"/>
          <w:b/>
          <w:bCs/>
          <w:lang w:val="de-DE"/>
        </w:rPr>
      </w:pPr>
    </w:p>
    <w:p w14:paraId="11105326" w14:textId="77777777" w:rsidR="00F8740C" w:rsidRDefault="00F8740C">
      <w:pPr>
        <w:rPr>
          <w:rFonts w:cstheme="minorHAnsi"/>
          <w:b/>
          <w:bCs/>
          <w:lang w:val="de-DE"/>
        </w:rPr>
      </w:pPr>
    </w:p>
    <w:p w14:paraId="0B32DF76" w14:textId="77777777" w:rsidR="00F8740C" w:rsidRDefault="00F8740C">
      <w:pPr>
        <w:rPr>
          <w:rFonts w:cstheme="minorHAnsi"/>
          <w:b/>
          <w:bCs/>
          <w:lang w:val="de-DE"/>
        </w:rPr>
      </w:pPr>
    </w:p>
    <w:p w14:paraId="7B39337A" w14:textId="77777777" w:rsidR="007E46A3" w:rsidRDefault="007E46A3">
      <w:pPr>
        <w:rPr>
          <w:rFonts w:cstheme="minorHAnsi"/>
          <w:b/>
          <w:bCs/>
          <w:lang w:val="de-DE"/>
        </w:rPr>
      </w:pPr>
    </w:p>
    <w:p w14:paraId="079F895F" w14:textId="5884D701" w:rsidR="003E619F" w:rsidRPr="003F2729" w:rsidRDefault="00741AEB">
      <w:pPr>
        <w:rPr>
          <w:rFonts w:cstheme="minorHAnsi"/>
          <w:b/>
          <w:bCs/>
          <w:lang w:val="de-DE"/>
        </w:rPr>
      </w:pPr>
      <w:r w:rsidRPr="003F2729">
        <w:rPr>
          <w:rFonts w:cstheme="minorHAnsi"/>
          <w:b/>
          <w:bCs/>
          <w:lang w:val="de-DE"/>
        </w:rPr>
        <w:t>Ausgewählte Artikel</w:t>
      </w:r>
      <w:r w:rsidR="00DF4A65" w:rsidRPr="003F2729">
        <w:rPr>
          <w:rFonts w:cstheme="minorHAnsi"/>
          <w:b/>
          <w:bCs/>
          <w:lang w:val="de-DE"/>
        </w:rPr>
        <w:t xml:space="preserve"> von Joan Scott</w:t>
      </w:r>
      <w:r w:rsidR="003E619F" w:rsidRPr="003F2729">
        <w:rPr>
          <w:rFonts w:cstheme="minorHAnsi"/>
          <w:b/>
          <w:bCs/>
          <w:lang w:val="de-DE"/>
        </w:rPr>
        <w:t>:</w:t>
      </w:r>
    </w:p>
    <w:p w14:paraId="0BA84C93" w14:textId="584BDF77" w:rsidR="00DF4A65" w:rsidRPr="001123EC" w:rsidRDefault="00DF4A65" w:rsidP="00DF4A65">
      <w:pPr>
        <w:rPr>
          <w:rFonts w:cstheme="minorHAnsi"/>
          <w:lang w:val="en-GB"/>
        </w:rPr>
      </w:pPr>
      <w:r w:rsidRPr="001123EC">
        <w:rPr>
          <w:rFonts w:cstheme="minorHAnsi"/>
          <w:lang w:val="en-GB"/>
        </w:rPr>
        <w:t xml:space="preserve">Scott W., </w:t>
      </w:r>
      <w:r w:rsidR="00DA6997">
        <w:rPr>
          <w:rFonts w:cstheme="minorHAnsi"/>
          <w:lang w:val="en-GB"/>
        </w:rPr>
        <w:t>Joan:</w:t>
      </w:r>
      <w:r w:rsidRPr="001123EC">
        <w:rPr>
          <w:rFonts w:cstheme="minorHAnsi"/>
          <w:lang w:val="en-GB"/>
        </w:rPr>
        <w:t xml:space="preserve"> Feminist Family Politics</w:t>
      </w:r>
      <w:r w:rsidR="00DA6997">
        <w:rPr>
          <w:rFonts w:cstheme="minorHAnsi"/>
          <w:lang w:val="en-GB"/>
        </w:rPr>
        <w:t>. I</w:t>
      </w:r>
      <w:r w:rsidRPr="001123EC">
        <w:rPr>
          <w:rFonts w:cstheme="minorHAnsi"/>
          <w:lang w:val="en-GB"/>
        </w:rPr>
        <w:t xml:space="preserve">n: French Politics, Culture and Society, </w:t>
      </w:r>
      <w:r w:rsidR="00DA6997">
        <w:rPr>
          <w:rFonts w:cstheme="minorHAnsi"/>
          <w:lang w:val="en-GB"/>
        </w:rPr>
        <w:t xml:space="preserve">1999, </w:t>
      </w:r>
      <w:r w:rsidRPr="001123EC">
        <w:rPr>
          <w:rFonts w:cstheme="minorHAnsi"/>
          <w:lang w:val="en-GB"/>
        </w:rPr>
        <w:t>Vol. 17, No. 3-7, S. 1-11.</w:t>
      </w:r>
    </w:p>
    <w:p w14:paraId="2B7FD115" w14:textId="46468298" w:rsidR="00DF4A65" w:rsidRPr="001123EC" w:rsidRDefault="00DF4A65" w:rsidP="00DF4A65">
      <w:pPr>
        <w:rPr>
          <w:rFonts w:cstheme="minorHAnsi"/>
          <w:lang w:val="en-GB"/>
        </w:rPr>
      </w:pPr>
      <w:r w:rsidRPr="001123EC">
        <w:rPr>
          <w:rFonts w:cstheme="minorHAnsi"/>
          <w:lang w:val="en-GB"/>
        </w:rPr>
        <w:t>Scott W., J</w:t>
      </w:r>
      <w:r w:rsidR="00DA6997">
        <w:rPr>
          <w:rFonts w:cstheme="minorHAnsi"/>
          <w:lang w:val="en-GB"/>
        </w:rPr>
        <w:t>oan</w:t>
      </w:r>
      <w:r w:rsidRPr="001123EC">
        <w:rPr>
          <w:rFonts w:cstheme="minorHAnsi"/>
          <w:lang w:val="en-GB"/>
        </w:rPr>
        <w:t xml:space="preserve">: French Feminists and the Rights of 'Man': </w:t>
      </w:r>
      <w:proofErr w:type="spellStart"/>
      <w:r w:rsidRPr="001123EC">
        <w:rPr>
          <w:rFonts w:cstheme="minorHAnsi"/>
          <w:lang w:val="en-GB"/>
        </w:rPr>
        <w:t>Olympe</w:t>
      </w:r>
      <w:proofErr w:type="spellEnd"/>
      <w:r w:rsidRPr="001123EC">
        <w:rPr>
          <w:rFonts w:cstheme="minorHAnsi"/>
          <w:lang w:val="en-GB"/>
        </w:rPr>
        <w:t xml:space="preserve"> de </w:t>
      </w:r>
      <w:proofErr w:type="spellStart"/>
      <w:r w:rsidRPr="001123EC">
        <w:rPr>
          <w:rFonts w:cstheme="minorHAnsi"/>
          <w:lang w:val="en-GB"/>
        </w:rPr>
        <w:t>Gouges's</w:t>
      </w:r>
      <w:proofErr w:type="spellEnd"/>
      <w:r w:rsidRPr="001123EC">
        <w:rPr>
          <w:rFonts w:cstheme="minorHAnsi"/>
          <w:lang w:val="en-GB"/>
        </w:rPr>
        <w:t xml:space="preserve"> Declarations</w:t>
      </w:r>
      <w:r w:rsidR="00DA6997">
        <w:rPr>
          <w:rFonts w:cstheme="minorHAnsi"/>
          <w:lang w:val="en-GB"/>
        </w:rPr>
        <w:t>. I</w:t>
      </w:r>
      <w:r w:rsidRPr="001123EC">
        <w:rPr>
          <w:rFonts w:cstheme="minorHAnsi"/>
          <w:lang w:val="en-GB"/>
        </w:rPr>
        <w:t>n: History Workshop, 1989, No. 28, S. 1-21.</w:t>
      </w:r>
    </w:p>
    <w:p w14:paraId="1488229C" w14:textId="00D1D2C8" w:rsidR="00DF4A65" w:rsidRPr="001123EC" w:rsidRDefault="00DF4A65" w:rsidP="00DF4A65">
      <w:pPr>
        <w:rPr>
          <w:rFonts w:cstheme="minorHAnsi"/>
          <w:lang w:val="en-GB"/>
        </w:rPr>
      </w:pPr>
      <w:r w:rsidRPr="001123EC">
        <w:rPr>
          <w:rFonts w:cstheme="minorHAnsi"/>
          <w:lang w:val="en-GB"/>
        </w:rPr>
        <w:t>Scott W., Joan: Gender. A Useful Category of Historical Analysis</w:t>
      </w:r>
      <w:r w:rsidR="00DA6997">
        <w:rPr>
          <w:rFonts w:cstheme="minorHAnsi"/>
          <w:lang w:val="en-GB"/>
        </w:rPr>
        <w:t>. I</w:t>
      </w:r>
      <w:r w:rsidRPr="001123EC">
        <w:rPr>
          <w:rFonts w:cstheme="minorHAnsi"/>
          <w:lang w:val="en-GB"/>
        </w:rPr>
        <w:t>n: The American Historical Review, 1986, Vol. 91, No. 5, S. 1053-1075.</w:t>
      </w:r>
    </w:p>
    <w:p w14:paraId="1167A415" w14:textId="6B43EC39" w:rsidR="00DF4A65" w:rsidRPr="001123EC" w:rsidRDefault="00DF4A65" w:rsidP="00DF4A65">
      <w:pPr>
        <w:rPr>
          <w:rFonts w:cstheme="minorHAnsi"/>
          <w:lang w:val="en-GB"/>
        </w:rPr>
      </w:pPr>
      <w:r w:rsidRPr="001123EC">
        <w:rPr>
          <w:rFonts w:cstheme="minorHAnsi"/>
          <w:lang w:val="en-GB"/>
        </w:rPr>
        <w:t>Scott W., Joan: The Mechanization of Women's Work</w:t>
      </w:r>
      <w:r w:rsidR="00DA6997">
        <w:rPr>
          <w:rFonts w:cstheme="minorHAnsi"/>
          <w:lang w:val="en-GB"/>
        </w:rPr>
        <w:t>. I</w:t>
      </w:r>
      <w:r w:rsidRPr="001123EC">
        <w:rPr>
          <w:rFonts w:cstheme="minorHAnsi"/>
          <w:lang w:val="en-GB"/>
        </w:rPr>
        <w:t>n: Scientific American, 1982, Vol. 247, No. 3, S. 166-187.</w:t>
      </w:r>
    </w:p>
    <w:p w14:paraId="540E98B6" w14:textId="5350237A" w:rsidR="003E619F" w:rsidRPr="001123EC" w:rsidRDefault="003E619F" w:rsidP="003E619F">
      <w:pPr>
        <w:rPr>
          <w:rFonts w:cstheme="minorHAnsi"/>
          <w:lang w:val="en-GB"/>
        </w:rPr>
      </w:pPr>
      <w:r w:rsidRPr="001123EC">
        <w:rPr>
          <w:rFonts w:cstheme="minorHAnsi"/>
          <w:lang w:val="en-GB"/>
        </w:rPr>
        <w:t xml:space="preserve">Scott W., Joan &amp; Tilly A., Louise: Women's Work and the Family in </w:t>
      </w:r>
      <w:proofErr w:type="gramStart"/>
      <w:r w:rsidRPr="001123EC">
        <w:rPr>
          <w:rFonts w:cstheme="minorHAnsi"/>
          <w:lang w:val="en-GB"/>
        </w:rPr>
        <w:t>Nineteenth-Century Europe</w:t>
      </w:r>
      <w:proofErr w:type="gramEnd"/>
      <w:r w:rsidR="00DA6997">
        <w:rPr>
          <w:rFonts w:cstheme="minorHAnsi"/>
          <w:lang w:val="en-GB"/>
        </w:rPr>
        <w:t>. I</w:t>
      </w:r>
      <w:r w:rsidRPr="001123EC">
        <w:rPr>
          <w:rFonts w:cstheme="minorHAnsi"/>
          <w:lang w:val="en-GB"/>
        </w:rPr>
        <w:t>n: Comparative Studies in Society and History, 1975, Vol. 17, No. 1, S. 39-64</w:t>
      </w:r>
      <w:r w:rsidR="00CE384C" w:rsidRPr="001123EC">
        <w:rPr>
          <w:rFonts w:cstheme="minorHAnsi"/>
          <w:lang w:val="en-GB"/>
        </w:rPr>
        <w:t>.</w:t>
      </w:r>
    </w:p>
    <w:p w14:paraId="74230A93" w14:textId="5C78D8AA" w:rsidR="00E87624" w:rsidRDefault="00E87624" w:rsidP="003E619F">
      <w:pPr>
        <w:rPr>
          <w:rFonts w:cstheme="minorHAnsi"/>
          <w:lang w:val="en-GB"/>
        </w:rPr>
      </w:pPr>
    </w:p>
    <w:p w14:paraId="231CC9A7" w14:textId="77777777" w:rsidR="007E46A3" w:rsidRPr="001123EC" w:rsidRDefault="007E46A3" w:rsidP="003E619F">
      <w:pPr>
        <w:rPr>
          <w:rFonts w:cstheme="minorHAnsi"/>
          <w:lang w:val="en-GB"/>
        </w:rPr>
      </w:pPr>
    </w:p>
    <w:p w14:paraId="1BB9DED0" w14:textId="5FEC909B" w:rsidR="003E619F" w:rsidRPr="003F2729" w:rsidRDefault="00A92C7A">
      <w:pPr>
        <w:rPr>
          <w:rFonts w:cstheme="minorHAnsi"/>
          <w:b/>
          <w:bCs/>
          <w:lang w:val="de-DE"/>
        </w:rPr>
      </w:pPr>
      <w:r w:rsidRPr="003F2729">
        <w:rPr>
          <w:rFonts w:cstheme="minorHAnsi"/>
          <w:b/>
          <w:bCs/>
          <w:lang w:val="de-DE"/>
        </w:rPr>
        <w:t>Zusätzliche Lektüre:</w:t>
      </w:r>
    </w:p>
    <w:p w14:paraId="2B8CA4F3" w14:textId="77777777" w:rsidR="00DF4A65" w:rsidRPr="003F2729" w:rsidRDefault="00DF4A65" w:rsidP="00DF4A65">
      <w:pPr>
        <w:rPr>
          <w:lang w:val="de-DE"/>
        </w:rPr>
      </w:pPr>
      <w:r w:rsidRPr="003F2729">
        <w:rPr>
          <w:lang w:val="de-DE"/>
        </w:rPr>
        <w:t xml:space="preserve">Beauvoir de, Simone: Das andere Geschlecht. Sitte und Sexus der Frau (Originalausgabe „Le </w:t>
      </w:r>
      <w:proofErr w:type="spellStart"/>
      <w:r w:rsidRPr="003F2729">
        <w:rPr>
          <w:lang w:val="de-DE"/>
        </w:rPr>
        <w:t>deuxième</w:t>
      </w:r>
      <w:proofErr w:type="spellEnd"/>
      <w:r w:rsidRPr="003F2729">
        <w:rPr>
          <w:lang w:val="de-DE"/>
        </w:rPr>
        <w:t xml:space="preserve"> sexe“ 1949), Neuübersetzung, Reinbek bei Hamburg: Rowohlt 1995.</w:t>
      </w:r>
    </w:p>
    <w:p w14:paraId="055263EC" w14:textId="71DF93E9" w:rsidR="002370F7" w:rsidRPr="003F2729" w:rsidRDefault="002370F7" w:rsidP="002370F7">
      <w:pPr>
        <w:rPr>
          <w:rFonts w:cstheme="minorHAnsi"/>
          <w:lang w:val="de-DE"/>
        </w:rPr>
      </w:pPr>
      <w:r w:rsidRPr="003F2729">
        <w:rPr>
          <w:rFonts w:cstheme="minorHAnsi"/>
          <w:lang w:val="de-DE"/>
        </w:rPr>
        <w:t>Becker-Schmidt</w:t>
      </w:r>
      <w:r w:rsidR="00CE384C" w:rsidRPr="003F2729">
        <w:rPr>
          <w:rFonts w:cstheme="minorHAnsi"/>
          <w:lang w:val="de-DE"/>
        </w:rPr>
        <w:t>, Regina:</w:t>
      </w:r>
      <w:r w:rsidRPr="003F2729">
        <w:rPr>
          <w:rFonts w:cstheme="minorHAnsi"/>
          <w:lang w:val="de-DE"/>
        </w:rPr>
        <w:t xml:space="preserve"> Doppelte Vergesellschaftung von Frauen: Divergenzen und Brückenschläge zwischen Privat-</w:t>
      </w:r>
      <w:r w:rsidR="00E6093C" w:rsidRPr="003F2729">
        <w:rPr>
          <w:rFonts w:cstheme="minorHAnsi"/>
          <w:lang w:val="de-DE"/>
        </w:rPr>
        <w:t xml:space="preserve"> </w:t>
      </w:r>
      <w:r w:rsidRPr="003F2729">
        <w:rPr>
          <w:rFonts w:cstheme="minorHAnsi"/>
          <w:lang w:val="de-DE"/>
        </w:rPr>
        <w:t>und Erwerbsleben</w:t>
      </w:r>
      <w:r w:rsidR="00CE384C" w:rsidRPr="003F2729">
        <w:rPr>
          <w:rFonts w:cstheme="minorHAnsi"/>
          <w:lang w:val="de-DE"/>
        </w:rPr>
        <w:t>, i</w:t>
      </w:r>
      <w:r w:rsidRPr="003F2729">
        <w:rPr>
          <w:rFonts w:cstheme="minorHAnsi"/>
          <w:lang w:val="de-DE"/>
        </w:rPr>
        <w:t xml:space="preserve">n: Ruth Becker und Beate </w:t>
      </w:r>
      <w:proofErr w:type="spellStart"/>
      <w:r w:rsidRPr="003F2729">
        <w:rPr>
          <w:rFonts w:cstheme="minorHAnsi"/>
          <w:lang w:val="de-DE"/>
        </w:rPr>
        <w:t>Kortendieck</w:t>
      </w:r>
      <w:proofErr w:type="spellEnd"/>
      <w:r w:rsidRPr="003F2729">
        <w:rPr>
          <w:rFonts w:cstheme="minorHAnsi"/>
          <w:lang w:val="de-DE"/>
        </w:rPr>
        <w:t xml:space="preserve"> (H</w:t>
      </w:r>
      <w:r w:rsidR="002C6260">
        <w:rPr>
          <w:rFonts w:cstheme="minorHAnsi"/>
          <w:lang w:val="de-DE"/>
        </w:rPr>
        <w:t>rs</w:t>
      </w:r>
      <w:r w:rsidRPr="003F2729">
        <w:rPr>
          <w:rFonts w:cstheme="minorHAnsi"/>
          <w:lang w:val="de-DE"/>
        </w:rPr>
        <w:t>g.)</w:t>
      </w:r>
      <w:r w:rsidR="00CE384C" w:rsidRPr="003F2729">
        <w:rPr>
          <w:rFonts w:cstheme="minorHAnsi"/>
          <w:lang w:val="de-DE"/>
        </w:rPr>
        <w:t>,</w:t>
      </w:r>
      <w:r w:rsidRPr="003F2729">
        <w:rPr>
          <w:rFonts w:cstheme="minorHAnsi"/>
          <w:lang w:val="de-DE"/>
        </w:rPr>
        <w:t xml:space="preserve"> Handbuch Frauen-</w:t>
      </w:r>
      <w:r w:rsidR="00E6093C" w:rsidRPr="003F2729">
        <w:rPr>
          <w:rFonts w:cstheme="minorHAnsi"/>
          <w:lang w:val="de-DE"/>
        </w:rPr>
        <w:t xml:space="preserve"> </w:t>
      </w:r>
      <w:r w:rsidRPr="003F2729">
        <w:rPr>
          <w:rFonts w:cstheme="minorHAnsi"/>
          <w:lang w:val="de-DE"/>
        </w:rPr>
        <w:t>und Geschlechterforschung. Wiesbaden: VS-Verlag</w:t>
      </w:r>
      <w:r w:rsidR="00CE384C" w:rsidRPr="003F2729">
        <w:rPr>
          <w:rFonts w:cstheme="minorHAnsi"/>
          <w:lang w:val="de-DE"/>
        </w:rPr>
        <w:t>, 2005, S. 62–71.</w:t>
      </w:r>
    </w:p>
    <w:p w14:paraId="22FAA8FD" w14:textId="2AB6B146" w:rsidR="00951A81" w:rsidRPr="00951A81" w:rsidRDefault="00951A81" w:rsidP="00951A81">
      <w:pPr>
        <w:rPr>
          <w:lang w:val="de-DE"/>
        </w:rPr>
      </w:pPr>
      <w:r w:rsidRPr="00951A81">
        <w:rPr>
          <w:lang w:val="de-DE"/>
        </w:rPr>
        <w:t xml:space="preserve">Bourdieu, Pierre: Die männliche Herrschaft [Originalausgabe “La </w:t>
      </w:r>
      <w:proofErr w:type="spellStart"/>
      <w:r w:rsidRPr="00951A81">
        <w:rPr>
          <w:lang w:val="de-DE"/>
        </w:rPr>
        <w:t>domination</w:t>
      </w:r>
      <w:proofErr w:type="spellEnd"/>
      <w:r w:rsidRPr="00951A81">
        <w:rPr>
          <w:lang w:val="de-DE"/>
        </w:rPr>
        <w:t xml:space="preserve"> </w:t>
      </w:r>
      <w:proofErr w:type="spellStart"/>
      <w:r w:rsidRPr="00951A81">
        <w:rPr>
          <w:lang w:val="de-DE"/>
        </w:rPr>
        <w:t>masculine</w:t>
      </w:r>
      <w:proofErr w:type="spellEnd"/>
      <w:r w:rsidRPr="00951A81">
        <w:rPr>
          <w:lang w:val="de-DE"/>
        </w:rPr>
        <w:t>” 1998]. Frankfurt a.M.: Suhrkamp, 2005.</w:t>
      </w:r>
    </w:p>
    <w:p w14:paraId="4C085D1C" w14:textId="6F5F55B0" w:rsidR="00B60944" w:rsidRPr="001C796A" w:rsidRDefault="00B60944" w:rsidP="00B60944">
      <w:pPr>
        <w:rPr>
          <w:rFonts w:cstheme="minorHAnsi"/>
        </w:rPr>
      </w:pPr>
      <w:r>
        <w:rPr>
          <w:rFonts w:cstheme="minorHAnsi"/>
        </w:rPr>
        <w:t>Bundesamt für Statistik</w:t>
      </w:r>
      <w:r w:rsidR="003E24B5">
        <w:rPr>
          <w:rFonts w:cstheme="minorHAnsi"/>
        </w:rPr>
        <w:t xml:space="preserve">: </w:t>
      </w:r>
      <w:r>
        <w:rPr>
          <w:rFonts w:cstheme="minorHAnsi"/>
        </w:rPr>
        <w:t>Lohnunterschied</w:t>
      </w:r>
      <w:r w:rsidR="003E24B5">
        <w:rPr>
          <w:rFonts w:cstheme="minorHAnsi"/>
        </w:rPr>
        <w:t>, 2020</w:t>
      </w:r>
      <w:r>
        <w:rPr>
          <w:rFonts w:cstheme="minorHAnsi"/>
        </w:rPr>
        <w:t xml:space="preserve">. </w:t>
      </w:r>
      <w:r w:rsidRPr="001C796A">
        <w:rPr>
          <w:rFonts w:cstheme="minorHAnsi"/>
        </w:rPr>
        <w:t>URL: https://www.bfs.admin.ch/bfs/de/home/statistiken/arbeit-erwerb/loehne-erwerbseinkommen-arbeitskosten/lohnniveau-schweiz/lohnunterschied.html (ab</w:t>
      </w:r>
      <w:r>
        <w:rPr>
          <w:rFonts w:cstheme="minorHAnsi"/>
        </w:rPr>
        <w:t>gerufen am 27.06.2021).</w:t>
      </w:r>
    </w:p>
    <w:p w14:paraId="77E8D921" w14:textId="59F6E9EF" w:rsidR="00B60944" w:rsidRPr="006454C8" w:rsidRDefault="00B60944" w:rsidP="00B60944">
      <w:pPr>
        <w:rPr>
          <w:rFonts w:cstheme="minorHAnsi"/>
          <w:lang w:val="en-GB"/>
        </w:rPr>
      </w:pPr>
      <w:r>
        <w:rPr>
          <w:rFonts w:cstheme="minorHAnsi"/>
        </w:rPr>
        <w:t>Bundesamt für Statistik</w:t>
      </w:r>
      <w:r w:rsidR="003E24B5">
        <w:rPr>
          <w:rFonts w:cstheme="minorHAnsi"/>
        </w:rPr>
        <w:t xml:space="preserve">: </w:t>
      </w:r>
      <w:r w:rsidRPr="006454C8">
        <w:rPr>
          <w:rFonts w:cstheme="minorHAnsi"/>
        </w:rPr>
        <w:t>Medienmitteilung: Die unbezahlte Arbeit ist 408 Milliarden Franken wert</w:t>
      </w:r>
      <w:r>
        <w:rPr>
          <w:rFonts w:cstheme="minorHAnsi"/>
        </w:rPr>
        <w:t xml:space="preserve">, 11.12.2017. </w:t>
      </w:r>
      <w:r w:rsidRPr="006454C8">
        <w:rPr>
          <w:rFonts w:cstheme="minorHAnsi"/>
          <w:lang w:val="en-GB"/>
        </w:rPr>
        <w:t>URL: file:///C:/Users/olifr/AppData/Local/Temp/2017-0252-d.pdf (</w:t>
      </w:r>
      <w:proofErr w:type="spellStart"/>
      <w:r>
        <w:rPr>
          <w:rFonts w:cstheme="minorHAnsi"/>
          <w:lang w:val="en-GB"/>
        </w:rPr>
        <w:t>abgerufen</w:t>
      </w:r>
      <w:proofErr w:type="spellEnd"/>
      <w:r>
        <w:rPr>
          <w:rFonts w:cstheme="minorHAnsi"/>
          <w:lang w:val="en-GB"/>
        </w:rPr>
        <w:t xml:space="preserve"> am 24.06.2021). </w:t>
      </w:r>
    </w:p>
    <w:p w14:paraId="7C06861C" w14:textId="28E74AD4" w:rsidR="00C5725A" w:rsidRPr="00AA6498" w:rsidRDefault="00C5725A" w:rsidP="00C5725A">
      <w:pPr>
        <w:rPr>
          <w:i/>
          <w:iCs/>
        </w:rPr>
      </w:pPr>
      <w:r w:rsidRPr="006043EE">
        <w:rPr>
          <w:lang w:val="de-DE"/>
        </w:rPr>
        <w:t>Fraser</w:t>
      </w:r>
      <w:r>
        <w:rPr>
          <w:lang w:val="de-DE"/>
        </w:rPr>
        <w:t>, Nancy:</w:t>
      </w:r>
      <w:r w:rsidRPr="006043EE">
        <w:rPr>
          <w:lang w:val="de-DE"/>
        </w:rPr>
        <w:t xml:space="preserve"> Soziale Gerechtigkeit im Zeitalter der Identitätspolitik. </w:t>
      </w:r>
      <w:r w:rsidRPr="00AA6498">
        <w:t xml:space="preserve">Umverteilung, Anerkennung und Beteiligung. </w:t>
      </w:r>
      <w:r>
        <w:t xml:space="preserve">In: </w:t>
      </w:r>
      <w:r w:rsidRPr="00AA6498">
        <w:t>Fraser</w:t>
      </w:r>
      <w:r w:rsidR="006A068F">
        <w:t>, N.</w:t>
      </w:r>
      <w:r w:rsidRPr="00AA6498">
        <w:t xml:space="preserve"> </w:t>
      </w:r>
      <w:r>
        <w:t xml:space="preserve">&amp; </w:t>
      </w:r>
      <w:r w:rsidRPr="00AA6498">
        <w:t>Honneth</w:t>
      </w:r>
      <w:r w:rsidR="006A068F">
        <w:t>, A.</w:t>
      </w:r>
      <w:r>
        <w:t xml:space="preserve"> (Hrsg.): </w:t>
      </w:r>
      <w:r w:rsidRPr="00C5725A">
        <w:t>Umverteilung oder Anerkennung? Eine politisch-philosophische Kontroverse. Frankfurt a.M.: Suhrkam</w:t>
      </w:r>
      <w:r w:rsidRPr="00AA6498">
        <w:t>p</w:t>
      </w:r>
      <w:r>
        <w:t>, 2003, S. 15-42.</w:t>
      </w:r>
    </w:p>
    <w:p w14:paraId="1022C519" w14:textId="3EEBDEA1" w:rsidR="002370F7" w:rsidRPr="003F2729" w:rsidRDefault="002370F7" w:rsidP="002370F7">
      <w:pPr>
        <w:rPr>
          <w:rFonts w:cstheme="minorHAnsi"/>
          <w:lang w:val="de-DE"/>
        </w:rPr>
      </w:pPr>
      <w:r w:rsidRPr="003F2729">
        <w:rPr>
          <w:rFonts w:cstheme="minorHAnsi"/>
          <w:lang w:val="de-DE"/>
        </w:rPr>
        <w:t>Habermann, Friederike: Hegemonie, Identität und der homo oeconomicus. Oder: Warum feministische Ökonomie nicht ausreicht</w:t>
      </w:r>
      <w:r w:rsidR="00CE384C" w:rsidRPr="003F2729">
        <w:rPr>
          <w:rFonts w:cstheme="minorHAnsi"/>
          <w:lang w:val="de-DE"/>
        </w:rPr>
        <w:t>, i</w:t>
      </w:r>
      <w:r w:rsidRPr="003F2729">
        <w:rPr>
          <w:rFonts w:cstheme="minorHAnsi"/>
          <w:lang w:val="de-DE"/>
        </w:rPr>
        <w:t xml:space="preserve">n: </w:t>
      </w:r>
      <w:proofErr w:type="spellStart"/>
      <w:r w:rsidRPr="003F2729">
        <w:rPr>
          <w:rFonts w:cstheme="minorHAnsi"/>
          <w:lang w:val="de-DE"/>
        </w:rPr>
        <w:t>Bauhardt</w:t>
      </w:r>
      <w:proofErr w:type="spellEnd"/>
      <w:r w:rsidRPr="003F2729">
        <w:rPr>
          <w:rFonts w:cstheme="minorHAnsi"/>
          <w:lang w:val="de-DE"/>
        </w:rPr>
        <w:t xml:space="preserve">, Christine &amp; </w:t>
      </w:r>
      <w:proofErr w:type="spellStart"/>
      <w:r w:rsidRPr="003F2729">
        <w:rPr>
          <w:rFonts w:cstheme="minorHAnsi"/>
          <w:lang w:val="de-DE"/>
        </w:rPr>
        <w:t>Çag</w:t>
      </w:r>
      <w:proofErr w:type="spellEnd"/>
      <w:r w:rsidRPr="003F2729">
        <w:rPr>
          <w:rFonts w:cstheme="minorHAnsi"/>
          <w:lang w:val="de-DE"/>
        </w:rPr>
        <w:t xml:space="preserve">˘ </w:t>
      </w:r>
      <w:proofErr w:type="spellStart"/>
      <w:r w:rsidRPr="003F2729">
        <w:rPr>
          <w:rFonts w:cstheme="minorHAnsi"/>
          <w:lang w:val="de-DE"/>
        </w:rPr>
        <w:t>lar</w:t>
      </w:r>
      <w:proofErr w:type="spellEnd"/>
      <w:r w:rsidRPr="003F2729">
        <w:rPr>
          <w:rFonts w:cstheme="minorHAnsi"/>
          <w:lang w:val="de-DE"/>
        </w:rPr>
        <w:t>, Gülay (H</w:t>
      </w:r>
      <w:r w:rsidR="002C6260">
        <w:rPr>
          <w:rFonts w:cstheme="minorHAnsi"/>
          <w:lang w:val="de-DE"/>
        </w:rPr>
        <w:t>rs</w:t>
      </w:r>
      <w:r w:rsidRPr="003F2729">
        <w:rPr>
          <w:rFonts w:cstheme="minorHAnsi"/>
          <w:lang w:val="de-DE"/>
        </w:rPr>
        <w:t xml:space="preserve">g.): Gender and Economics. Feministische Kritik der politischen Ökonomie. Wiesbaden: VS Verlag für Sozialwissenschaften, </w:t>
      </w:r>
      <w:r w:rsidR="00CE384C" w:rsidRPr="003F2729">
        <w:rPr>
          <w:rFonts w:cstheme="minorHAnsi"/>
          <w:lang w:val="de-DE"/>
        </w:rPr>
        <w:t xml:space="preserve">2010, </w:t>
      </w:r>
      <w:r w:rsidRPr="003F2729">
        <w:rPr>
          <w:rFonts w:cstheme="minorHAnsi"/>
          <w:lang w:val="de-DE"/>
        </w:rPr>
        <w:t>S. 151-173.</w:t>
      </w:r>
    </w:p>
    <w:p w14:paraId="2AA1F7B4" w14:textId="20374E24" w:rsidR="000D135D" w:rsidRPr="001123EC" w:rsidRDefault="000D135D" w:rsidP="002370F7">
      <w:pPr>
        <w:rPr>
          <w:rFonts w:cstheme="minorHAnsi"/>
          <w:lang w:val="en-GB"/>
        </w:rPr>
      </w:pPr>
      <w:r w:rsidRPr="001123EC">
        <w:rPr>
          <w:rFonts w:cstheme="minorHAnsi"/>
          <w:lang w:val="en-GB"/>
        </w:rPr>
        <w:t xml:space="preserve">Ortner, Sherry: Is Female to Male as Culture is to </w:t>
      </w:r>
      <w:proofErr w:type="gramStart"/>
      <w:r w:rsidRPr="001123EC">
        <w:rPr>
          <w:rFonts w:cstheme="minorHAnsi"/>
          <w:lang w:val="en-GB"/>
        </w:rPr>
        <w:t>Nature?,</w:t>
      </w:r>
      <w:proofErr w:type="gramEnd"/>
      <w:r w:rsidRPr="001123EC">
        <w:rPr>
          <w:rFonts w:cstheme="minorHAnsi"/>
          <w:lang w:val="en-GB"/>
        </w:rPr>
        <w:t xml:space="preserve"> in: </w:t>
      </w:r>
      <w:proofErr w:type="spellStart"/>
      <w:r w:rsidRPr="001123EC">
        <w:rPr>
          <w:rFonts w:cstheme="minorHAnsi"/>
          <w:lang w:val="en-GB"/>
        </w:rPr>
        <w:t>Rosaldo</w:t>
      </w:r>
      <w:proofErr w:type="spellEnd"/>
      <w:r w:rsidRPr="001123EC">
        <w:rPr>
          <w:rFonts w:cstheme="minorHAnsi"/>
          <w:lang w:val="en-GB"/>
        </w:rPr>
        <w:t xml:space="preserve">, M. Z., </w:t>
      </w:r>
      <w:proofErr w:type="spellStart"/>
      <w:r w:rsidRPr="001123EC">
        <w:rPr>
          <w:rFonts w:cstheme="minorHAnsi"/>
          <w:lang w:val="en-GB"/>
        </w:rPr>
        <w:t>Lamphere</w:t>
      </w:r>
      <w:proofErr w:type="spellEnd"/>
      <w:r w:rsidRPr="001123EC">
        <w:rPr>
          <w:rFonts w:cstheme="minorHAnsi"/>
          <w:lang w:val="en-GB"/>
        </w:rPr>
        <w:t>, L., &amp; Bamberger, J (</w:t>
      </w:r>
      <w:proofErr w:type="spellStart"/>
      <w:r w:rsidRPr="001123EC">
        <w:rPr>
          <w:rFonts w:cstheme="minorHAnsi"/>
          <w:lang w:val="en-GB"/>
        </w:rPr>
        <w:t>H</w:t>
      </w:r>
      <w:r w:rsidR="002C6260">
        <w:rPr>
          <w:rFonts w:cstheme="minorHAnsi"/>
          <w:lang w:val="en-GB"/>
        </w:rPr>
        <w:t>rs</w:t>
      </w:r>
      <w:r w:rsidRPr="001123EC">
        <w:rPr>
          <w:rFonts w:cstheme="minorHAnsi"/>
          <w:lang w:val="en-GB"/>
        </w:rPr>
        <w:t>g</w:t>
      </w:r>
      <w:proofErr w:type="spellEnd"/>
      <w:r w:rsidRPr="001123EC">
        <w:rPr>
          <w:rFonts w:cstheme="minorHAnsi"/>
          <w:lang w:val="en-GB"/>
        </w:rPr>
        <w:t>.). Woman, culture, and society (Vol. 133). Stanford University Press 1974, S. 67-87.</w:t>
      </w:r>
    </w:p>
    <w:p w14:paraId="2FA527AE" w14:textId="1F999812" w:rsidR="002370F7" w:rsidRDefault="002370F7" w:rsidP="002370F7">
      <w:pPr>
        <w:rPr>
          <w:rFonts w:cstheme="minorHAnsi"/>
          <w:lang w:val="de-DE"/>
        </w:rPr>
      </w:pPr>
      <w:proofErr w:type="spellStart"/>
      <w:r w:rsidRPr="001123EC">
        <w:rPr>
          <w:rFonts w:cstheme="minorHAnsi"/>
          <w:lang w:val="en-GB"/>
        </w:rPr>
        <w:lastRenderedPageBreak/>
        <w:t>Schilliger</w:t>
      </w:r>
      <w:proofErr w:type="spellEnd"/>
      <w:r w:rsidRPr="001123EC">
        <w:rPr>
          <w:rFonts w:cstheme="minorHAnsi"/>
          <w:lang w:val="en-GB"/>
        </w:rPr>
        <w:t xml:space="preserve">, Sarah: Who cares? </w:t>
      </w:r>
      <w:r w:rsidRPr="003F2729">
        <w:rPr>
          <w:rFonts w:cstheme="minorHAnsi"/>
          <w:lang w:val="de-DE"/>
        </w:rPr>
        <w:t>Care-Arbeit im neoliberalen Geschlechterregime</w:t>
      </w:r>
      <w:r w:rsidR="00CE384C" w:rsidRPr="003F2729">
        <w:rPr>
          <w:rFonts w:cstheme="minorHAnsi"/>
          <w:lang w:val="de-DE"/>
        </w:rPr>
        <w:t>, i</w:t>
      </w:r>
      <w:r w:rsidRPr="003F2729">
        <w:rPr>
          <w:rFonts w:cstheme="minorHAnsi"/>
          <w:lang w:val="de-DE"/>
        </w:rPr>
        <w:t xml:space="preserve">n: Widerspruch, 56, </w:t>
      </w:r>
      <w:r w:rsidR="00CE384C" w:rsidRPr="003F2729">
        <w:rPr>
          <w:rFonts w:cstheme="minorHAnsi"/>
          <w:lang w:val="de-DE"/>
        </w:rPr>
        <w:t xml:space="preserve">2009, </w:t>
      </w:r>
      <w:r w:rsidRPr="003F2729">
        <w:rPr>
          <w:rFonts w:cstheme="minorHAnsi"/>
          <w:lang w:val="de-DE"/>
        </w:rPr>
        <w:t>S. 93-106.</w:t>
      </w:r>
    </w:p>
    <w:p w14:paraId="3BC6DE19" w14:textId="57CB45F6" w:rsidR="00FA3A6B" w:rsidRPr="003427E7" w:rsidRDefault="003427E7" w:rsidP="003427E7">
      <w:pPr>
        <w:rPr>
          <w:rFonts w:cstheme="minorHAnsi"/>
          <w:lang w:val="de-DE"/>
        </w:rPr>
      </w:pPr>
      <w:r w:rsidRPr="003427E7">
        <w:rPr>
          <w:rFonts w:cstheme="minorHAnsi"/>
          <w:lang w:val="de-DE"/>
        </w:rPr>
        <w:t>Textor, M</w:t>
      </w:r>
      <w:r w:rsidR="00DA6997">
        <w:rPr>
          <w:rFonts w:cstheme="minorHAnsi"/>
          <w:lang w:val="de-DE"/>
        </w:rPr>
        <w:t xml:space="preserve">artin </w:t>
      </w:r>
      <w:r w:rsidRPr="003427E7">
        <w:rPr>
          <w:rFonts w:cstheme="minorHAnsi"/>
          <w:lang w:val="de-DE"/>
        </w:rPr>
        <w:t xml:space="preserve">R. </w:t>
      </w:r>
      <w:r>
        <w:rPr>
          <w:rFonts w:cstheme="minorHAnsi"/>
          <w:lang w:val="de-DE"/>
        </w:rPr>
        <w:t>(</w:t>
      </w:r>
      <w:r w:rsidRPr="003427E7">
        <w:rPr>
          <w:rFonts w:cstheme="minorHAnsi"/>
          <w:lang w:val="de-DE"/>
        </w:rPr>
        <w:t>2001</w:t>
      </w:r>
      <w:r>
        <w:rPr>
          <w:rFonts w:cstheme="minorHAnsi"/>
          <w:lang w:val="de-DE"/>
        </w:rPr>
        <w:t xml:space="preserve">). </w:t>
      </w:r>
      <w:r w:rsidRPr="003427E7">
        <w:rPr>
          <w:rFonts w:cstheme="minorHAnsi"/>
          <w:lang w:val="de-DE"/>
        </w:rPr>
        <w:t>Mutterbilder</w:t>
      </w:r>
      <w:r>
        <w:rPr>
          <w:rFonts w:cstheme="minorHAnsi"/>
          <w:lang w:val="de-DE"/>
        </w:rPr>
        <w:t xml:space="preserve">. In: </w:t>
      </w:r>
      <w:r w:rsidRPr="003427E7">
        <w:rPr>
          <w:rFonts w:cstheme="minorHAnsi"/>
          <w:lang w:val="de-DE"/>
        </w:rPr>
        <w:t xml:space="preserve">Martin R. Textor/Antje </w:t>
      </w:r>
      <w:proofErr w:type="spellStart"/>
      <w:r w:rsidRPr="003427E7">
        <w:rPr>
          <w:rFonts w:cstheme="minorHAnsi"/>
          <w:lang w:val="de-DE"/>
        </w:rPr>
        <w:t>Bostelmann</w:t>
      </w:r>
      <w:proofErr w:type="spellEnd"/>
      <w:r w:rsidRPr="003427E7">
        <w:rPr>
          <w:rFonts w:cstheme="minorHAnsi"/>
          <w:lang w:val="de-DE"/>
        </w:rPr>
        <w:t xml:space="preserve"> (Hrsg.): Das Kita-Handbuch.</w:t>
      </w:r>
      <w:r>
        <w:rPr>
          <w:rFonts w:cstheme="minorHAnsi"/>
          <w:lang w:val="de-DE"/>
        </w:rPr>
        <w:t xml:space="preserve"> </w:t>
      </w:r>
      <w:r w:rsidRPr="003427E7">
        <w:rPr>
          <w:rFonts w:cstheme="minorHAnsi"/>
        </w:rPr>
        <w:t>URL: https://www.kindergartenpaedagogik.de/fachartikel/soziologie/2276 (ab</w:t>
      </w:r>
      <w:r>
        <w:rPr>
          <w:rFonts w:cstheme="minorHAnsi"/>
        </w:rPr>
        <w:t xml:space="preserve">gerufen am 26.06.2021). </w:t>
      </w:r>
    </w:p>
    <w:p w14:paraId="404362F2" w14:textId="77777777" w:rsidR="00C0586E" w:rsidRPr="003427E7" w:rsidRDefault="00C0586E" w:rsidP="002370F7">
      <w:pPr>
        <w:rPr>
          <w:rFonts w:cstheme="minorHAnsi"/>
        </w:rPr>
      </w:pPr>
    </w:p>
    <w:p w14:paraId="53A7C887" w14:textId="77777777" w:rsidR="00393628" w:rsidRDefault="00393628" w:rsidP="002370F7">
      <w:pPr>
        <w:rPr>
          <w:rFonts w:cstheme="minorHAnsi"/>
          <w:highlight w:val="yellow"/>
          <w:lang w:val="de-DE"/>
        </w:rPr>
      </w:pPr>
    </w:p>
    <w:p w14:paraId="28439119" w14:textId="77777777" w:rsidR="00393628" w:rsidRDefault="00393628" w:rsidP="002370F7">
      <w:pPr>
        <w:rPr>
          <w:rFonts w:cstheme="minorHAnsi"/>
          <w:highlight w:val="yellow"/>
          <w:lang w:val="de-DE"/>
        </w:rPr>
      </w:pPr>
    </w:p>
    <w:p w14:paraId="09DE490D" w14:textId="77777777" w:rsidR="002370F7" w:rsidRPr="00CE384C" w:rsidRDefault="002370F7" w:rsidP="000E3814"/>
    <w:sectPr w:rsidR="002370F7" w:rsidRPr="00CE384C" w:rsidSect="006C6287">
      <w:headerReference w:type="default" r:id="rId7"/>
      <w:footerReference w:type="default" r:id="rId8"/>
      <w:type w:val="continuous"/>
      <w:pgSz w:w="11906" w:h="16838" w:code="9"/>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51D0B" w14:textId="77777777" w:rsidR="0018347A" w:rsidRDefault="0018347A" w:rsidP="003E619F">
      <w:pPr>
        <w:spacing w:after="0" w:line="240" w:lineRule="auto"/>
      </w:pPr>
      <w:r>
        <w:separator/>
      </w:r>
    </w:p>
  </w:endnote>
  <w:endnote w:type="continuationSeparator" w:id="0">
    <w:p w14:paraId="0E371F47" w14:textId="77777777" w:rsidR="0018347A" w:rsidRDefault="0018347A" w:rsidP="003E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8828694"/>
      <w:docPartObj>
        <w:docPartGallery w:val="Page Numbers (Bottom of Page)"/>
        <w:docPartUnique/>
      </w:docPartObj>
    </w:sdtPr>
    <w:sdtEndPr/>
    <w:sdtContent>
      <w:p w14:paraId="1B48769B" w14:textId="425A24D4" w:rsidR="00634252" w:rsidRDefault="00634252">
        <w:pPr>
          <w:pStyle w:val="Fuzeile"/>
          <w:jc w:val="center"/>
        </w:pPr>
        <w:r>
          <w:fldChar w:fldCharType="begin"/>
        </w:r>
        <w:r>
          <w:instrText>PAGE   \* MERGEFORMAT</w:instrText>
        </w:r>
        <w:r>
          <w:fldChar w:fldCharType="separate"/>
        </w:r>
        <w:r>
          <w:rPr>
            <w:lang w:val="de-DE"/>
          </w:rPr>
          <w:t>2</w:t>
        </w:r>
        <w:r>
          <w:fldChar w:fldCharType="end"/>
        </w:r>
      </w:p>
    </w:sdtContent>
  </w:sdt>
  <w:p w14:paraId="39E2EFD8" w14:textId="77777777" w:rsidR="00634252" w:rsidRDefault="006342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BF097" w14:textId="77777777" w:rsidR="0018347A" w:rsidRDefault="0018347A" w:rsidP="003E619F">
      <w:pPr>
        <w:spacing w:after="0" w:line="240" w:lineRule="auto"/>
      </w:pPr>
      <w:r>
        <w:separator/>
      </w:r>
    </w:p>
  </w:footnote>
  <w:footnote w:type="continuationSeparator" w:id="0">
    <w:p w14:paraId="368FD8B5" w14:textId="77777777" w:rsidR="0018347A" w:rsidRDefault="0018347A" w:rsidP="003E6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B8ECA" w14:textId="6E856FC7" w:rsidR="003E619F" w:rsidRDefault="003E619F">
    <w:pPr>
      <w:pStyle w:val="Kopfzeile"/>
    </w:pPr>
    <w:r>
      <w:tab/>
    </w:r>
    <w:r>
      <w:tab/>
      <w:t>Olivia Frigo-Charles</w:t>
    </w:r>
  </w:p>
  <w:p w14:paraId="101E2067" w14:textId="7E9002E0" w:rsidR="003E619F" w:rsidRDefault="003E619F">
    <w:pPr>
      <w:pStyle w:val="Kopfzeile"/>
    </w:pPr>
    <w:r>
      <w:tab/>
    </w:r>
    <w:r>
      <w:tab/>
      <w:t>Wie kritisch ist Gender?</w:t>
    </w:r>
  </w:p>
  <w:p w14:paraId="75CB5457" w14:textId="27305782" w:rsidR="003E619F" w:rsidRDefault="003E619F">
    <w:pPr>
      <w:pStyle w:val="Kopfzeile"/>
    </w:pPr>
    <w:r>
      <w:tab/>
    </w:r>
    <w:r>
      <w:tab/>
    </w:r>
    <w:r w:rsidR="00262BA8">
      <w:t>Lerntagebuch</w:t>
    </w:r>
  </w:p>
  <w:p w14:paraId="1C765F7C" w14:textId="77777777" w:rsidR="00262BA8" w:rsidRDefault="00262BA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32E9F"/>
    <w:multiLevelType w:val="hybridMultilevel"/>
    <w:tmpl w:val="8A7AE37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2D136A4"/>
    <w:multiLevelType w:val="hybridMultilevel"/>
    <w:tmpl w:val="F8161B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CA448C2"/>
    <w:multiLevelType w:val="hybridMultilevel"/>
    <w:tmpl w:val="FA8C5C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619F"/>
    <w:rsid w:val="0000542B"/>
    <w:rsid w:val="000114F3"/>
    <w:rsid w:val="00017EAB"/>
    <w:rsid w:val="00037480"/>
    <w:rsid w:val="0005192B"/>
    <w:rsid w:val="00054D7B"/>
    <w:rsid w:val="00071C9C"/>
    <w:rsid w:val="00096577"/>
    <w:rsid w:val="000A2166"/>
    <w:rsid w:val="000A383D"/>
    <w:rsid w:val="000B1661"/>
    <w:rsid w:val="000C7ACC"/>
    <w:rsid w:val="000C7C04"/>
    <w:rsid w:val="000D135D"/>
    <w:rsid w:val="000E3814"/>
    <w:rsid w:val="000E7898"/>
    <w:rsid w:val="000F7732"/>
    <w:rsid w:val="00104D6B"/>
    <w:rsid w:val="001057E4"/>
    <w:rsid w:val="00110FD8"/>
    <w:rsid w:val="001123EC"/>
    <w:rsid w:val="001143AA"/>
    <w:rsid w:val="00131263"/>
    <w:rsid w:val="001346AA"/>
    <w:rsid w:val="00141B87"/>
    <w:rsid w:val="001465AD"/>
    <w:rsid w:val="00147BB0"/>
    <w:rsid w:val="00151F75"/>
    <w:rsid w:val="00162D23"/>
    <w:rsid w:val="00164BE6"/>
    <w:rsid w:val="0018347A"/>
    <w:rsid w:val="00187A08"/>
    <w:rsid w:val="00190997"/>
    <w:rsid w:val="00195C5D"/>
    <w:rsid w:val="00197357"/>
    <w:rsid w:val="001A5658"/>
    <w:rsid w:val="001C5495"/>
    <w:rsid w:val="001C796A"/>
    <w:rsid w:val="001D54EC"/>
    <w:rsid w:val="001F578F"/>
    <w:rsid w:val="00201D1C"/>
    <w:rsid w:val="00207948"/>
    <w:rsid w:val="00217EE7"/>
    <w:rsid w:val="00234883"/>
    <w:rsid w:val="002370F7"/>
    <w:rsid w:val="0024672D"/>
    <w:rsid w:val="0025170E"/>
    <w:rsid w:val="0025193F"/>
    <w:rsid w:val="00262BA8"/>
    <w:rsid w:val="002700EE"/>
    <w:rsid w:val="00291A58"/>
    <w:rsid w:val="002B6CC9"/>
    <w:rsid w:val="002C6260"/>
    <w:rsid w:val="002F605D"/>
    <w:rsid w:val="00313199"/>
    <w:rsid w:val="00337485"/>
    <w:rsid w:val="003427E7"/>
    <w:rsid w:val="003601FC"/>
    <w:rsid w:val="00391D02"/>
    <w:rsid w:val="00393628"/>
    <w:rsid w:val="00394420"/>
    <w:rsid w:val="003B3651"/>
    <w:rsid w:val="003B3BA0"/>
    <w:rsid w:val="003B67E6"/>
    <w:rsid w:val="003C7921"/>
    <w:rsid w:val="003D18F5"/>
    <w:rsid w:val="003D247F"/>
    <w:rsid w:val="003E24B5"/>
    <w:rsid w:val="003E49CF"/>
    <w:rsid w:val="003E619F"/>
    <w:rsid w:val="003F2729"/>
    <w:rsid w:val="003F55B0"/>
    <w:rsid w:val="00403CDB"/>
    <w:rsid w:val="004115C7"/>
    <w:rsid w:val="00461E06"/>
    <w:rsid w:val="00465CCA"/>
    <w:rsid w:val="00467BAC"/>
    <w:rsid w:val="0047085C"/>
    <w:rsid w:val="00472B76"/>
    <w:rsid w:val="00477830"/>
    <w:rsid w:val="004943E6"/>
    <w:rsid w:val="004A1DF7"/>
    <w:rsid w:val="004C0D48"/>
    <w:rsid w:val="004C5746"/>
    <w:rsid w:val="004D05A8"/>
    <w:rsid w:val="004D393F"/>
    <w:rsid w:val="004D7106"/>
    <w:rsid w:val="004E21FD"/>
    <w:rsid w:val="004F12D6"/>
    <w:rsid w:val="004F2589"/>
    <w:rsid w:val="00532362"/>
    <w:rsid w:val="005333D7"/>
    <w:rsid w:val="00533729"/>
    <w:rsid w:val="00573CD5"/>
    <w:rsid w:val="00583750"/>
    <w:rsid w:val="005844DF"/>
    <w:rsid w:val="00585109"/>
    <w:rsid w:val="00586A03"/>
    <w:rsid w:val="00592046"/>
    <w:rsid w:val="005A0033"/>
    <w:rsid w:val="005B5A49"/>
    <w:rsid w:val="005C29D5"/>
    <w:rsid w:val="005D5BD3"/>
    <w:rsid w:val="005E2578"/>
    <w:rsid w:val="005F74AD"/>
    <w:rsid w:val="00634252"/>
    <w:rsid w:val="006367AC"/>
    <w:rsid w:val="00640893"/>
    <w:rsid w:val="006454C8"/>
    <w:rsid w:val="006461ED"/>
    <w:rsid w:val="00651BDA"/>
    <w:rsid w:val="006550B8"/>
    <w:rsid w:val="00664C9B"/>
    <w:rsid w:val="0067286D"/>
    <w:rsid w:val="00681769"/>
    <w:rsid w:val="00697946"/>
    <w:rsid w:val="006A068F"/>
    <w:rsid w:val="006A5408"/>
    <w:rsid w:val="006B0700"/>
    <w:rsid w:val="006B5BE9"/>
    <w:rsid w:val="006C6287"/>
    <w:rsid w:val="006E5326"/>
    <w:rsid w:val="007063D1"/>
    <w:rsid w:val="007148F8"/>
    <w:rsid w:val="00726E09"/>
    <w:rsid w:val="00727E56"/>
    <w:rsid w:val="007303FF"/>
    <w:rsid w:val="00733D92"/>
    <w:rsid w:val="00741AEB"/>
    <w:rsid w:val="007502CD"/>
    <w:rsid w:val="00751ABC"/>
    <w:rsid w:val="007615C1"/>
    <w:rsid w:val="00765C11"/>
    <w:rsid w:val="0076704E"/>
    <w:rsid w:val="0077231F"/>
    <w:rsid w:val="00785484"/>
    <w:rsid w:val="00787581"/>
    <w:rsid w:val="00792E65"/>
    <w:rsid w:val="00793744"/>
    <w:rsid w:val="00795126"/>
    <w:rsid w:val="007A69B0"/>
    <w:rsid w:val="007B1754"/>
    <w:rsid w:val="007B5599"/>
    <w:rsid w:val="007B6E64"/>
    <w:rsid w:val="007D72D3"/>
    <w:rsid w:val="007E46A3"/>
    <w:rsid w:val="007E79D3"/>
    <w:rsid w:val="007F09E2"/>
    <w:rsid w:val="00806892"/>
    <w:rsid w:val="00813429"/>
    <w:rsid w:val="0081461C"/>
    <w:rsid w:val="00835B33"/>
    <w:rsid w:val="00850378"/>
    <w:rsid w:val="0086563D"/>
    <w:rsid w:val="0086632D"/>
    <w:rsid w:val="00893DB5"/>
    <w:rsid w:val="008C1167"/>
    <w:rsid w:val="008C5A06"/>
    <w:rsid w:val="008D4EA3"/>
    <w:rsid w:val="008F6407"/>
    <w:rsid w:val="00930336"/>
    <w:rsid w:val="00951A81"/>
    <w:rsid w:val="00961C8F"/>
    <w:rsid w:val="00977612"/>
    <w:rsid w:val="00984116"/>
    <w:rsid w:val="00992BE4"/>
    <w:rsid w:val="009A71C7"/>
    <w:rsid w:val="009B0CE6"/>
    <w:rsid w:val="009C052F"/>
    <w:rsid w:val="009D035F"/>
    <w:rsid w:val="009D36D9"/>
    <w:rsid w:val="009E722B"/>
    <w:rsid w:val="00A053FA"/>
    <w:rsid w:val="00A21F2F"/>
    <w:rsid w:val="00A22370"/>
    <w:rsid w:val="00A25BB9"/>
    <w:rsid w:val="00A63EDC"/>
    <w:rsid w:val="00A763CB"/>
    <w:rsid w:val="00A92C7A"/>
    <w:rsid w:val="00A96391"/>
    <w:rsid w:val="00AB1A71"/>
    <w:rsid w:val="00AC3017"/>
    <w:rsid w:val="00AD10E0"/>
    <w:rsid w:val="00AD1500"/>
    <w:rsid w:val="00AE1D24"/>
    <w:rsid w:val="00AF246F"/>
    <w:rsid w:val="00B149ED"/>
    <w:rsid w:val="00B16245"/>
    <w:rsid w:val="00B24064"/>
    <w:rsid w:val="00B31361"/>
    <w:rsid w:val="00B34061"/>
    <w:rsid w:val="00B45CA8"/>
    <w:rsid w:val="00B60944"/>
    <w:rsid w:val="00B84028"/>
    <w:rsid w:val="00B85B8D"/>
    <w:rsid w:val="00BB265F"/>
    <w:rsid w:val="00BB782D"/>
    <w:rsid w:val="00BC380C"/>
    <w:rsid w:val="00BC3FDE"/>
    <w:rsid w:val="00BC6670"/>
    <w:rsid w:val="00BC7F26"/>
    <w:rsid w:val="00BE4C6D"/>
    <w:rsid w:val="00BF1673"/>
    <w:rsid w:val="00C0586E"/>
    <w:rsid w:val="00C12207"/>
    <w:rsid w:val="00C13E95"/>
    <w:rsid w:val="00C241D0"/>
    <w:rsid w:val="00C242D3"/>
    <w:rsid w:val="00C31161"/>
    <w:rsid w:val="00C32481"/>
    <w:rsid w:val="00C4355F"/>
    <w:rsid w:val="00C45A52"/>
    <w:rsid w:val="00C5232F"/>
    <w:rsid w:val="00C5725A"/>
    <w:rsid w:val="00C63ED1"/>
    <w:rsid w:val="00C761EF"/>
    <w:rsid w:val="00C86E95"/>
    <w:rsid w:val="00CA4B77"/>
    <w:rsid w:val="00CC0A64"/>
    <w:rsid w:val="00CC49F2"/>
    <w:rsid w:val="00CD5E61"/>
    <w:rsid w:val="00CE384C"/>
    <w:rsid w:val="00D04CA8"/>
    <w:rsid w:val="00D07B89"/>
    <w:rsid w:val="00D11176"/>
    <w:rsid w:val="00D165CD"/>
    <w:rsid w:val="00D3219C"/>
    <w:rsid w:val="00D4208C"/>
    <w:rsid w:val="00D4530F"/>
    <w:rsid w:val="00D530FD"/>
    <w:rsid w:val="00D53798"/>
    <w:rsid w:val="00D72F95"/>
    <w:rsid w:val="00D8380D"/>
    <w:rsid w:val="00D91653"/>
    <w:rsid w:val="00D9212E"/>
    <w:rsid w:val="00D94DD7"/>
    <w:rsid w:val="00D954D0"/>
    <w:rsid w:val="00D96918"/>
    <w:rsid w:val="00DA2B65"/>
    <w:rsid w:val="00DA6997"/>
    <w:rsid w:val="00DA7DD4"/>
    <w:rsid w:val="00DD383E"/>
    <w:rsid w:val="00DE5C40"/>
    <w:rsid w:val="00DF1702"/>
    <w:rsid w:val="00DF4A65"/>
    <w:rsid w:val="00E00CF7"/>
    <w:rsid w:val="00E32F02"/>
    <w:rsid w:val="00E6093C"/>
    <w:rsid w:val="00E640C1"/>
    <w:rsid w:val="00E76BE1"/>
    <w:rsid w:val="00E87624"/>
    <w:rsid w:val="00E9127B"/>
    <w:rsid w:val="00EB2161"/>
    <w:rsid w:val="00EC269B"/>
    <w:rsid w:val="00EF0890"/>
    <w:rsid w:val="00F017DE"/>
    <w:rsid w:val="00F26E0A"/>
    <w:rsid w:val="00F324BB"/>
    <w:rsid w:val="00F36CD1"/>
    <w:rsid w:val="00F4565D"/>
    <w:rsid w:val="00F86381"/>
    <w:rsid w:val="00F8740C"/>
    <w:rsid w:val="00FA3A6B"/>
    <w:rsid w:val="00FB2ED8"/>
    <w:rsid w:val="00FC0B75"/>
    <w:rsid w:val="00FE17F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1F412"/>
  <w15:docId w15:val="{04122DED-DD13-4208-A4FC-6F70ED434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E61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619F"/>
  </w:style>
  <w:style w:type="paragraph" w:styleId="Fuzeile">
    <w:name w:val="footer"/>
    <w:basedOn w:val="Standard"/>
    <w:link w:val="FuzeileZchn"/>
    <w:uiPriority w:val="99"/>
    <w:unhideWhenUsed/>
    <w:rsid w:val="003E61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619F"/>
  </w:style>
  <w:style w:type="paragraph" w:customStyle="1" w:styleId="Default">
    <w:name w:val="Default"/>
    <w:rsid w:val="003E619F"/>
    <w:pPr>
      <w:autoSpaceDE w:val="0"/>
      <w:autoSpaceDN w:val="0"/>
      <w:adjustRightInd w:val="0"/>
      <w:spacing w:after="0" w:line="240" w:lineRule="auto"/>
    </w:pPr>
    <w:rPr>
      <w:rFonts w:ascii="Cambria Math" w:hAnsi="Cambria Math" w:cs="Cambria Math"/>
      <w:color w:val="000000"/>
      <w:sz w:val="24"/>
      <w:szCs w:val="24"/>
    </w:rPr>
  </w:style>
  <w:style w:type="paragraph" w:styleId="Listenabsatz">
    <w:name w:val="List Paragraph"/>
    <w:basedOn w:val="Standard"/>
    <w:uiPriority w:val="34"/>
    <w:qFormat/>
    <w:rsid w:val="003E619F"/>
    <w:pPr>
      <w:ind w:left="720"/>
      <w:contextualSpacing/>
    </w:pPr>
  </w:style>
  <w:style w:type="paragraph" w:styleId="KeinLeerraum">
    <w:name w:val="No Spacing"/>
    <w:link w:val="KeinLeerraumZchn"/>
    <w:uiPriority w:val="1"/>
    <w:qFormat/>
    <w:rsid w:val="006C6287"/>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C6287"/>
    <w:rPr>
      <w:rFonts w:eastAsiaTheme="minorEastAsia"/>
      <w:lang w:eastAsia="de-CH"/>
    </w:rPr>
  </w:style>
  <w:style w:type="character" w:styleId="Hyperlink">
    <w:name w:val="Hyperlink"/>
    <w:basedOn w:val="Absatz-Standardschriftart"/>
    <w:uiPriority w:val="99"/>
    <w:unhideWhenUsed/>
    <w:rsid w:val="006454C8"/>
    <w:rPr>
      <w:color w:val="0563C1" w:themeColor="hyperlink"/>
      <w:u w:val="single"/>
    </w:rPr>
  </w:style>
  <w:style w:type="character" w:styleId="NichtaufgelsteErwhnung">
    <w:name w:val="Unresolved Mention"/>
    <w:basedOn w:val="Absatz-Standardschriftart"/>
    <w:uiPriority w:val="99"/>
    <w:semiHidden/>
    <w:unhideWhenUsed/>
    <w:rsid w:val="006454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479603">
      <w:bodyDiv w:val="1"/>
      <w:marLeft w:val="0"/>
      <w:marRight w:val="0"/>
      <w:marTop w:val="0"/>
      <w:marBottom w:val="0"/>
      <w:divBdr>
        <w:top w:val="none" w:sz="0" w:space="0" w:color="auto"/>
        <w:left w:val="none" w:sz="0" w:space="0" w:color="auto"/>
        <w:bottom w:val="none" w:sz="0" w:space="0" w:color="auto"/>
        <w:right w:val="none" w:sz="0" w:space="0" w:color="auto"/>
      </w:divBdr>
      <w:divsChild>
        <w:div w:id="257762579">
          <w:marLeft w:val="0"/>
          <w:marRight w:val="0"/>
          <w:marTop w:val="0"/>
          <w:marBottom w:val="0"/>
          <w:divBdr>
            <w:top w:val="none" w:sz="0" w:space="0" w:color="auto"/>
            <w:left w:val="none" w:sz="0" w:space="0" w:color="auto"/>
            <w:bottom w:val="none" w:sz="0" w:space="0" w:color="auto"/>
            <w:right w:val="none" w:sz="0" w:space="0" w:color="auto"/>
          </w:divBdr>
        </w:div>
      </w:divsChild>
    </w:div>
    <w:div w:id="2044598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2891</Words>
  <Characters>18215</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Frigo-Charles</dc:creator>
  <cp:keywords/>
  <dc:description/>
  <cp:lastModifiedBy>Olivia Frigo-Charles</cp:lastModifiedBy>
  <cp:revision>170</cp:revision>
  <cp:lastPrinted>2021-05-14T11:42:00Z</cp:lastPrinted>
  <dcterms:created xsi:type="dcterms:W3CDTF">2021-06-15T14:10:00Z</dcterms:created>
  <dcterms:modified xsi:type="dcterms:W3CDTF">2021-06-29T13:35:00Z</dcterms:modified>
</cp:coreProperties>
</file>