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11990" w14:textId="017F367B" w:rsidR="00084138" w:rsidRPr="00BC3496" w:rsidRDefault="00084138" w:rsidP="00084138">
      <w:pPr>
        <w:jc w:val="center"/>
        <w:rPr>
          <w:rFonts w:ascii="Times New Roman" w:hAnsi="Times New Roman" w:cs="Times New Roman"/>
          <w:b/>
          <w:bCs/>
          <w:sz w:val="22"/>
        </w:rPr>
      </w:pPr>
      <w:r w:rsidRPr="00BC3496">
        <w:rPr>
          <w:rFonts w:ascii="Times New Roman" w:hAnsi="Times New Roman" w:cs="Times New Roman"/>
          <w:b/>
          <w:bCs/>
          <w:sz w:val="22"/>
        </w:rPr>
        <w:t>Supplementary Material</w:t>
      </w:r>
    </w:p>
    <w:p w14:paraId="61E8B67F" w14:textId="77777777" w:rsidR="008F7F75" w:rsidRPr="008F7F75" w:rsidRDefault="008F7F75" w:rsidP="008F7F75">
      <w:pPr>
        <w:jc w:val="center"/>
        <w:rPr>
          <w:rFonts w:ascii="Times New Roman" w:hAnsi="Times New Roman" w:cs="Times New Roman"/>
          <w:b/>
          <w:bCs/>
          <w:sz w:val="22"/>
          <w:lang w:val="en"/>
        </w:rPr>
      </w:pPr>
      <w:r w:rsidRPr="008F7F75">
        <w:rPr>
          <w:rFonts w:ascii="Times New Roman" w:hAnsi="Times New Roman" w:cs="Times New Roman"/>
          <w:b/>
          <w:bCs/>
          <w:sz w:val="22"/>
          <w:lang w:val="en"/>
        </w:rPr>
        <w:t xml:space="preserve">Prediction of 10-year Fatal Cardiovascular Risk in Mexico using the Recalibrated </w:t>
      </w:r>
      <w:proofErr w:type="spellStart"/>
      <w:r w:rsidRPr="008F7F75">
        <w:rPr>
          <w:rFonts w:ascii="Times New Roman" w:hAnsi="Times New Roman" w:cs="Times New Roman"/>
          <w:b/>
          <w:bCs/>
          <w:sz w:val="22"/>
          <w:lang w:val="en"/>
        </w:rPr>
        <w:t>Globorisk</w:t>
      </w:r>
      <w:proofErr w:type="spellEnd"/>
      <w:r w:rsidRPr="008F7F75">
        <w:rPr>
          <w:rFonts w:ascii="Times New Roman" w:hAnsi="Times New Roman" w:cs="Times New Roman"/>
          <w:b/>
          <w:bCs/>
          <w:sz w:val="22"/>
          <w:lang w:val="en"/>
        </w:rPr>
        <w:t xml:space="preserve"> Equation</w:t>
      </w:r>
    </w:p>
    <w:p w14:paraId="4EDEC222" w14:textId="789C4239" w:rsidR="00084138" w:rsidRPr="00BC3496" w:rsidRDefault="00084138" w:rsidP="00084138">
      <w:pPr>
        <w:jc w:val="center"/>
        <w:rPr>
          <w:rFonts w:ascii="Times New Roman" w:hAnsi="Times New Roman" w:cs="Times New Roman"/>
          <w:sz w:val="22"/>
          <w:lang w:val="es-ES"/>
        </w:rPr>
      </w:pPr>
      <w:r w:rsidRPr="00BC3496">
        <w:rPr>
          <w:rFonts w:ascii="Times New Roman" w:hAnsi="Times New Roman" w:cs="Times New Roman"/>
          <w:sz w:val="22"/>
          <w:lang w:val="es-ES"/>
        </w:rPr>
        <w:t>Neftali Eduardo Antonio-Villa,</w:t>
      </w:r>
      <w:r w:rsidRPr="00BC3496">
        <w:rPr>
          <w:rFonts w:ascii="Times New Roman" w:eastAsiaTheme="majorEastAsia" w:hAnsi="Times New Roman" w:cs="Times New Roman"/>
          <w:b/>
          <w:bCs/>
          <w:color w:val="4F81BD" w:themeColor="accent1"/>
          <w:sz w:val="22"/>
          <w:lang w:val="es-ES"/>
        </w:rPr>
        <w:t xml:space="preserve"> </w:t>
      </w:r>
      <w:r w:rsidRPr="00BC3496">
        <w:rPr>
          <w:rFonts w:ascii="Times New Roman" w:hAnsi="Times New Roman" w:cs="Times New Roman"/>
          <w:sz w:val="22"/>
          <w:lang w:val="es-ES"/>
        </w:rPr>
        <w:t xml:space="preserve">Enrique Aguilar-Camacho, Jerónimo </w:t>
      </w:r>
      <w:proofErr w:type="spellStart"/>
      <w:r w:rsidRPr="00BC3496">
        <w:rPr>
          <w:rFonts w:ascii="Times New Roman" w:hAnsi="Times New Roman" w:cs="Times New Roman"/>
          <w:sz w:val="22"/>
          <w:lang w:val="es-ES"/>
        </w:rPr>
        <w:t>Perezalonso</w:t>
      </w:r>
      <w:proofErr w:type="spellEnd"/>
      <w:r w:rsidRPr="00BC3496">
        <w:rPr>
          <w:rFonts w:ascii="Times New Roman" w:hAnsi="Times New Roman" w:cs="Times New Roman"/>
          <w:sz w:val="22"/>
          <w:lang w:val="es-ES"/>
        </w:rPr>
        <w:t xml:space="preserve">-Espinosa, Mario Cesar Torres-Chávez, </w:t>
      </w:r>
      <w:r w:rsidR="00BC3496" w:rsidRPr="00BC3496">
        <w:rPr>
          <w:rFonts w:ascii="Times New Roman" w:hAnsi="Times New Roman" w:cs="Times New Roman"/>
          <w:sz w:val="22"/>
          <w:lang w:val="es-ES"/>
        </w:rPr>
        <w:t xml:space="preserve">América Citlali Bermejo-Isidro, </w:t>
      </w:r>
      <w:r w:rsidRPr="00BC3496">
        <w:rPr>
          <w:rFonts w:ascii="Times New Roman" w:hAnsi="Times New Roman" w:cs="Times New Roman"/>
          <w:sz w:val="22"/>
          <w:lang w:val="es-ES"/>
        </w:rPr>
        <w:t xml:space="preserve">Daniel Ramírez-García, Juan Pablo Díaz-Sánchez, Carlos Alberto Fermín Martínez, Jacqueline A. </w:t>
      </w:r>
      <w:proofErr w:type="spellStart"/>
      <w:r w:rsidRPr="00BC3496">
        <w:rPr>
          <w:rFonts w:ascii="Times New Roman" w:hAnsi="Times New Roman" w:cs="Times New Roman"/>
          <w:sz w:val="22"/>
          <w:lang w:val="es-ES"/>
        </w:rPr>
        <w:t>Seiglie</w:t>
      </w:r>
      <w:proofErr w:type="spellEnd"/>
      <w:r w:rsidRPr="00BC3496">
        <w:rPr>
          <w:rFonts w:ascii="Times New Roman" w:hAnsi="Times New Roman" w:cs="Times New Roman"/>
          <w:sz w:val="22"/>
          <w:lang w:val="es-ES"/>
        </w:rPr>
        <w:t xml:space="preserve">, Omar </w:t>
      </w:r>
      <w:proofErr w:type="spellStart"/>
      <w:r w:rsidRPr="00BC3496">
        <w:rPr>
          <w:rFonts w:ascii="Times New Roman" w:hAnsi="Times New Roman" w:cs="Times New Roman"/>
          <w:sz w:val="22"/>
          <w:lang w:val="es-ES"/>
        </w:rPr>
        <w:t>Yaxmehen</w:t>
      </w:r>
      <w:proofErr w:type="spellEnd"/>
      <w:r w:rsidRPr="00BC3496">
        <w:rPr>
          <w:rFonts w:ascii="Times New Roman" w:hAnsi="Times New Roman" w:cs="Times New Roman"/>
          <w:sz w:val="22"/>
          <w:lang w:val="es-ES"/>
        </w:rPr>
        <w:t xml:space="preserve"> Bello-Chavolla</w:t>
      </w:r>
    </w:p>
    <w:p w14:paraId="04564E68" w14:textId="77777777" w:rsidR="00084138" w:rsidRPr="00BC3496" w:rsidRDefault="00084138" w:rsidP="00084138">
      <w:pPr>
        <w:rPr>
          <w:rFonts w:ascii="Times New Roman" w:eastAsiaTheme="majorEastAsia" w:hAnsi="Times New Roman" w:cs="Times New Roman"/>
          <w:b/>
          <w:bCs/>
          <w:color w:val="4F81BD" w:themeColor="accent1"/>
          <w:sz w:val="22"/>
          <w:lang w:val="es-ES"/>
        </w:rPr>
      </w:pPr>
    </w:p>
    <w:sdt>
      <w:sdtPr>
        <w:rPr>
          <w:rFonts w:ascii="Times New Roman" w:eastAsiaTheme="minorEastAsia" w:hAnsi="Times New Roman" w:cs="Times New Roman"/>
          <w:b w:val="0"/>
          <w:bCs w:val="0"/>
          <w:color w:val="auto"/>
          <w:sz w:val="22"/>
          <w:szCs w:val="22"/>
        </w:rPr>
        <w:id w:val="-1140185863"/>
        <w:docPartObj>
          <w:docPartGallery w:val="Table of Contents"/>
          <w:docPartUnique/>
        </w:docPartObj>
      </w:sdtPr>
      <w:sdtEndPr>
        <w:rPr>
          <w:noProof/>
        </w:rPr>
      </w:sdtEndPr>
      <w:sdtContent>
        <w:p w14:paraId="3C221053" w14:textId="16AC55FC" w:rsidR="00084138" w:rsidRDefault="00084138">
          <w:pPr>
            <w:pStyle w:val="TtuloTDC"/>
            <w:rPr>
              <w:rFonts w:ascii="Times New Roman" w:hAnsi="Times New Roman" w:cs="Times New Roman"/>
              <w:color w:val="auto"/>
              <w:sz w:val="22"/>
              <w:szCs w:val="22"/>
            </w:rPr>
          </w:pPr>
          <w:r w:rsidRPr="00BC3496">
            <w:rPr>
              <w:rFonts w:ascii="Times New Roman" w:hAnsi="Times New Roman" w:cs="Times New Roman"/>
              <w:color w:val="auto"/>
              <w:sz w:val="22"/>
              <w:szCs w:val="22"/>
            </w:rPr>
            <w:t>Index</w:t>
          </w:r>
        </w:p>
        <w:p w14:paraId="7122BC2D" w14:textId="77777777" w:rsidR="004D5894" w:rsidRPr="004D5894" w:rsidRDefault="004D5894" w:rsidP="004D5894"/>
        <w:p w14:paraId="2E792E1D" w14:textId="1EF180A8" w:rsidR="00C21445" w:rsidRDefault="00084138">
          <w:pPr>
            <w:pStyle w:val="TDC2"/>
            <w:tabs>
              <w:tab w:val="right" w:leader="dot" w:pos="8828"/>
            </w:tabs>
            <w:rPr>
              <w:rFonts w:asciiTheme="minorHAnsi" w:hAnsiTheme="minorHAnsi"/>
              <w:noProof/>
              <w:kern w:val="2"/>
              <w:sz w:val="24"/>
              <w:szCs w:val="24"/>
              <w:lang/>
              <w14:ligatures w14:val="standardContextual"/>
            </w:rPr>
          </w:pPr>
          <w:r w:rsidRPr="00BC3496">
            <w:rPr>
              <w:rFonts w:ascii="Times New Roman" w:hAnsi="Times New Roman" w:cs="Times New Roman"/>
              <w:b/>
              <w:bCs/>
              <w:sz w:val="22"/>
            </w:rPr>
            <w:fldChar w:fldCharType="begin"/>
          </w:r>
          <w:r w:rsidRPr="00BC3496">
            <w:rPr>
              <w:rFonts w:ascii="Times New Roman" w:hAnsi="Times New Roman" w:cs="Times New Roman"/>
              <w:b/>
              <w:bCs/>
              <w:sz w:val="22"/>
            </w:rPr>
            <w:instrText xml:space="preserve"> TOC \o "1-3" \h \z \u </w:instrText>
          </w:r>
          <w:r w:rsidRPr="00BC3496">
            <w:rPr>
              <w:rFonts w:ascii="Times New Roman" w:hAnsi="Times New Roman" w:cs="Times New Roman"/>
              <w:b/>
              <w:bCs/>
              <w:sz w:val="22"/>
            </w:rPr>
            <w:fldChar w:fldCharType="separate"/>
          </w:r>
          <w:hyperlink w:anchor="_Toc235526591" w:history="1">
            <w:r w:rsidR="00C21445" w:rsidRPr="00247B68">
              <w:rPr>
                <w:rStyle w:val="Hipervnculo"/>
                <w:rFonts w:ascii="Times New Roman" w:hAnsi="Times New Roman" w:cs="Times New Roman"/>
                <w:noProof/>
              </w:rPr>
              <w:t>Supplementary Methods</w:t>
            </w:r>
            <w:r w:rsidR="00C21445">
              <w:rPr>
                <w:noProof/>
                <w:webHidden/>
              </w:rPr>
              <w:tab/>
            </w:r>
            <w:r w:rsidR="00C21445">
              <w:rPr>
                <w:noProof/>
                <w:webHidden/>
              </w:rPr>
              <w:fldChar w:fldCharType="begin"/>
            </w:r>
            <w:r w:rsidR="00C21445">
              <w:rPr>
                <w:noProof/>
                <w:webHidden/>
              </w:rPr>
              <w:instrText xml:space="preserve"> PAGEREF _Toc235526591 \h </w:instrText>
            </w:r>
            <w:r w:rsidR="00C21445">
              <w:rPr>
                <w:noProof/>
                <w:webHidden/>
              </w:rPr>
            </w:r>
            <w:r w:rsidR="00C21445">
              <w:rPr>
                <w:noProof/>
                <w:webHidden/>
              </w:rPr>
              <w:fldChar w:fldCharType="separate"/>
            </w:r>
            <w:r w:rsidR="00C21445">
              <w:rPr>
                <w:noProof/>
                <w:webHidden/>
              </w:rPr>
              <w:t>2</w:t>
            </w:r>
            <w:r w:rsidR="00C21445">
              <w:rPr>
                <w:noProof/>
                <w:webHidden/>
              </w:rPr>
              <w:fldChar w:fldCharType="end"/>
            </w:r>
          </w:hyperlink>
        </w:p>
        <w:p w14:paraId="79EAE2E7" w14:textId="3B06C00A" w:rsidR="00C21445" w:rsidRDefault="00C21445">
          <w:pPr>
            <w:pStyle w:val="TDC2"/>
            <w:tabs>
              <w:tab w:val="right" w:leader="dot" w:pos="8828"/>
            </w:tabs>
            <w:rPr>
              <w:rFonts w:asciiTheme="minorHAnsi" w:hAnsiTheme="minorHAnsi"/>
              <w:noProof/>
              <w:kern w:val="2"/>
              <w:sz w:val="24"/>
              <w:szCs w:val="24"/>
              <w:lang/>
              <w14:ligatures w14:val="standardContextual"/>
            </w:rPr>
          </w:pPr>
          <w:hyperlink w:anchor="_Toc235526592" w:history="1">
            <w:r w:rsidRPr="00247B68">
              <w:rPr>
                <w:rStyle w:val="Hipervnculo"/>
                <w:rFonts w:ascii="Times New Roman" w:hAnsi="Times New Roman" w:cs="Times New Roman"/>
                <w:noProof/>
              </w:rPr>
              <w:t>Supplementary Figure 1</w:t>
            </w:r>
            <w:r>
              <w:rPr>
                <w:noProof/>
                <w:webHidden/>
              </w:rPr>
              <w:tab/>
            </w:r>
            <w:r>
              <w:rPr>
                <w:noProof/>
                <w:webHidden/>
              </w:rPr>
              <w:fldChar w:fldCharType="begin"/>
            </w:r>
            <w:r>
              <w:rPr>
                <w:noProof/>
                <w:webHidden/>
              </w:rPr>
              <w:instrText xml:space="preserve"> PAGEREF _Toc235526592 \h </w:instrText>
            </w:r>
            <w:r>
              <w:rPr>
                <w:noProof/>
                <w:webHidden/>
              </w:rPr>
            </w:r>
            <w:r>
              <w:rPr>
                <w:noProof/>
                <w:webHidden/>
              </w:rPr>
              <w:fldChar w:fldCharType="separate"/>
            </w:r>
            <w:r>
              <w:rPr>
                <w:noProof/>
                <w:webHidden/>
              </w:rPr>
              <w:t>3</w:t>
            </w:r>
            <w:r>
              <w:rPr>
                <w:noProof/>
                <w:webHidden/>
              </w:rPr>
              <w:fldChar w:fldCharType="end"/>
            </w:r>
          </w:hyperlink>
        </w:p>
        <w:p w14:paraId="430FA5FD" w14:textId="7B9BE437" w:rsidR="00C21445" w:rsidRDefault="00C21445">
          <w:pPr>
            <w:pStyle w:val="TDC2"/>
            <w:tabs>
              <w:tab w:val="right" w:leader="dot" w:pos="8828"/>
            </w:tabs>
            <w:rPr>
              <w:rFonts w:asciiTheme="minorHAnsi" w:hAnsiTheme="minorHAnsi"/>
              <w:noProof/>
              <w:kern w:val="2"/>
              <w:sz w:val="24"/>
              <w:szCs w:val="24"/>
              <w:lang/>
              <w14:ligatures w14:val="standardContextual"/>
            </w:rPr>
          </w:pPr>
          <w:hyperlink w:anchor="_Toc235526593" w:history="1">
            <w:r w:rsidRPr="00247B68">
              <w:rPr>
                <w:rStyle w:val="Hipervnculo"/>
                <w:rFonts w:ascii="Times New Roman" w:hAnsi="Times New Roman" w:cs="Times New Roman"/>
                <w:noProof/>
              </w:rPr>
              <w:t>Supplementary Figure 2</w:t>
            </w:r>
            <w:r>
              <w:rPr>
                <w:noProof/>
                <w:webHidden/>
              </w:rPr>
              <w:tab/>
            </w:r>
            <w:r>
              <w:rPr>
                <w:noProof/>
                <w:webHidden/>
              </w:rPr>
              <w:fldChar w:fldCharType="begin"/>
            </w:r>
            <w:r>
              <w:rPr>
                <w:noProof/>
                <w:webHidden/>
              </w:rPr>
              <w:instrText xml:space="preserve"> PAGEREF _Toc235526593 \h </w:instrText>
            </w:r>
            <w:r>
              <w:rPr>
                <w:noProof/>
                <w:webHidden/>
              </w:rPr>
            </w:r>
            <w:r>
              <w:rPr>
                <w:noProof/>
                <w:webHidden/>
              </w:rPr>
              <w:fldChar w:fldCharType="separate"/>
            </w:r>
            <w:r>
              <w:rPr>
                <w:noProof/>
                <w:webHidden/>
              </w:rPr>
              <w:t>4</w:t>
            </w:r>
            <w:r>
              <w:rPr>
                <w:noProof/>
                <w:webHidden/>
              </w:rPr>
              <w:fldChar w:fldCharType="end"/>
            </w:r>
          </w:hyperlink>
        </w:p>
        <w:p w14:paraId="4A5FAE4E" w14:textId="15153D74" w:rsidR="00C21445" w:rsidRDefault="00C21445">
          <w:pPr>
            <w:pStyle w:val="TDC2"/>
            <w:tabs>
              <w:tab w:val="right" w:leader="dot" w:pos="8828"/>
            </w:tabs>
            <w:rPr>
              <w:rFonts w:asciiTheme="minorHAnsi" w:hAnsiTheme="minorHAnsi"/>
              <w:noProof/>
              <w:kern w:val="2"/>
              <w:sz w:val="24"/>
              <w:szCs w:val="24"/>
              <w:lang/>
              <w14:ligatures w14:val="standardContextual"/>
            </w:rPr>
          </w:pPr>
          <w:hyperlink w:anchor="_Toc235526594" w:history="1">
            <w:r w:rsidRPr="00247B68">
              <w:rPr>
                <w:rStyle w:val="Hipervnculo"/>
                <w:rFonts w:ascii="Times New Roman" w:hAnsi="Times New Roman" w:cs="Times New Roman"/>
                <w:noProof/>
              </w:rPr>
              <w:t>Supplementary Figure 3</w:t>
            </w:r>
            <w:r>
              <w:rPr>
                <w:noProof/>
                <w:webHidden/>
              </w:rPr>
              <w:tab/>
            </w:r>
            <w:r>
              <w:rPr>
                <w:noProof/>
                <w:webHidden/>
              </w:rPr>
              <w:fldChar w:fldCharType="begin"/>
            </w:r>
            <w:r>
              <w:rPr>
                <w:noProof/>
                <w:webHidden/>
              </w:rPr>
              <w:instrText xml:space="preserve"> PAGEREF _Toc235526594 \h </w:instrText>
            </w:r>
            <w:r>
              <w:rPr>
                <w:noProof/>
                <w:webHidden/>
              </w:rPr>
            </w:r>
            <w:r>
              <w:rPr>
                <w:noProof/>
                <w:webHidden/>
              </w:rPr>
              <w:fldChar w:fldCharType="separate"/>
            </w:r>
            <w:r>
              <w:rPr>
                <w:noProof/>
                <w:webHidden/>
              </w:rPr>
              <w:t>5</w:t>
            </w:r>
            <w:r>
              <w:rPr>
                <w:noProof/>
                <w:webHidden/>
              </w:rPr>
              <w:fldChar w:fldCharType="end"/>
            </w:r>
          </w:hyperlink>
        </w:p>
        <w:p w14:paraId="53AEC68B" w14:textId="5EDFD13F" w:rsidR="00C21445" w:rsidRDefault="00C21445">
          <w:pPr>
            <w:pStyle w:val="TDC2"/>
            <w:tabs>
              <w:tab w:val="right" w:leader="dot" w:pos="8828"/>
            </w:tabs>
            <w:rPr>
              <w:rFonts w:asciiTheme="minorHAnsi" w:hAnsiTheme="minorHAnsi"/>
              <w:noProof/>
              <w:kern w:val="2"/>
              <w:sz w:val="24"/>
              <w:szCs w:val="24"/>
              <w:lang/>
              <w14:ligatures w14:val="standardContextual"/>
            </w:rPr>
          </w:pPr>
          <w:hyperlink w:anchor="_Toc235526595" w:history="1">
            <w:r w:rsidRPr="00247B68">
              <w:rPr>
                <w:rStyle w:val="Hipervnculo"/>
                <w:rFonts w:ascii="Times New Roman" w:hAnsi="Times New Roman" w:cs="Times New Roman"/>
                <w:noProof/>
              </w:rPr>
              <w:t>Supplementary Figure 5</w:t>
            </w:r>
            <w:r>
              <w:rPr>
                <w:noProof/>
                <w:webHidden/>
              </w:rPr>
              <w:tab/>
            </w:r>
            <w:r>
              <w:rPr>
                <w:noProof/>
                <w:webHidden/>
              </w:rPr>
              <w:fldChar w:fldCharType="begin"/>
            </w:r>
            <w:r>
              <w:rPr>
                <w:noProof/>
                <w:webHidden/>
              </w:rPr>
              <w:instrText xml:space="preserve"> PAGEREF _Toc235526595 \h </w:instrText>
            </w:r>
            <w:r>
              <w:rPr>
                <w:noProof/>
                <w:webHidden/>
              </w:rPr>
            </w:r>
            <w:r>
              <w:rPr>
                <w:noProof/>
                <w:webHidden/>
              </w:rPr>
              <w:fldChar w:fldCharType="separate"/>
            </w:r>
            <w:r>
              <w:rPr>
                <w:noProof/>
                <w:webHidden/>
              </w:rPr>
              <w:t>6</w:t>
            </w:r>
            <w:r>
              <w:rPr>
                <w:noProof/>
                <w:webHidden/>
              </w:rPr>
              <w:fldChar w:fldCharType="end"/>
            </w:r>
          </w:hyperlink>
        </w:p>
        <w:p w14:paraId="7303A506" w14:textId="49040070" w:rsidR="00C21445" w:rsidRDefault="00C21445">
          <w:pPr>
            <w:pStyle w:val="TDC2"/>
            <w:tabs>
              <w:tab w:val="right" w:leader="dot" w:pos="8828"/>
            </w:tabs>
            <w:rPr>
              <w:rFonts w:asciiTheme="minorHAnsi" w:hAnsiTheme="minorHAnsi"/>
              <w:noProof/>
              <w:kern w:val="2"/>
              <w:sz w:val="24"/>
              <w:szCs w:val="24"/>
              <w:lang/>
              <w14:ligatures w14:val="standardContextual"/>
            </w:rPr>
          </w:pPr>
          <w:hyperlink w:anchor="_Toc235526596" w:history="1">
            <w:r w:rsidRPr="00247B68">
              <w:rPr>
                <w:rStyle w:val="Hipervnculo"/>
                <w:rFonts w:ascii="Times New Roman" w:hAnsi="Times New Roman" w:cs="Times New Roman"/>
                <w:noProof/>
              </w:rPr>
              <w:t>Supplementary Figure 6.</w:t>
            </w:r>
            <w:r>
              <w:rPr>
                <w:noProof/>
                <w:webHidden/>
              </w:rPr>
              <w:tab/>
            </w:r>
            <w:r>
              <w:rPr>
                <w:noProof/>
                <w:webHidden/>
              </w:rPr>
              <w:fldChar w:fldCharType="begin"/>
            </w:r>
            <w:r>
              <w:rPr>
                <w:noProof/>
                <w:webHidden/>
              </w:rPr>
              <w:instrText xml:space="preserve"> PAGEREF _Toc235526596 \h </w:instrText>
            </w:r>
            <w:r>
              <w:rPr>
                <w:noProof/>
                <w:webHidden/>
              </w:rPr>
            </w:r>
            <w:r>
              <w:rPr>
                <w:noProof/>
                <w:webHidden/>
              </w:rPr>
              <w:fldChar w:fldCharType="separate"/>
            </w:r>
            <w:r>
              <w:rPr>
                <w:noProof/>
                <w:webHidden/>
              </w:rPr>
              <w:t>7</w:t>
            </w:r>
            <w:r>
              <w:rPr>
                <w:noProof/>
                <w:webHidden/>
              </w:rPr>
              <w:fldChar w:fldCharType="end"/>
            </w:r>
          </w:hyperlink>
        </w:p>
        <w:p w14:paraId="01D912C4" w14:textId="6DDED1E9" w:rsidR="00084138" w:rsidRPr="00BC3496" w:rsidRDefault="00084138">
          <w:pPr>
            <w:rPr>
              <w:rFonts w:ascii="Times New Roman" w:hAnsi="Times New Roman" w:cs="Times New Roman"/>
              <w:sz w:val="22"/>
            </w:rPr>
          </w:pPr>
          <w:r w:rsidRPr="00BC3496">
            <w:rPr>
              <w:rFonts w:ascii="Times New Roman" w:hAnsi="Times New Roman" w:cs="Times New Roman"/>
              <w:b/>
              <w:bCs/>
              <w:noProof/>
              <w:sz w:val="22"/>
            </w:rPr>
            <w:fldChar w:fldCharType="end"/>
          </w:r>
        </w:p>
      </w:sdtContent>
    </w:sdt>
    <w:p w14:paraId="0FCA30BF" w14:textId="018DA67B" w:rsidR="00084138" w:rsidRPr="00BC3496" w:rsidRDefault="00084138" w:rsidP="00084138">
      <w:pPr>
        <w:rPr>
          <w:rFonts w:ascii="Times New Roman" w:hAnsi="Times New Roman" w:cs="Times New Roman"/>
          <w:sz w:val="22"/>
          <w:lang w:val="es-MX"/>
        </w:rPr>
      </w:pPr>
    </w:p>
    <w:p w14:paraId="1CF4C9D4" w14:textId="77777777" w:rsidR="00084138" w:rsidRPr="00BC3496" w:rsidRDefault="00084138" w:rsidP="00084138">
      <w:pPr>
        <w:rPr>
          <w:rFonts w:ascii="Times New Roman" w:hAnsi="Times New Roman" w:cs="Times New Roman"/>
          <w:sz w:val="22"/>
          <w:lang w:val="es-MX"/>
        </w:rPr>
      </w:pPr>
    </w:p>
    <w:p w14:paraId="155BB7AB" w14:textId="77777777" w:rsidR="00084138" w:rsidRPr="00BC3496" w:rsidRDefault="00084138" w:rsidP="00084138">
      <w:pPr>
        <w:rPr>
          <w:rFonts w:ascii="Times New Roman" w:hAnsi="Times New Roman" w:cs="Times New Roman"/>
          <w:sz w:val="22"/>
          <w:lang w:val="es-MX"/>
        </w:rPr>
      </w:pPr>
    </w:p>
    <w:p w14:paraId="2EA77C6D" w14:textId="77777777" w:rsidR="00084138" w:rsidRPr="00BC3496" w:rsidRDefault="00084138" w:rsidP="00084138">
      <w:pPr>
        <w:rPr>
          <w:rFonts w:ascii="Times New Roman" w:hAnsi="Times New Roman" w:cs="Times New Roman"/>
          <w:sz w:val="22"/>
          <w:lang w:val="es-MX"/>
        </w:rPr>
      </w:pPr>
    </w:p>
    <w:p w14:paraId="121AB344" w14:textId="77777777" w:rsidR="00084138" w:rsidRPr="00BC3496" w:rsidRDefault="00084138" w:rsidP="00084138">
      <w:pPr>
        <w:rPr>
          <w:rFonts w:ascii="Times New Roman" w:hAnsi="Times New Roman" w:cs="Times New Roman"/>
          <w:sz w:val="22"/>
          <w:lang w:val="es-MX"/>
        </w:rPr>
      </w:pPr>
    </w:p>
    <w:p w14:paraId="51296317" w14:textId="77777777" w:rsidR="00084138" w:rsidRPr="00BC3496" w:rsidRDefault="00084138" w:rsidP="00084138">
      <w:pPr>
        <w:rPr>
          <w:rFonts w:ascii="Times New Roman" w:hAnsi="Times New Roman" w:cs="Times New Roman"/>
          <w:sz w:val="22"/>
          <w:lang w:val="es-MX"/>
        </w:rPr>
      </w:pPr>
    </w:p>
    <w:p w14:paraId="02058E02" w14:textId="77777777" w:rsidR="00084138" w:rsidRPr="00BC3496" w:rsidRDefault="00084138" w:rsidP="00084138">
      <w:pPr>
        <w:rPr>
          <w:rFonts w:ascii="Times New Roman" w:hAnsi="Times New Roman" w:cs="Times New Roman"/>
          <w:sz w:val="22"/>
          <w:lang w:val="es-MX"/>
        </w:rPr>
      </w:pPr>
    </w:p>
    <w:p w14:paraId="0116C284" w14:textId="77777777" w:rsidR="00084138" w:rsidRPr="00BC3496" w:rsidRDefault="00084138" w:rsidP="00084138">
      <w:pPr>
        <w:rPr>
          <w:rFonts w:ascii="Times New Roman" w:hAnsi="Times New Roman" w:cs="Times New Roman"/>
          <w:sz w:val="22"/>
          <w:lang w:val="es-MX"/>
        </w:rPr>
      </w:pPr>
    </w:p>
    <w:p w14:paraId="2C0288A1" w14:textId="77777777" w:rsidR="00084138" w:rsidRPr="00BC3496" w:rsidRDefault="00084138" w:rsidP="00084138">
      <w:pPr>
        <w:rPr>
          <w:rFonts w:ascii="Times New Roman" w:hAnsi="Times New Roman" w:cs="Times New Roman"/>
          <w:sz w:val="22"/>
          <w:lang w:val="es-MX"/>
        </w:rPr>
      </w:pPr>
    </w:p>
    <w:p w14:paraId="5856CA34" w14:textId="77777777" w:rsidR="00084138" w:rsidRPr="00BC3496" w:rsidRDefault="00084138" w:rsidP="00084138">
      <w:pPr>
        <w:rPr>
          <w:rFonts w:ascii="Times New Roman" w:hAnsi="Times New Roman" w:cs="Times New Roman"/>
          <w:sz w:val="22"/>
          <w:lang w:val="es-MX"/>
        </w:rPr>
      </w:pPr>
    </w:p>
    <w:p w14:paraId="1D5671F6" w14:textId="77777777" w:rsidR="00084138" w:rsidRPr="00BC3496" w:rsidRDefault="00084138" w:rsidP="00084138">
      <w:pPr>
        <w:rPr>
          <w:rFonts w:ascii="Times New Roman" w:hAnsi="Times New Roman" w:cs="Times New Roman"/>
          <w:sz w:val="22"/>
          <w:lang w:val="es-MX"/>
        </w:rPr>
      </w:pPr>
    </w:p>
    <w:p w14:paraId="5870B689" w14:textId="77777777" w:rsidR="00BC3496" w:rsidRPr="00BC3496" w:rsidRDefault="00BC3496">
      <w:pPr>
        <w:rPr>
          <w:rFonts w:ascii="Times New Roman" w:eastAsiaTheme="majorEastAsia" w:hAnsi="Times New Roman" w:cs="Times New Roman"/>
          <w:b/>
          <w:bCs/>
          <w:color w:val="4F81BD" w:themeColor="accent1"/>
          <w:sz w:val="22"/>
        </w:rPr>
      </w:pPr>
      <w:r w:rsidRPr="00BC3496">
        <w:rPr>
          <w:rFonts w:ascii="Times New Roman" w:hAnsi="Times New Roman" w:cs="Times New Roman"/>
          <w:sz w:val="22"/>
        </w:rPr>
        <w:br w:type="page"/>
      </w:r>
    </w:p>
    <w:p w14:paraId="15F91124" w14:textId="59FE5CE1" w:rsidR="00115228" w:rsidRPr="004D5894" w:rsidRDefault="00115228" w:rsidP="00C21445">
      <w:pPr>
        <w:pStyle w:val="Ttulo2"/>
        <w:spacing w:line="360" w:lineRule="auto"/>
        <w:rPr>
          <w:rFonts w:ascii="Times New Roman" w:hAnsi="Times New Roman" w:cs="Times New Roman"/>
          <w:color w:val="000000" w:themeColor="text1"/>
          <w:sz w:val="22"/>
          <w:szCs w:val="22"/>
        </w:rPr>
      </w:pPr>
      <w:bookmarkStart w:id="0" w:name="_Toc235526591"/>
      <w:r w:rsidRPr="004D5894">
        <w:rPr>
          <w:rFonts w:ascii="Times New Roman" w:hAnsi="Times New Roman" w:cs="Times New Roman"/>
          <w:color w:val="000000" w:themeColor="text1"/>
          <w:sz w:val="22"/>
          <w:szCs w:val="22"/>
        </w:rPr>
        <w:lastRenderedPageBreak/>
        <w:t>Supplementary Methods</w:t>
      </w:r>
      <w:bookmarkEnd w:id="0"/>
      <w:r w:rsidRPr="004D5894">
        <w:rPr>
          <w:rFonts w:ascii="Times New Roman" w:hAnsi="Times New Roman" w:cs="Times New Roman"/>
          <w:color w:val="000000" w:themeColor="text1"/>
          <w:sz w:val="22"/>
          <w:szCs w:val="22"/>
        </w:rPr>
        <w:t xml:space="preserve"> </w:t>
      </w:r>
    </w:p>
    <w:p w14:paraId="7F40B9E0" w14:textId="77777777" w:rsidR="00115228" w:rsidRPr="004D5894" w:rsidRDefault="00115228" w:rsidP="00C21445">
      <w:pPr>
        <w:spacing w:line="360" w:lineRule="auto"/>
        <w:rPr>
          <w:rFonts w:ascii="Times New Roman" w:hAnsi="Times New Roman" w:cs="Times New Roman"/>
          <w:color w:val="000000" w:themeColor="text1"/>
          <w:sz w:val="22"/>
        </w:rPr>
      </w:pPr>
    </w:p>
    <w:p w14:paraId="23C99ABB" w14:textId="515AAA0D" w:rsidR="00C21445" w:rsidRPr="004D5894" w:rsidRDefault="00C21445" w:rsidP="00C21445">
      <w:pPr>
        <w:spacing w:line="360" w:lineRule="auto"/>
        <w:rPr>
          <w:rFonts w:ascii="Times New Roman" w:hAnsi="Times New Roman" w:cs="Times New Roman"/>
          <w:i/>
          <w:iCs/>
          <w:color w:val="000000" w:themeColor="text1"/>
          <w:sz w:val="22"/>
          <w:u w:val="single"/>
        </w:rPr>
      </w:pPr>
      <w:r w:rsidRPr="004D5894">
        <w:rPr>
          <w:rFonts w:ascii="Times New Roman" w:hAnsi="Times New Roman" w:cs="Times New Roman"/>
          <w:i/>
          <w:iCs/>
          <w:color w:val="000000" w:themeColor="text1"/>
          <w:sz w:val="22"/>
          <w:u w:val="single"/>
        </w:rPr>
        <w:t>ENSANUT 2022 sampling design</w:t>
      </w:r>
    </w:p>
    <w:p w14:paraId="461AC979" w14:textId="107C1ACF" w:rsidR="00C21445" w:rsidRPr="004D5894" w:rsidRDefault="00C21445" w:rsidP="00C21445">
      <w:pPr>
        <w:spacing w:line="360" w:lineRule="auto"/>
        <w:jc w:val="both"/>
        <w:rPr>
          <w:rFonts w:ascii="Times New Roman" w:hAnsi="Times New Roman" w:cs="Times New Roman"/>
          <w:color w:val="000000" w:themeColor="text1"/>
          <w:sz w:val="22"/>
        </w:rPr>
      </w:pPr>
      <w:r w:rsidRPr="004D5894">
        <w:rPr>
          <w:rFonts w:ascii="Times New Roman" w:hAnsi="Times New Roman" w:cs="Times New Roman"/>
          <w:color w:val="000000" w:themeColor="text1"/>
          <w:sz w:val="22"/>
        </w:rPr>
        <w:t xml:space="preserve">The Mexican National Health and Nutrition Survey (ENSANUT) 2022 is a probabilistic, stratified, multi-stage survey designed to be representative of the Mexican population at a municipal level, conducted by the Mexican Ministry of Health and the National Institute of Public Health. Complete methods have been published elsewhere </w:t>
      </w:r>
      <w:r w:rsidR="004D5894" w:rsidRPr="004D5894">
        <w:rPr>
          <w:rFonts w:ascii="Times New Roman" w:hAnsi="Times New Roman" w:cs="Times New Roman"/>
          <w:sz w:val="22"/>
        </w:rPr>
        <w:fldChar w:fldCharType="begin"/>
      </w:r>
      <w:r w:rsidR="004D5894" w:rsidRPr="004D5894">
        <w:rPr>
          <w:rFonts w:ascii="Times New Roman" w:hAnsi="Times New Roman" w:cs="Times New Roman"/>
          <w:sz w:val="22"/>
        </w:rPr>
        <w:instrText xml:space="preserve"> ADDIN ZOTERO_ITEM CSL_CITATION {"citationID":"NtQrBdo9","properties":{"formattedCitation":"[1]","plainCitation":"[1]","noteIndex":0},"citationItems":[{"id":"bKJ3GT4C/WCK6UK5L","uris":["http://zotero.org/users/6849541/items/T7CCSCY9"],"itemData":{"id":2657,"type":"article-journal","abstract":"Objective. To present the design of the National Health and Nutrition Survey (Ensanut) 2022 and to quantify the progress of the Ensanut Continua 2020-2024. Materials and methods. Ensanut 2022 is the third survey in the series of surveys called Ensanut Continua 2020-2024. In this document, we describe the scope of Ensanut 2022 and its sampling, measurement and logistical organization procedures. In addition, the expected progress of the Ensanut Continua 2020-2024 at the conclusion of the Ensanut 2022 is presen­ted. Results. Ensanut 2022 will obtain nationwide, at least 10 160 complete household interviews and 9 441 SARS-CoV-2 seropositivity results. Conclusions. Ensanut 2022 will estimate the prevalence of SARS-CoV-2 seropositivity at the national and regional levels and will continue with the data gathering process, in order to achieve the objectives of the Ensanut Continua 2020-2024.","container-title":"Salud Pública de México","DOI":"10.21149/14186","ISSN":"1606-7916","issue":"5, sept-oct","language":"es","license":"Derechos de autor 2022 Salud Pública de México","page":"522-529","source":"saludpublica.mx","title":"Metodología de la Encuesta Nacional de Salud y Nutrición 2022 y Planeación y diseño de la Ensanut Continua 2020-2024","volume":"64","author":[{"family":"Romero-Martínez","given":"Martín"},{"family":"Barrientos-Gutiérrez","given":"Tonatiuh"},{"family":"Cuevas-Nasu","given":"Lucia"},{"family":"Bautista-Arrendondo","given":"Sergio"},{"family":"Colchero","given":"M. Arantxa"},{"family":"Gaona-Pineda","given":"Elsa B."},{"family":"Martínez-Barnetche","given":"Jesús"},{"family":"Alpuche-Aranda","given":"Celia"},{"family":"Gómez-Acosta","given":"Luz M."},{"family":"Mendoza-Alvarado","given":"Laura R."},{"family":"Rivera-Dommarco","given":"Juan"},{"family":"Lazcano-Ponce","given":"Eduardo"},{"family":"Shamah-Levy","given":"Teresa"}],"issued":{"date-parts":[["2022",8,26]]}},"locator":"2020-2024"}],"schema":"https://github.com/citation-style-language/schema/raw/master/csl-citation.json"} </w:instrText>
      </w:r>
      <w:r w:rsidR="004D5894" w:rsidRPr="004D5894">
        <w:rPr>
          <w:rFonts w:ascii="Times New Roman" w:hAnsi="Times New Roman" w:cs="Times New Roman"/>
          <w:sz w:val="22"/>
        </w:rPr>
        <w:fldChar w:fldCharType="separate"/>
      </w:r>
      <w:r w:rsidR="004D5894" w:rsidRPr="004D5894">
        <w:rPr>
          <w:rFonts w:ascii="Times New Roman" w:hAnsi="Times New Roman" w:cs="Times New Roman"/>
          <w:noProof/>
          <w:sz w:val="22"/>
        </w:rPr>
        <w:t>[1]</w:t>
      </w:r>
      <w:r w:rsidR="004D5894" w:rsidRPr="004D5894">
        <w:rPr>
          <w:rFonts w:ascii="Times New Roman" w:hAnsi="Times New Roman" w:cs="Times New Roman"/>
          <w:sz w:val="22"/>
        </w:rPr>
        <w:fldChar w:fldCharType="end"/>
      </w:r>
      <w:r w:rsidRPr="004D5894">
        <w:rPr>
          <w:rFonts w:ascii="Times New Roman" w:hAnsi="Times New Roman" w:cs="Times New Roman"/>
          <w:color w:val="000000" w:themeColor="text1"/>
          <w:sz w:val="22"/>
        </w:rPr>
        <w:t xml:space="preserve">. Briefly, the ENSANUT sample size of 13,879 households aimed to estimate a 53% COVID-19 seroprevalence (margin of error of 6%), adjusted for a design effect of 3.52 (based on ENSANUT 2021 estimations) and a response rate of 59%. The final sample included 10,160 households, </w:t>
      </w:r>
      <w:r w:rsidR="004D5894">
        <w:rPr>
          <w:rFonts w:ascii="Times New Roman" w:hAnsi="Times New Roman" w:cs="Times New Roman"/>
          <w:color w:val="000000" w:themeColor="text1"/>
          <w:sz w:val="22"/>
        </w:rPr>
        <w:t>which were assumed to be</w:t>
      </w:r>
      <w:r w:rsidRPr="004D5894">
        <w:rPr>
          <w:rFonts w:ascii="Times New Roman" w:hAnsi="Times New Roman" w:cs="Times New Roman"/>
          <w:color w:val="000000" w:themeColor="text1"/>
          <w:sz w:val="22"/>
        </w:rPr>
        <w:t xml:space="preserve"> sufficient to obtain accurate chronic disease estimates based on 2020 data </w:t>
      </w:r>
      <w:r w:rsidRPr="004D5894">
        <w:rPr>
          <w:rFonts w:ascii="Times New Roman" w:hAnsi="Times New Roman" w:cs="Times New Roman"/>
          <w:sz w:val="22"/>
        </w:rPr>
        <w:fldChar w:fldCharType="begin"/>
      </w:r>
      <w:r w:rsidR="004D5894" w:rsidRPr="004D5894">
        <w:rPr>
          <w:rFonts w:ascii="Times New Roman" w:hAnsi="Times New Roman" w:cs="Times New Roman"/>
          <w:sz w:val="22"/>
        </w:rPr>
        <w:instrText xml:space="preserve"> ADDIN ZOTERO_ITEM CSL_CITATION {"citationID":"4YvFOTQx","properties":{"formattedCitation":"[1]","plainCitation":"[1]","noteIndex":0},"citationItems":[{"id":"bKJ3GT4C/WCK6UK5L","uris":["http://zotero.org/users/6849541/items/T7CCSCY9"],"itemData":{"id":2657,"type":"article-journal","abstract":"Objective. To present the design of the National Health and Nutrition Survey (Ensanut) 2022 and to quantify the progress of the Ensanut Continua 2020-2024. Materials and methods. Ensanut 2022 is the third survey in the series of surveys called Ensanut Continua 2020-2024. In this document, we describe the scope of Ensanut 2022 and its sampling, measurement and logistical organization procedures. In addition, the expected progress of the Ensanut Continua 2020-2024 at the conclusion of the Ensanut 2022 is presen­ted. Results. Ensanut 2022 will obtain nationwide, at least 10 160 complete household interviews and 9 441 SARS-CoV-2 seropositivity results. Conclusions. Ensanut 2022 will estimate the prevalence of SARS-CoV-2 seropositivity at the national and regional levels and will continue with the data gathering process, in order to achieve the objectives of the Ensanut Continua 2020-2024.","container-title":"Salud Pública de México","DOI":"10.21149/14186","ISSN":"1606-7916","issue":"5, sept-oct","language":"es","license":"Derechos de autor 2022 Salud Pública de México","page":"522-529","source":"saludpublica.mx","title":"Metodología de la Encuesta Nacional de Salud y Nutrición 2022 y Planeación y diseño de la Ensanut Continua 2020-2024","volume":"64","author":[{"family":"Romero-Martínez","given":"Martín"},{"family":"Barrientos-Gutiérrez","given":"Tonatiuh"},{"family":"Cuevas-Nasu","given":"Lucia"},{"family":"Bautista-Arrendondo","given":"Sergio"},{"family":"Colchero","given":"M. Arantxa"},{"family":"Gaona-Pineda","given":"Elsa B."},{"family":"Martínez-Barnetche","given":"Jesús"},{"family":"Alpuche-Aranda","given":"Celia"},{"family":"Gómez-Acosta","given":"Luz M."},{"family":"Mendoza-Alvarado","given":"Laura R."},{"family":"Rivera-Dommarco","given":"Juan"},{"family":"Lazcano-Ponce","given":"Eduardo"},{"family":"Shamah-Levy","given":"Teresa"}],"issued":{"date-parts":[["2022",8,26]]}},"locator":"2020-2024"}],"schema":"https://github.com/citation-style-language/schema/raw/master/csl-citation.json"} </w:instrText>
      </w:r>
      <w:r w:rsidRPr="004D5894">
        <w:rPr>
          <w:rFonts w:ascii="Times New Roman" w:hAnsi="Times New Roman" w:cs="Times New Roman"/>
          <w:sz w:val="22"/>
        </w:rPr>
        <w:fldChar w:fldCharType="separate"/>
      </w:r>
      <w:r w:rsidR="004D5894" w:rsidRPr="004D5894">
        <w:rPr>
          <w:rFonts w:ascii="Times New Roman" w:hAnsi="Times New Roman" w:cs="Times New Roman"/>
          <w:noProof/>
          <w:sz w:val="22"/>
        </w:rPr>
        <w:t>[1]</w:t>
      </w:r>
      <w:r w:rsidRPr="004D5894">
        <w:rPr>
          <w:rFonts w:ascii="Times New Roman" w:hAnsi="Times New Roman" w:cs="Times New Roman"/>
          <w:sz w:val="22"/>
        </w:rPr>
        <w:fldChar w:fldCharType="end"/>
      </w:r>
      <w:r w:rsidRPr="004D5894">
        <w:rPr>
          <w:rFonts w:ascii="Times New Roman" w:hAnsi="Times New Roman" w:cs="Times New Roman"/>
          <w:color w:val="000000" w:themeColor="text1"/>
          <w:sz w:val="22"/>
        </w:rPr>
        <w:t>. The subsampling strategy used for blood pressure and biochemical measurements was applied only to a randomly selected subsample of participants. All analyses applied the corresponding survey sampling weight to preserve national representativeness despite these restrictions. For our analyses, we performed a complete-case analysis.</w:t>
      </w:r>
    </w:p>
    <w:p w14:paraId="1FCB9890" w14:textId="4601976B" w:rsidR="00115228" w:rsidRPr="004D5894" w:rsidRDefault="00C21445" w:rsidP="00C21445">
      <w:pPr>
        <w:spacing w:line="360" w:lineRule="auto"/>
        <w:jc w:val="both"/>
        <w:rPr>
          <w:rFonts w:ascii="Times New Roman" w:hAnsi="Times New Roman" w:cs="Times New Roman"/>
          <w:i/>
          <w:iCs/>
          <w:color w:val="000000" w:themeColor="text1"/>
          <w:sz w:val="22"/>
          <w:u w:val="single"/>
          <w:lang/>
        </w:rPr>
      </w:pPr>
      <w:r w:rsidRPr="004D5894">
        <w:rPr>
          <w:rFonts w:ascii="Times New Roman" w:hAnsi="Times New Roman" w:cs="Times New Roman"/>
          <w:i/>
          <w:iCs/>
          <w:color w:val="000000" w:themeColor="text1"/>
          <w:sz w:val="22"/>
          <w:u w:val="single"/>
          <w:lang/>
        </w:rPr>
        <w:t>Prevalence estimations</w:t>
      </w:r>
    </w:p>
    <w:p w14:paraId="2144559E" w14:textId="331CD371" w:rsidR="00C21445" w:rsidRPr="00C21445" w:rsidRDefault="00C21445" w:rsidP="00C21445">
      <w:pPr>
        <w:spacing w:line="360" w:lineRule="auto"/>
        <w:jc w:val="both"/>
        <w:rPr>
          <w:rFonts w:ascii="Times New Roman" w:hAnsi="Times New Roman" w:cs="Times New Roman"/>
          <w:color w:val="000000" w:themeColor="text1"/>
          <w:sz w:val="22"/>
        </w:rPr>
      </w:pPr>
      <w:r w:rsidRPr="00C21445">
        <w:rPr>
          <w:rFonts w:ascii="Times New Roman" w:hAnsi="Times New Roman" w:cs="Times New Roman"/>
          <w:color w:val="000000" w:themeColor="text1"/>
          <w:sz w:val="22"/>
        </w:rPr>
        <w:t xml:space="preserve">CVD risk categories were derived by applying the Globorisk equation recalibrated for the Mexican population to each participant's estimated 10-year fatal CVD risk, using the original Globorisk thresholds: low (&lt;5%), intermediate (5–9.9%), high (10–19.9%), and very high (≥20%) risk </w:t>
      </w:r>
      <w:r w:rsidR="004D5894" w:rsidRPr="004D5894">
        <w:rPr>
          <w:rFonts w:ascii="Times New Roman" w:hAnsi="Times New Roman" w:cs="Times New Roman"/>
          <w:color w:val="000000" w:themeColor="text1"/>
          <w:sz w:val="22"/>
        </w:rPr>
        <w:fldChar w:fldCharType="begin"/>
      </w:r>
      <w:r w:rsidR="004D5894" w:rsidRPr="004D5894">
        <w:rPr>
          <w:rFonts w:ascii="Times New Roman" w:hAnsi="Times New Roman" w:cs="Times New Roman"/>
          <w:color w:val="000000" w:themeColor="text1"/>
          <w:sz w:val="22"/>
        </w:rPr>
        <w:instrText xml:space="preserve"> ADDIN ZOTERO_ITEM CSL_CITATION {"citationID":"y7Vlguux","properties":{"formattedCitation":"[2,3]","plainCitation":"[2,3]","noteIndex":0},"citationItems":[{"id":6485,"uris":["http://zotero.org/users/9207965/items/QNEBU94S"],"itemData":{"id":6485,"type":"article-journal","abstract":"BACKGROUND: Cardiovascular disease (CVD) is the leading cause of mortality in Latin America, yet most CVD risk equations were developed in high-income  countries with limited validations in these settings. Here, we externally  validated CVD risk prediction models for fatal CVD, and recalibrated the  Globorisk-fatal model in Mexican population. METHODS: We analyzed 112,262 adults  ≥40 years, 67% (75,320) female and 33% (36,942) males, mean age 54.6 ± 10.7 years  without prior CVD from the Mexico City Prospective Study. The primary outcome was  10-year fatal CVD, including myocardial infarction (MI) and stroke. CVD risk was  estimated using the laboratory- and office-based Framingham, Globorisk,  Globorisk-LAC, WHO, and SCORE2 equations. Discrimination was assessed with  Harrell's c-statistic and AUROCs, calibration with mean estimates, slopes, and  calibration curves, and overall performance with Brier scores. Sex-specific  recalibration of the Globorisk-fatal model was performed using observed risks of  fatal CVD. FINDINGS: During 10 years of follow-up, 2429 fatal CVD events were  recorded (1667 MI, 762 stroke). All models showed good discrimination, with  c-statistics ranging from 0.761 to 0.805 in males and 0.797-0.831 in females. The  Globorisk-fatal model had the highest c-statistic in females (0.831, 95% CI  0.821-0.841), and the laboratory-based WHO-MI model in males (0.805, 95% CI  0.783-0.827). Despite this, all equations consistently overestimated CVD risk,  particularly in females. Calibration analyses revealed systematic overprediction  at higher risk levels. Recalibration of the Globorisk-fatal model improved  agreement between predicted and observed risks. INTERPRETATION: CVD risk models  showed good discrimination but consistently overestimated risk in this Mexican  cohort. The recalibrated Globorisk-fatal model improves risk estimation of fatal  CVD in Mexican adults. FUNDING: This research was supported by Instituto Nacional  de Geriatría in Mexico.","container-title":"Lancet regional health. Americas","DOI":"10.1016/j.lana.2026.101403","ISSN":"2667-193X","journalAbbreviation":"Lancet Reg Health Am","language":"eng","license":"© 2026 The Authors.","note":"publisher-place: England\nPMID: 41732703 \nPMCID: PMC12925590","page":"101403","title":"External validation and recalibration of cardiovascular risk scores for prediction of 10-year risk of fatal cardiovascular disease: a prospective,  observational, population-based cohort analysis of adults in Mexico City.","volume":"56","author":[{"family":"Perezalonso-Espinosa","given":"Jerónimo"},{"family":"Ramírez-García","given":"Daniel"},{"family":"Díaz-Sánchez","given":"Juan Pablo"},{"family":"Carrillo-Herrera","given":"Karime Berenice"},{"family":"Cabrera-Quintana","given":"Leslie Alitzel"},{"family":"Dávila-López","given":"Gael"},{"family":"Fermín-Martínez","given":"Carlos A."},{"family":"Malagón-Liceaga","given":"Andrea"},{"family":"Basile-Álvarez","given":"Martín Roberto"},{"family":"Berumen-Campos","given":"Jaime"},{"family":"Kuri-Morales","given":"Pablo"},{"family":"Tapia-Conyer","given":"Roberto"},{"family":"Alegre-Díaz","given":"Jesus"},{"family":"Seiglie","given":"Jacqueline A."},{"family":"Antonio-Villa","given":"Neftali Eduardo"},{"family":"Bello-Chavolla","given":"Omar Yaxmehen"}],"issued":{"date-parts":[["2026",4]]}}},{"id":635,"uris":["http://zotero.org/users/9207965/items/7Z39LWPW"],"itemData":{"id":635,"type":"article-journal","abstract":"BACKGROUND: Treatment of cardiovascular risk factors based on disease risk depends on valid risk prediction equations. We aimed to develop, and apply in example countries, a risk prediction equation for cardiovascular disease (consisting here of coronary heart disease and stroke) that can be recalibrated and updated for application in different countries with routinely available information.\nMETHODS: We used data from eight prospective cohort studies to estimate coefficients of the risk equation with proportional hazard regressions. The risk prediction equation included smoking, blood pressure, diabetes, and total cholesterol, and allowed the effects of sex and age on cardiovascular disease to vary between cohorts or countries. We developed risk equations for fatal cardiovascular disease and for fatal plus non-fatal cardiovascular disease. We validated the risk equations internally and also using data from three cohorts that were not used to create the equations. We then used the risk prediction equation and data from recent (2006 or later) national health surveys to estimate the proportion of the population at different levels of cardiovascular disease risk in 11 countries from different world regions (China, Czech Republic, Denmark, England, Iran, Japan, Malawi, Mexico, South Korea, Spain, and USA).\nFINDINGS: The risk score discriminated well in internal and external validations, with C statistics generally 70% or more. At any age and risk factor level, the estimated 10 year fatal cardiovascular disease risk varied substantially between countries. The prevalence of people at high risk of fatal cardiovascular disease was lowest in South Korea, Spain, and Denmark, where only 5-10% of men and women had more than a 10% risk, and 62-77% of men and 79-82% of women had less than a 3% risk. Conversely, the proportion of people at high risk of fatal cardiovascular disease was largest in China and Mexico. In China, 33% of men and 28% of women had a 10-year risk of fatal cardiovascular disease of 10% or more, whereas in Mexico, the prevalence of this high risk was 16% for men and 11% for women. The prevalence of less than a 3% risk was 37% for men and 42% for women in China, and 55% for men and 69% for women in Mexico.\nINTERPRETATION: We developed a cardiovascular disease risk equation that can be recalibrated for application in different countries with routinely available information. The estimated percentage of people at high risk of fatal cardiovascular disease was higher in low-income and middle-income countries than in high-income countries.\nFUNDING: US National Institutes of Health, UK Medical Research Council, Wellcome Trust.","container-title":"The Lancet. Diabetes &amp; Endocrinology","DOI":"10.1016/S2213-8587(15)00081-9","ISSN":"2213-8595","issue":"5","journalAbbreviation":"Lancet Diabetes Endocrinol","language":"eng","note":"PMID: 25819778","page":"339-355","source":"PubMed","title":"A novel risk score to predict cardiovascular disease risk in national populations (Globorisk): a pooled analysis of prospective cohorts and health examination surveys","title-short":"A novel risk score to predict cardiovascular disease risk in national populations (Globorisk)","volume":"3","author":[{"family":"Hajifathalian","given":"Kaveh"},{"family":"Ueda","given":"Peter"},{"family":"Lu","given":"Yuan"},{"family":"Woodward","given":"Mark"},{"family":"Ahmadvand","given":"Alireza"},{"family":"Aguilar-Salinas","given":"Carlos A."},{"family":"Azizi","given":"Fereidoun"},{"family":"Cifkova","given":"Renata"},{"family":"Di Cesare","given":"Mariachiara"},{"family":"Eriksen","given":"Louise"},{"family":"Farzadfar","given":"Farshad"},{"family":"Ikeda","given":"Nayu"},{"family":"Khalili","given":"Davood"},{"family":"Khang","given":"Young-Ho"},{"family":"Lanska","given":"Vera"},{"family":"León-Muñoz","given":"Luz"},{"family":"Magliano","given":"Dianna"},{"family":"Msyamboza","given":"Kelias P."},{"family":"Oh","given":"Kyungwon"},{"family":"Rodríguez-Artalejo","given":"Fernando"},{"family":"Rojas-Martinez","given":"Rosalba"},{"family":"Shaw","given":"Jonathan E."},{"family":"Stevens","given":"Gretchen A."},{"family":"Tolstrup","given":"Janne"},{"family":"Zhou","given":"Bin"},{"family":"Salomon","given":"Joshua A."},{"family":"Ezzati","given":"Majid"},{"family":"Danaei","given":"Goodarz"}],"issued":{"date-parts":[["2015",5]]}}}],"schema":"https://github.com/citation-style-language/schema/raw/master/csl-citation.json"} </w:instrText>
      </w:r>
      <w:r w:rsidR="004D5894" w:rsidRPr="004D5894">
        <w:rPr>
          <w:rFonts w:ascii="Times New Roman" w:hAnsi="Times New Roman" w:cs="Times New Roman"/>
          <w:color w:val="000000" w:themeColor="text1"/>
          <w:sz w:val="22"/>
        </w:rPr>
        <w:fldChar w:fldCharType="separate"/>
      </w:r>
      <w:r w:rsidR="004D5894" w:rsidRPr="004D5894">
        <w:rPr>
          <w:rFonts w:ascii="Times New Roman" w:hAnsi="Times New Roman" w:cs="Times New Roman"/>
          <w:noProof/>
          <w:color w:val="000000" w:themeColor="text1"/>
          <w:sz w:val="22"/>
        </w:rPr>
        <w:t>[2,3]</w:t>
      </w:r>
      <w:r w:rsidR="004D5894" w:rsidRPr="004D5894">
        <w:rPr>
          <w:rFonts w:ascii="Times New Roman" w:hAnsi="Times New Roman" w:cs="Times New Roman"/>
          <w:color w:val="000000" w:themeColor="text1"/>
          <w:sz w:val="22"/>
        </w:rPr>
        <w:fldChar w:fldCharType="end"/>
      </w:r>
      <w:r w:rsidRPr="00C21445">
        <w:rPr>
          <w:rFonts w:ascii="Times New Roman" w:hAnsi="Times New Roman" w:cs="Times New Roman"/>
          <w:color w:val="000000" w:themeColor="text1"/>
          <w:sz w:val="22"/>
        </w:rPr>
        <w:t>. Weighted prevalence estimates and their 95% confidence intervals were obtained using the "survey" R package</w:t>
      </w:r>
      <w:r w:rsidR="004D5894" w:rsidRPr="004D5894">
        <w:rPr>
          <w:rFonts w:ascii="Times New Roman" w:hAnsi="Times New Roman" w:cs="Times New Roman"/>
          <w:color w:val="000000" w:themeColor="text1"/>
          <w:sz w:val="22"/>
        </w:rPr>
        <w:t xml:space="preserve"> </w:t>
      </w:r>
      <w:r w:rsidR="004D5894" w:rsidRPr="004D5894">
        <w:rPr>
          <w:rFonts w:ascii="Times New Roman" w:hAnsi="Times New Roman" w:cs="Times New Roman"/>
          <w:color w:val="000000" w:themeColor="text1"/>
          <w:sz w:val="22"/>
        </w:rPr>
        <w:fldChar w:fldCharType="begin"/>
      </w:r>
      <w:r w:rsidR="004D5894" w:rsidRPr="004D5894">
        <w:rPr>
          <w:rFonts w:ascii="Times New Roman" w:hAnsi="Times New Roman" w:cs="Times New Roman"/>
          <w:color w:val="000000" w:themeColor="text1"/>
          <w:sz w:val="22"/>
        </w:rPr>
        <w:instrText xml:space="preserve"> ADDIN ZOTERO_ITEM CSL_CITATION {"citationID":"VncV9O5O","properties":{"formattedCitation":"[4]","plainCitation":"[4]","noteIndex":0},"citationItems":[{"id":734,"uris":["http://zotero.org/users/9207965/items/Y78DCGBP"],"itemData":{"id":734,"type":"software","abstract":"Summary statistics, two-sample tests, rank tests, generalised linear models, cumulative link models, Cox models, loglinear models, and general maximum pseudolikelihood estimation for multistage stratified, cluster-sampled, unequally weighted survey samples. Variances by Taylor series linearisation or replicate weights. Post-stratification, calibration, and raking. Two-phase subsampling designs. Graphics. PPS sampling without replacement.","license":"GPL-2 | GPL-3","source":"R-Packages","title":"survey: Analysis of Complex Survey Samples","title-short":"survey","URL":"https://cran.r-project.org/web/packages/survey/index.html","version":"4.2-1","author":[{"family":"Lumley","given":"Thomas"}],"accessed":{"date-parts":[["2023",6,10]]},"issued":{"date-parts":[["2023",5,3]]}}}],"schema":"https://github.com/citation-style-language/schema/raw/master/csl-citation.json"} </w:instrText>
      </w:r>
      <w:r w:rsidR="004D5894" w:rsidRPr="004D5894">
        <w:rPr>
          <w:rFonts w:ascii="Times New Roman" w:hAnsi="Times New Roman" w:cs="Times New Roman"/>
          <w:color w:val="000000" w:themeColor="text1"/>
          <w:sz w:val="22"/>
        </w:rPr>
        <w:fldChar w:fldCharType="separate"/>
      </w:r>
      <w:r w:rsidR="004D5894" w:rsidRPr="004D5894">
        <w:rPr>
          <w:rFonts w:ascii="Times New Roman" w:hAnsi="Times New Roman" w:cs="Times New Roman"/>
          <w:noProof/>
          <w:color w:val="000000" w:themeColor="text1"/>
          <w:sz w:val="22"/>
        </w:rPr>
        <w:t>[4]</w:t>
      </w:r>
      <w:r w:rsidR="004D5894" w:rsidRPr="004D5894">
        <w:rPr>
          <w:rFonts w:ascii="Times New Roman" w:hAnsi="Times New Roman" w:cs="Times New Roman"/>
          <w:color w:val="000000" w:themeColor="text1"/>
          <w:sz w:val="22"/>
        </w:rPr>
        <w:fldChar w:fldCharType="end"/>
      </w:r>
      <w:r w:rsidR="004D5894" w:rsidRPr="004D5894">
        <w:rPr>
          <w:rFonts w:ascii="Times New Roman" w:hAnsi="Times New Roman" w:cs="Times New Roman"/>
          <w:color w:val="000000" w:themeColor="text1"/>
          <w:sz w:val="22"/>
        </w:rPr>
        <w:t>. We</w:t>
      </w:r>
      <w:r w:rsidRPr="00C21445">
        <w:rPr>
          <w:rFonts w:ascii="Times New Roman" w:hAnsi="Times New Roman" w:cs="Times New Roman"/>
          <w:color w:val="000000" w:themeColor="text1"/>
          <w:sz w:val="22"/>
        </w:rPr>
        <w:t xml:space="preserve"> </w:t>
      </w:r>
      <w:r w:rsidR="004D5894" w:rsidRPr="004D5894">
        <w:rPr>
          <w:rFonts w:ascii="Times New Roman" w:hAnsi="Times New Roman" w:cs="Times New Roman"/>
          <w:color w:val="000000" w:themeColor="text1"/>
          <w:sz w:val="22"/>
        </w:rPr>
        <w:t>incorporated</w:t>
      </w:r>
      <w:r w:rsidRPr="00C21445">
        <w:rPr>
          <w:rFonts w:ascii="Times New Roman" w:hAnsi="Times New Roman" w:cs="Times New Roman"/>
          <w:color w:val="000000" w:themeColor="text1"/>
          <w:sz w:val="22"/>
        </w:rPr>
        <w:t xml:space="preserve"> the complex sampling design of ENSANUT 2022. Confidence intervals for proportions were estimated using the Korn–Graubard method</w:t>
      </w:r>
      <w:r w:rsidR="004D5894" w:rsidRPr="004D5894">
        <w:rPr>
          <w:rFonts w:ascii="Times New Roman" w:hAnsi="Times New Roman" w:cs="Times New Roman"/>
          <w:color w:val="000000" w:themeColor="text1"/>
          <w:sz w:val="22"/>
        </w:rPr>
        <w:t xml:space="preserve"> </w:t>
      </w:r>
      <w:r w:rsidR="004D5894" w:rsidRPr="004D5894">
        <w:rPr>
          <w:rFonts w:ascii="Times New Roman" w:hAnsi="Times New Roman" w:cs="Times New Roman"/>
          <w:color w:val="000000" w:themeColor="text1"/>
          <w:sz w:val="22"/>
        </w:rPr>
        <w:fldChar w:fldCharType="begin"/>
      </w:r>
      <w:r w:rsidR="004D5894" w:rsidRPr="004D5894">
        <w:rPr>
          <w:rFonts w:ascii="Times New Roman" w:hAnsi="Times New Roman" w:cs="Times New Roman"/>
          <w:color w:val="000000" w:themeColor="text1"/>
          <w:sz w:val="22"/>
        </w:rPr>
        <w:instrText xml:space="preserve"> ADDIN ZOTERO_ITEM CSL_CITATION {"citationID":"AcGiSvQb","properties":{"formattedCitation":"[5]","plainCitation":"[5]","noteIndex":0},"citationItems":[{"id":6602,"uris":["http://zotero.org/users/9207965/items/PUG86DJD"],"itemData":{"id":6602,"type":"article-journal","abstract":"Health surveys typically have stratified multistage clustered designs in which individuals are sampled with differing probabilities. The sampling design is taken into account in a classical survey analysis by using sample-weighted estimators and variance estimators calculated at the primary-sampling-unit level. In this paper we investigate the possibility of modelling the sampling design using fixed and random effects to redefine target parameters, improve estimators of standard target parameters and improve standard variance estimators. References in which this type of additional modelling was used in health surveys are given. The problem of estimating population variance components is discussed in some detail, with an application involving estimation of between- and within-family variance components in the Hispanic Health and Nutrition Examination Survey.","container-title":"Statistical Methods in Medical Research","DOI":"10.1177/096228029600500304","ISSN":"0962-2802","issue":"3","journalAbbreviation":"Stat Methods Med Res","language":"eng","note":"PMID: 8931196","page":"263-281","source":"PubMed","title":"Modelling the sampling design in the analysis of health surveys","volume":"5","author":[{"family":"Graubard","given":"B. I."},{"family":"Korn","given":"E. L."}],"issued":{"date-parts":[["1996",9]]}}}],"schema":"https://github.com/citation-style-language/schema/raw/master/csl-citation.json"} </w:instrText>
      </w:r>
      <w:r w:rsidR="004D5894" w:rsidRPr="004D5894">
        <w:rPr>
          <w:rFonts w:ascii="Times New Roman" w:hAnsi="Times New Roman" w:cs="Times New Roman"/>
          <w:color w:val="000000" w:themeColor="text1"/>
          <w:sz w:val="22"/>
        </w:rPr>
        <w:fldChar w:fldCharType="separate"/>
      </w:r>
      <w:r w:rsidR="004D5894" w:rsidRPr="004D5894">
        <w:rPr>
          <w:rFonts w:ascii="Times New Roman" w:hAnsi="Times New Roman" w:cs="Times New Roman"/>
          <w:noProof/>
          <w:color w:val="000000" w:themeColor="text1"/>
          <w:sz w:val="22"/>
        </w:rPr>
        <w:t>[5]</w:t>
      </w:r>
      <w:r w:rsidR="004D5894" w:rsidRPr="004D5894">
        <w:rPr>
          <w:rFonts w:ascii="Times New Roman" w:hAnsi="Times New Roman" w:cs="Times New Roman"/>
          <w:color w:val="000000" w:themeColor="text1"/>
          <w:sz w:val="22"/>
        </w:rPr>
        <w:fldChar w:fldCharType="end"/>
      </w:r>
      <w:r w:rsidRPr="00C21445">
        <w:rPr>
          <w:rFonts w:ascii="Times New Roman" w:hAnsi="Times New Roman" w:cs="Times New Roman"/>
          <w:color w:val="000000" w:themeColor="text1"/>
          <w:sz w:val="22"/>
        </w:rPr>
        <w:t>. Estimates with a sample size &lt;30 were flagged and considered not clinically or epidemiologically interpretable.</w:t>
      </w:r>
    </w:p>
    <w:p w14:paraId="2703DD0B" w14:textId="77777777" w:rsidR="00C21445" w:rsidRPr="004D5894" w:rsidRDefault="00C21445" w:rsidP="00C21445">
      <w:pPr>
        <w:jc w:val="both"/>
        <w:rPr>
          <w:rFonts w:ascii="Times New Roman" w:hAnsi="Times New Roman" w:cs="Times New Roman"/>
          <w:color w:val="000000" w:themeColor="text1"/>
          <w:sz w:val="22"/>
          <w:lang/>
        </w:rPr>
      </w:pPr>
    </w:p>
    <w:p w14:paraId="3FA7C71A" w14:textId="77777777" w:rsidR="00115228" w:rsidRPr="004D5894" w:rsidRDefault="00115228">
      <w:pPr>
        <w:rPr>
          <w:rFonts w:ascii="Times New Roman" w:hAnsi="Times New Roman" w:cs="Times New Roman"/>
          <w:color w:val="000000" w:themeColor="text1"/>
          <w:sz w:val="22"/>
        </w:rPr>
      </w:pPr>
    </w:p>
    <w:p w14:paraId="3C3D47D2" w14:textId="60A89D4F" w:rsidR="00115228" w:rsidRPr="004D5894" w:rsidRDefault="00115228">
      <w:pPr>
        <w:rPr>
          <w:rFonts w:ascii="Times New Roman" w:eastAsiaTheme="majorEastAsia" w:hAnsi="Times New Roman" w:cs="Times New Roman"/>
          <w:b/>
          <w:bCs/>
          <w:color w:val="000000" w:themeColor="text1"/>
          <w:sz w:val="22"/>
        </w:rPr>
      </w:pPr>
      <w:r w:rsidRPr="004D5894">
        <w:rPr>
          <w:rFonts w:ascii="Times New Roman" w:hAnsi="Times New Roman" w:cs="Times New Roman"/>
          <w:color w:val="000000" w:themeColor="text1"/>
          <w:sz w:val="22"/>
        </w:rPr>
        <w:br w:type="page"/>
      </w:r>
    </w:p>
    <w:p w14:paraId="6A56BF6F" w14:textId="7860FFAB" w:rsidR="00084138" w:rsidRPr="004D5894" w:rsidRDefault="00782757" w:rsidP="00084138">
      <w:pPr>
        <w:pStyle w:val="Ttulo2"/>
        <w:rPr>
          <w:rFonts w:ascii="Times New Roman" w:hAnsi="Times New Roman" w:cs="Times New Roman"/>
          <w:color w:val="000000" w:themeColor="text1"/>
          <w:sz w:val="22"/>
          <w:szCs w:val="22"/>
        </w:rPr>
      </w:pPr>
      <w:bookmarkStart w:id="1" w:name="_Toc235526592"/>
      <w:r w:rsidRPr="004D5894">
        <w:rPr>
          <w:rFonts w:ascii="Times New Roman" w:hAnsi="Times New Roman" w:cs="Times New Roman"/>
          <w:color w:val="000000" w:themeColor="text1"/>
          <w:sz w:val="22"/>
          <w:szCs w:val="22"/>
        </w:rPr>
        <w:lastRenderedPageBreak/>
        <w:t>Supplementary Figure 1</w:t>
      </w:r>
      <w:bookmarkEnd w:id="1"/>
      <w:r w:rsidRPr="004D5894">
        <w:rPr>
          <w:rFonts w:ascii="Times New Roman" w:hAnsi="Times New Roman" w:cs="Times New Roman"/>
          <w:color w:val="000000" w:themeColor="text1"/>
          <w:sz w:val="22"/>
          <w:szCs w:val="22"/>
        </w:rPr>
        <w:t xml:space="preserve"> </w:t>
      </w:r>
    </w:p>
    <w:p w14:paraId="0EE0416E" w14:textId="77777777" w:rsidR="00BC3496" w:rsidRPr="004D5894" w:rsidRDefault="00BC3496" w:rsidP="00084138">
      <w:pPr>
        <w:jc w:val="both"/>
        <w:rPr>
          <w:rFonts w:ascii="Times New Roman" w:hAnsi="Times New Roman" w:cs="Times New Roman"/>
          <w:color w:val="000000" w:themeColor="text1"/>
          <w:sz w:val="22"/>
        </w:rPr>
      </w:pPr>
    </w:p>
    <w:p w14:paraId="126DF4C2" w14:textId="6BBB6360" w:rsidR="006C68BD" w:rsidRPr="004D5894" w:rsidRDefault="00BC3496" w:rsidP="00084138">
      <w:pPr>
        <w:jc w:val="both"/>
        <w:rPr>
          <w:rFonts w:ascii="Times New Roman" w:hAnsi="Times New Roman" w:cs="Times New Roman"/>
          <w:color w:val="000000" w:themeColor="text1"/>
          <w:sz w:val="22"/>
        </w:rPr>
      </w:pPr>
      <w:r w:rsidRPr="004D5894">
        <w:rPr>
          <w:rFonts w:ascii="Times New Roman" w:hAnsi="Times New Roman" w:cs="Times New Roman"/>
          <w:color w:val="000000" w:themeColor="text1"/>
          <w:sz w:val="22"/>
        </w:rPr>
        <w:t xml:space="preserve">STROBE flow diagram </w:t>
      </w:r>
      <w:r w:rsidR="00084138" w:rsidRPr="004D5894">
        <w:rPr>
          <w:rFonts w:ascii="Times New Roman" w:hAnsi="Times New Roman" w:cs="Times New Roman"/>
          <w:color w:val="000000" w:themeColor="text1"/>
          <w:sz w:val="22"/>
        </w:rPr>
        <w:t xml:space="preserve">describing participant selection from the </w:t>
      </w:r>
      <w:r w:rsidRPr="004D5894">
        <w:rPr>
          <w:rFonts w:ascii="Times New Roman" w:hAnsi="Times New Roman" w:cs="Times New Roman"/>
          <w:color w:val="000000" w:themeColor="text1"/>
          <w:sz w:val="22"/>
        </w:rPr>
        <w:t xml:space="preserve">National Health and Nutrition Survey from </w:t>
      </w:r>
      <w:r w:rsidR="00084138" w:rsidRPr="004D5894">
        <w:rPr>
          <w:rFonts w:ascii="Times New Roman" w:hAnsi="Times New Roman" w:cs="Times New Roman"/>
          <w:color w:val="000000" w:themeColor="text1"/>
          <w:sz w:val="22"/>
        </w:rPr>
        <w:t xml:space="preserve">2022 venous subsample. </w:t>
      </w:r>
    </w:p>
    <w:p w14:paraId="0544234F" w14:textId="77777777" w:rsidR="002D6A2D" w:rsidRPr="004D5894" w:rsidRDefault="002D6A2D" w:rsidP="002D6A2D">
      <w:pPr>
        <w:pStyle w:val="NormalWeb"/>
        <w:rPr>
          <w:color w:val="000000" w:themeColor="text1"/>
          <w:sz w:val="22"/>
          <w:szCs w:val="22"/>
          <w:lang w:val="en-US"/>
        </w:rPr>
      </w:pPr>
      <w:r w:rsidRPr="004D5894">
        <w:rPr>
          <w:noProof/>
          <w:color w:val="000000" w:themeColor="text1"/>
          <w:sz w:val="22"/>
          <w:szCs w:val="22"/>
        </w:rPr>
        <w:drawing>
          <wp:anchor distT="0" distB="0" distL="114300" distR="114300" simplePos="0" relativeHeight="251658240" behindDoc="0" locked="0" layoutInCell="1" allowOverlap="1" wp14:anchorId="220B3ACF" wp14:editId="32CCBEFF">
            <wp:simplePos x="0" y="0"/>
            <wp:positionH relativeFrom="margin">
              <wp:posOffset>500380</wp:posOffset>
            </wp:positionH>
            <wp:positionV relativeFrom="paragraph">
              <wp:posOffset>66675</wp:posOffset>
            </wp:positionV>
            <wp:extent cx="4537710" cy="4425950"/>
            <wp:effectExtent l="0" t="0" r="0" b="0"/>
            <wp:wrapThrough wrapText="bothSides">
              <wp:wrapPolygon edited="0">
                <wp:start x="0" y="0"/>
                <wp:lineTo x="0" y="21476"/>
                <wp:lineTo x="21491" y="21476"/>
                <wp:lineTo x="21491" y="0"/>
                <wp:lineTo x="0" y="0"/>
              </wp:wrapPolygon>
            </wp:wrapThrough>
            <wp:docPr id="1686207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t="3512" b="41632"/>
                    <a:stretch>
                      <a:fillRect/>
                    </a:stretch>
                  </pic:blipFill>
                  <pic:spPr bwMode="auto">
                    <a:xfrm>
                      <a:off x="0" y="0"/>
                      <a:ext cx="4537710" cy="4425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CAF4DB" w14:textId="25C96DD3" w:rsidR="003616E4" w:rsidRPr="004D5894" w:rsidRDefault="003616E4" w:rsidP="003616E4">
      <w:pPr>
        <w:rPr>
          <w:rFonts w:ascii="Times New Roman" w:hAnsi="Times New Roman" w:cs="Times New Roman"/>
          <w:color w:val="000000" w:themeColor="text1"/>
          <w:sz w:val="22"/>
        </w:rPr>
      </w:pPr>
    </w:p>
    <w:p w14:paraId="42B9E0F6" w14:textId="77777777" w:rsidR="002D6A2D" w:rsidRPr="004D5894" w:rsidRDefault="002D6A2D">
      <w:pPr>
        <w:jc w:val="center"/>
        <w:rPr>
          <w:rFonts w:ascii="Times New Roman" w:hAnsi="Times New Roman" w:cs="Times New Roman"/>
          <w:color w:val="000000" w:themeColor="text1"/>
          <w:sz w:val="22"/>
        </w:rPr>
      </w:pPr>
    </w:p>
    <w:p w14:paraId="1909FBAC" w14:textId="64C130AE" w:rsidR="002D6A2D" w:rsidRPr="004D5894" w:rsidRDefault="002D6A2D">
      <w:pPr>
        <w:jc w:val="center"/>
        <w:rPr>
          <w:rFonts w:ascii="Times New Roman" w:hAnsi="Times New Roman" w:cs="Times New Roman"/>
          <w:color w:val="000000" w:themeColor="text1"/>
          <w:sz w:val="22"/>
        </w:rPr>
      </w:pPr>
    </w:p>
    <w:p w14:paraId="7E4608FF" w14:textId="6F7DB7B0" w:rsidR="002D6A2D" w:rsidRPr="004D5894" w:rsidRDefault="002D6A2D">
      <w:pPr>
        <w:jc w:val="center"/>
        <w:rPr>
          <w:rFonts w:ascii="Times New Roman" w:hAnsi="Times New Roman" w:cs="Times New Roman"/>
          <w:color w:val="000000" w:themeColor="text1"/>
          <w:sz w:val="22"/>
        </w:rPr>
      </w:pPr>
    </w:p>
    <w:p w14:paraId="1C61C02E" w14:textId="1643C3F7" w:rsidR="002D6A2D" w:rsidRPr="004D5894" w:rsidRDefault="002D6A2D" w:rsidP="002D6A2D">
      <w:pPr>
        <w:rPr>
          <w:rFonts w:ascii="Times New Roman" w:hAnsi="Times New Roman" w:cs="Times New Roman"/>
          <w:color w:val="000000" w:themeColor="text1"/>
          <w:sz w:val="22"/>
        </w:rPr>
      </w:pPr>
    </w:p>
    <w:p w14:paraId="5D67EE31" w14:textId="77777777" w:rsidR="002D6A2D" w:rsidRPr="004D5894" w:rsidRDefault="002D6A2D" w:rsidP="002D6A2D">
      <w:pPr>
        <w:rPr>
          <w:rFonts w:ascii="Times New Roman" w:hAnsi="Times New Roman" w:cs="Times New Roman"/>
          <w:color w:val="000000" w:themeColor="text1"/>
          <w:sz w:val="22"/>
        </w:rPr>
      </w:pPr>
    </w:p>
    <w:p w14:paraId="147B6B78" w14:textId="77777777" w:rsidR="002D6A2D" w:rsidRPr="004D5894" w:rsidRDefault="002D6A2D" w:rsidP="002D6A2D">
      <w:pPr>
        <w:rPr>
          <w:rFonts w:ascii="Times New Roman" w:hAnsi="Times New Roman" w:cs="Times New Roman"/>
          <w:color w:val="000000" w:themeColor="text1"/>
          <w:sz w:val="22"/>
        </w:rPr>
      </w:pPr>
    </w:p>
    <w:p w14:paraId="0B2C192E" w14:textId="77777777" w:rsidR="002D6A2D" w:rsidRPr="004D5894" w:rsidRDefault="002D6A2D" w:rsidP="002D6A2D">
      <w:pPr>
        <w:rPr>
          <w:rFonts w:ascii="Times New Roman" w:hAnsi="Times New Roman" w:cs="Times New Roman"/>
          <w:color w:val="000000" w:themeColor="text1"/>
          <w:sz w:val="22"/>
        </w:rPr>
      </w:pPr>
    </w:p>
    <w:p w14:paraId="55949393" w14:textId="77777777" w:rsidR="002D6A2D" w:rsidRPr="004D5894" w:rsidRDefault="002D6A2D" w:rsidP="002D6A2D">
      <w:pPr>
        <w:rPr>
          <w:rFonts w:ascii="Times New Roman" w:hAnsi="Times New Roman" w:cs="Times New Roman"/>
          <w:color w:val="000000" w:themeColor="text1"/>
          <w:sz w:val="22"/>
        </w:rPr>
      </w:pPr>
    </w:p>
    <w:p w14:paraId="32C0CAEC" w14:textId="77777777" w:rsidR="002D6A2D" w:rsidRPr="004D5894" w:rsidRDefault="002D6A2D" w:rsidP="002D6A2D">
      <w:pPr>
        <w:rPr>
          <w:rFonts w:ascii="Times New Roman" w:hAnsi="Times New Roman" w:cs="Times New Roman"/>
          <w:color w:val="000000" w:themeColor="text1"/>
          <w:sz w:val="22"/>
        </w:rPr>
      </w:pPr>
    </w:p>
    <w:p w14:paraId="05DECA45" w14:textId="77777777" w:rsidR="002D6A2D" w:rsidRPr="004D5894" w:rsidRDefault="002D6A2D" w:rsidP="002D6A2D">
      <w:pPr>
        <w:rPr>
          <w:rFonts w:ascii="Times New Roman" w:hAnsi="Times New Roman" w:cs="Times New Roman"/>
          <w:color w:val="000000" w:themeColor="text1"/>
          <w:sz w:val="22"/>
        </w:rPr>
      </w:pPr>
    </w:p>
    <w:p w14:paraId="2D60C745" w14:textId="77777777" w:rsidR="002D6A2D" w:rsidRPr="004D5894" w:rsidRDefault="002D6A2D" w:rsidP="002D6A2D">
      <w:pPr>
        <w:rPr>
          <w:rFonts w:ascii="Times New Roman" w:hAnsi="Times New Roman" w:cs="Times New Roman"/>
          <w:color w:val="000000" w:themeColor="text1"/>
          <w:sz w:val="22"/>
        </w:rPr>
      </w:pPr>
    </w:p>
    <w:p w14:paraId="6E981C7D" w14:textId="77777777" w:rsidR="002D6A2D" w:rsidRPr="004D5894" w:rsidRDefault="002D6A2D" w:rsidP="002D6A2D">
      <w:pPr>
        <w:rPr>
          <w:rFonts w:ascii="Times New Roman" w:hAnsi="Times New Roman" w:cs="Times New Roman"/>
          <w:color w:val="000000" w:themeColor="text1"/>
          <w:sz w:val="22"/>
        </w:rPr>
      </w:pPr>
    </w:p>
    <w:p w14:paraId="4B217D90" w14:textId="77777777" w:rsidR="002D6A2D" w:rsidRPr="004D5894" w:rsidRDefault="002D6A2D" w:rsidP="002D6A2D">
      <w:pPr>
        <w:spacing w:after="0"/>
        <w:rPr>
          <w:rFonts w:ascii="Times New Roman" w:hAnsi="Times New Roman" w:cs="Times New Roman"/>
          <w:color w:val="000000" w:themeColor="text1"/>
          <w:sz w:val="22"/>
        </w:rPr>
      </w:pPr>
    </w:p>
    <w:p w14:paraId="756D930D" w14:textId="77777777" w:rsidR="002D6A2D" w:rsidRPr="004D5894" w:rsidRDefault="002D6A2D" w:rsidP="002D6A2D">
      <w:pPr>
        <w:spacing w:after="0"/>
        <w:rPr>
          <w:rFonts w:ascii="Times New Roman" w:hAnsi="Times New Roman" w:cs="Times New Roman"/>
          <w:color w:val="000000" w:themeColor="text1"/>
          <w:sz w:val="22"/>
        </w:rPr>
      </w:pPr>
    </w:p>
    <w:p w14:paraId="3BDAF696" w14:textId="77BB825D" w:rsidR="002D6A2D" w:rsidRPr="004D5894" w:rsidRDefault="002D6A2D" w:rsidP="002D6A2D">
      <w:pPr>
        <w:spacing w:after="0"/>
        <w:rPr>
          <w:rFonts w:ascii="Times New Roman" w:hAnsi="Times New Roman" w:cs="Times New Roman"/>
          <w:color w:val="000000" w:themeColor="text1"/>
          <w:sz w:val="22"/>
        </w:rPr>
      </w:pPr>
      <w:r w:rsidRPr="004D5894">
        <w:rPr>
          <w:rFonts w:ascii="Times New Roman" w:hAnsi="Times New Roman" w:cs="Times New Roman"/>
          <w:i/>
          <w:iCs/>
          <w:color w:val="000000" w:themeColor="text1"/>
          <w:sz w:val="22"/>
        </w:rPr>
        <w:t>Abbreviations</w:t>
      </w:r>
      <w:r w:rsidRPr="004D5894">
        <w:rPr>
          <w:rFonts w:ascii="Times New Roman" w:hAnsi="Times New Roman" w:cs="Times New Roman"/>
          <w:color w:val="000000" w:themeColor="text1"/>
          <w:sz w:val="22"/>
        </w:rPr>
        <w:t xml:space="preserve">: ENSANUT, </w:t>
      </w:r>
      <w:proofErr w:type="spellStart"/>
      <w:r w:rsidRPr="004D5894">
        <w:rPr>
          <w:rFonts w:ascii="Times New Roman" w:hAnsi="Times New Roman" w:cs="Times New Roman"/>
          <w:color w:val="000000" w:themeColor="text1"/>
          <w:sz w:val="22"/>
        </w:rPr>
        <w:t>Encuesta</w:t>
      </w:r>
      <w:proofErr w:type="spellEnd"/>
      <w:r w:rsidRPr="004D5894">
        <w:rPr>
          <w:rFonts w:ascii="Times New Roman" w:hAnsi="Times New Roman" w:cs="Times New Roman"/>
          <w:color w:val="000000" w:themeColor="text1"/>
          <w:sz w:val="22"/>
        </w:rPr>
        <w:t xml:space="preserve"> Nacional de Salud y </w:t>
      </w:r>
      <w:proofErr w:type="spellStart"/>
      <w:r w:rsidRPr="004D5894">
        <w:rPr>
          <w:rFonts w:ascii="Times New Roman" w:hAnsi="Times New Roman" w:cs="Times New Roman"/>
          <w:color w:val="000000" w:themeColor="text1"/>
          <w:sz w:val="22"/>
        </w:rPr>
        <w:t>Nutrición</w:t>
      </w:r>
      <w:proofErr w:type="spellEnd"/>
      <w:r w:rsidRPr="004D5894">
        <w:rPr>
          <w:rFonts w:ascii="Times New Roman" w:hAnsi="Times New Roman" w:cs="Times New Roman"/>
          <w:color w:val="000000" w:themeColor="text1"/>
          <w:sz w:val="22"/>
        </w:rPr>
        <w:t>; SBP, systolic blood pressure; TC, total cholesterol; SD, Standard Deviation.</w:t>
      </w:r>
    </w:p>
    <w:p w14:paraId="1E657BD8" w14:textId="77777777" w:rsidR="00BC3496" w:rsidRPr="004D5894" w:rsidRDefault="00782757" w:rsidP="002D6A2D">
      <w:pPr>
        <w:pStyle w:val="Ttulo2"/>
        <w:rPr>
          <w:rFonts w:ascii="Times New Roman" w:hAnsi="Times New Roman" w:cs="Times New Roman"/>
          <w:color w:val="000000" w:themeColor="text1"/>
          <w:sz w:val="22"/>
          <w:szCs w:val="22"/>
        </w:rPr>
      </w:pPr>
      <w:r w:rsidRPr="004D5894">
        <w:rPr>
          <w:rFonts w:ascii="Times New Roman" w:hAnsi="Times New Roman" w:cs="Times New Roman"/>
          <w:color w:val="000000" w:themeColor="text1"/>
          <w:sz w:val="22"/>
          <w:szCs w:val="22"/>
        </w:rPr>
        <w:br w:type="page"/>
      </w:r>
    </w:p>
    <w:p w14:paraId="2EC4AD12" w14:textId="2F5E8229" w:rsidR="00BC3496" w:rsidRPr="004D5894" w:rsidRDefault="00BC3496" w:rsidP="00BC3496">
      <w:pPr>
        <w:pStyle w:val="Ttulo2"/>
        <w:rPr>
          <w:rFonts w:ascii="Times New Roman" w:hAnsi="Times New Roman" w:cs="Times New Roman"/>
          <w:color w:val="000000" w:themeColor="text1"/>
          <w:sz w:val="22"/>
          <w:szCs w:val="22"/>
        </w:rPr>
      </w:pPr>
      <w:bookmarkStart w:id="2" w:name="_Toc235526593"/>
      <w:r w:rsidRPr="004D5894">
        <w:rPr>
          <w:rFonts w:ascii="Times New Roman" w:hAnsi="Times New Roman" w:cs="Times New Roman"/>
          <w:color w:val="000000" w:themeColor="text1"/>
          <w:sz w:val="22"/>
          <w:szCs w:val="22"/>
        </w:rPr>
        <w:lastRenderedPageBreak/>
        <w:t>Supplementary Figure 2</w:t>
      </w:r>
      <w:bookmarkEnd w:id="2"/>
    </w:p>
    <w:p w14:paraId="4BBD696F" w14:textId="254B132E" w:rsidR="00BC3496" w:rsidRPr="004D5894" w:rsidRDefault="00BC3496" w:rsidP="00BC3496">
      <w:pPr>
        <w:jc w:val="both"/>
        <w:rPr>
          <w:rFonts w:ascii="Times New Roman" w:hAnsi="Times New Roman" w:cs="Times New Roman"/>
          <w:color w:val="000000" w:themeColor="text1"/>
          <w:sz w:val="22"/>
        </w:rPr>
      </w:pPr>
      <w:r w:rsidRPr="004D5894">
        <w:rPr>
          <w:rFonts w:ascii="Times New Roman" w:hAnsi="Times New Roman" w:cs="Times New Roman"/>
          <w:color w:val="000000" w:themeColor="text1"/>
          <w:sz w:val="22"/>
        </w:rPr>
        <w:t xml:space="preserve">Weighted distribution of 10-year fatal cardiovascular risk categories among Mexican adults aged 40–79 years using the Globorisk-fatal equation recalibrated for Mexico. </w:t>
      </w:r>
    </w:p>
    <w:p w14:paraId="3C8297B9" w14:textId="77777777" w:rsidR="00BC3496" w:rsidRPr="004D5894" w:rsidRDefault="00BC3496" w:rsidP="00BC3496">
      <w:pPr>
        <w:jc w:val="center"/>
        <w:rPr>
          <w:rFonts w:ascii="Times New Roman" w:hAnsi="Times New Roman" w:cs="Times New Roman"/>
          <w:color w:val="000000" w:themeColor="text1"/>
          <w:sz w:val="22"/>
        </w:rPr>
      </w:pPr>
      <w:r w:rsidRPr="004D5894">
        <w:rPr>
          <w:rFonts w:ascii="Times New Roman" w:hAnsi="Times New Roman" w:cs="Times New Roman"/>
          <w:noProof/>
          <w:color w:val="000000" w:themeColor="text1"/>
          <w:sz w:val="22"/>
        </w:rPr>
        <w:drawing>
          <wp:inline distT="0" distB="0" distL="0" distR="0" wp14:anchorId="72687888" wp14:editId="36C113A5">
            <wp:extent cx="5816228" cy="4219074"/>
            <wp:effectExtent l="0" t="0" r="635" b="0"/>
            <wp:docPr id="4"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graph&#10;&#10;Description automatically generated"/>
                    <pic:cNvPicPr/>
                  </pic:nvPicPr>
                  <pic:blipFill rotWithShape="1">
                    <a:blip r:embed="rId7"/>
                    <a:srcRect t="9304"/>
                    <a:stretch>
                      <a:fillRect/>
                    </a:stretch>
                  </pic:blipFill>
                  <pic:spPr bwMode="auto">
                    <a:xfrm>
                      <a:off x="0" y="0"/>
                      <a:ext cx="5828720" cy="4228135"/>
                    </a:xfrm>
                    <a:prstGeom prst="rect">
                      <a:avLst/>
                    </a:prstGeom>
                    <a:ln>
                      <a:noFill/>
                    </a:ln>
                    <a:extLst>
                      <a:ext uri="{53640926-AAD7-44D8-BBD7-CCE9431645EC}">
                        <a14:shadowObscured xmlns:a14="http://schemas.microsoft.com/office/drawing/2010/main"/>
                      </a:ext>
                    </a:extLst>
                  </pic:spPr>
                </pic:pic>
              </a:graphicData>
            </a:graphic>
          </wp:inline>
        </w:drawing>
      </w:r>
    </w:p>
    <w:p w14:paraId="79036A39" w14:textId="2301E937" w:rsidR="00BC3496" w:rsidRPr="004D5894" w:rsidRDefault="00BC3496" w:rsidP="00BC3496">
      <w:pPr>
        <w:jc w:val="both"/>
        <w:rPr>
          <w:rFonts w:ascii="Times New Roman" w:hAnsi="Times New Roman" w:cs="Times New Roman"/>
          <w:bCs/>
          <w:color w:val="000000" w:themeColor="text1"/>
          <w:sz w:val="22"/>
        </w:rPr>
      </w:pPr>
      <w:r w:rsidRPr="004D5894">
        <w:rPr>
          <w:rFonts w:ascii="Times New Roman" w:hAnsi="Times New Roman" w:cs="Times New Roman"/>
          <w:bCs/>
          <w:i/>
          <w:iCs/>
          <w:color w:val="000000" w:themeColor="text1"/>
          <w:sz w:val="22"/>
        </w:rPr>
        <w:t>Annotations</w:t>
      </w:r>
      <w:r w:rsidRPr="004D5894">
        <w:rPr>
          <w:rFonts w:ascii="Times New Roman" w:hAnsi="Times New Roman" w:cs="Times New Roman"/>
          <w:bCs/>
          <w:color w:val="000000" w:themeColor="text1"/>
          <w:sz w:val="22"/>
        </w:rPr>
        <w:t xml:space="preserve">: Values are presented as weighted percentages with 95% confidence intervals (95% CI). Risk categories were defined according to the Globorisk-fatal equation recalibrated </w:t>
      </w:r>
      <w:r w:rsidRPr="004D5894">
        <w:rPr>
          <w:rFonts w:ascii="Times New Roman" w:hAnsi="Times New Roman" w:cs="Times New Roman"/>
          <w:bCs/>
          <w:color w:val="000000" w:themeColor="text1"/>
          <w:sz w:val="22"/>
          <w:lang w:val="en"/>
        </w:rPr>
        <w:t>as follows: low risk (≤5%), intermediate risk (6–9%), high risk (10–19%), and very high risk (≥20%).</w:t>
      </w:r>
      <w:r w:rsidRPr="004D5894">
        <w:rPr>
          <w:rFonts w:ascii="Times New Roman" w:hAnsi="Times New Roman" w:cs="Times New Roman"/>
          <w:bCs/>
          <w:color w:val="000000" w:themeColor="text1"/>
          <w:sz w:val="22"/>
        </w:rPr>
        <w:t xml:space="preserve"> </w:t>
      </w:r>
    </w:p>
    <w:p w14:paraId="130EFAA1" w14:textId="77777777" w:rsidR="00BC3496" w:rsidRPr="004D5894" w:rsidRDefault="00BC3496" w:rsidP="00BC3496">
      <w:pPr>
        <w:jc w:val="both"/>
        <w:rPr>
          <w:rFonts w:ascii="Times New Roman" w:hAnsi="Times New Roman" w:cs="Times New Roman"/>
          <w:color w:val="000000" w:themeColor="text1"/>
          <w:sz w:val="22"/>
        </w:rPr>
      </w:pPr>
      <w:r w:rsidRPr="004D5894">
        <w:rPr>
          <w:rFonts w:ascii="Times New Roman" w:hAnsi="Times New Roman" w:cs="Times New Roman"/>
          <w:i/>
          <w:iCs/>
          <w:color w:val="000000" w:themeColor="text1"/>
          <w:sz w:val="22"/>
        </w:rPr>
        <w:t>Abbreviations</w:t>
      </w:r>
      <w:r w:rsidRPr="004D5894">
        <w:rPr>
          <w:rFonts w:ascii="Times New Roman" w:hAnsi="Times New Roman" w:cs="Times New Roman"/>
          <w:color w:val="000000" w:themeColor="text1"/>
          <w:sz w:val="22"/>
        </w:rPr>
        <w:t>: CI, confidence interval.</w:t>
      </w:r>
    </w:p>
    <w:p w14:paraId="40B1B7F2" w14:textId="77777777" w:rsidR="00BC3496" w:rsidRPr="004D5894" w:rsidRDefault="00BC3496" w:rsidP="00BC3496">
      <w:pPr>
        <w:rPr>
          <w:rFonts w:ascii="Times New Roman" w:hAnsi="Times New Roman" w:cs="Times New Roman"/>
          <w:color w:val="000000" w:themeColor="text1"/>
          <w:sz w:val="22"/>
        </w:rPr>
      </w:pPr>
    </w:p>
    <w:p w14:paraId="7CEAA75C" w14:textId="77777777" w:rsidR="00BC3496" w:rsidRPr="004D5894" w:rsidRDefault="00BC3496" w:rsidP="00BC3496">
      <w:pPr>
        <w:rPr>
          <w:rFonts w:ascii="Times New Roman" w:hAnsi="Times New Roman" w:cs="Times New Roman"/>
          <w:color w:val="000000" w:themeColor="text1"/>
          <w:sz w:val="22"/>
        </w:rPr>
      </w:pPr>
    </w:p>
    <w:p w14:paraId="51237C91" w14:textId="77777777" w:rsidR="00BC3496" w:rsidRPr="004D5894" w:rsidRDefault="00BC3496" w:rsidP="00BC3496">
      <w:pPr>
        <w:rPr>
          <w:rFonts w:ascii="Times New Roman" w:hAnsi="Times New Roman" w:cs="Times New Roman"/>
          <w:bCs/>
          <w:color w:val="000000" w:themeColor="text1"/>
          <w:sz w:val="22"/>
        </w:rPr>
      </w:pPr>
    </w:p>
    <w:p w14:paraId="596EA229" w14:textId="4C2B98F6" w:rsidR="00BC3496" w:rsidRPr="004D5894" w:rsidRDefault="00BC3496">
      <w:pPr>
        <w:rPr>
          <w:rFonts w:ascii="Times New Roman" w:hAnsi="Times New Roman" w:cs="Times New Roman"/>
          <w:bCs/>
          <w:color w:val="000000" w:themeColor="text1"/>
          <w:sz w:val="22"/>
        </w:rPr>
      </w:pPr>
      <w:r w:rsidRPr="004D5894">
        <w:rPr>
          <w:rFonts w:ascii="Times New Roman" w:hAnsi="Times New Roman" w:cs="Times New Roman"/>
          <w:bCs/>
          <w:color w:val="000000" w:themeColor="text1"/>
          <w:sz w:val="22"/>
        </w:rPr>
        <w:br w:type="page"/>
      </w:r>
    </w:p>
    <w:p w14:paraId="70778317" w14:textId="57B4215B" w:rsidR="00BC3496" w:rsidRPr="004D5894" w:rsidRDefault="00BC3496" w:rsidP="00BC3496">
      <w:pPr>
        <w:pStyle w:val="Ttulo2"/>
        <w:rPr>
          <w:rFonts w:ascii="Times New Roman" w:hAnsi="Times New Roman" w:cs="Times New Roman"/>
          <w:color w:val="000000" w:themeColor="text1"/>
          <w:sz w:val="22"/>
          <w:szCs w:val="22"/>
        </w:rPr>
      </w:pPr>
      <w:bookmarkStart w:id="3" w:name="_Toc235526594"/>
      <w:r w:rsidRPr="004D5894">
        <w:rPr>
          <w:rFonts w:ascii="Times New Roman" w:hAnsi="Times New Roman" w:cs="Times New Roman"/>
          <w:color w:val="000000" w:themeColor="text1"/>
          <w:sz w:val="22"/>
          <w:szCs w:val="22"/>
        </w:rPr>
        <w:lastRenderedPageBreak/>
        <w:t>Supplementary Figure 3</w:t>
      </w:r>
      <w:bookmarkEnd w:id="3"/>
    </w:p>
    <w:p w14:paraId="0ABB221D" w14:textId="59F4678E" w:rsidR="00BC3496" w:rsidRPr="004D5894" w:rsidRDefault="00BC3496" w:rsidP="00BC3496">
      <w:pPr>
        <w:jc w:val="both"/>
        <w:rPr>
          <w:rFonts w:ascii="Times New Roman" w:hAnsi="Times New Roman" w:cs="Times New Roman"/>
          <w:color w:val="000000" w:themeColor="text1"/>
          <w:sz w:val="22"/>
        </w:rPr>
      </w:pPr>
      <w:r w:rsidRPr="004D5894">
        <w:rPr>
          <w:rFonts w:ascii="Times New Roman" w:hAnsi="Times New Roman" w:cs="Times New Roman"/>
          <w:color w:val="000000" w:themeColor="text1"/>
          <w:sz w:val="22"/>
        </w:rPr>
        <w:t xml:space="preserve">Comparison of weighted prevalence estimates across 10-year fatal cardiovascular risk categories using the original Globorisk equation and the recalibrated Globorisk-fatal model for Mexico. </w:t>
      </w:r>
    </w:p>
    <w:p w14:paraId="481862A4" w14:textId="77777777" w:rsidR="00BC3496" w:rsidRPr="004D5894" w:rsidRDefault="00BC3496" w:rsidP="00BC3496">
      <w:pPr>
        <w:jc w:val="both"/>
        <w:rPr>
          <w:rFonts w:ascii="Times New Roman" w:hAnsi="Times New Roman" w:cs="Times New Roman"/>
          <w:color w:val="000000" w:themeColor="text1"/>
          <w:sz w:val="22"/>
        </w:rPr>
      </w:pPr>
      <w:r w:rsidRPr="004D5894">
        <w:rPr>
          <w:rFonts w:ascii="Times New Roman" w:hAnsi="Times New Roman" w:cs="Times New Roman"/>
          <w:noProof/>
          <w:color w:val="000000" w:themeColor="text1"/>
          <w:sz w:val="22"/>
        </w:rPr>
        <w:drawing>
          <wp:inline distT="0" distB="0" distL="0" distR="0" wp14:anchorId="65ECD6FD" wp14:editId="672C0F68">
            <wp:extent cx="5720369" cy="3125470"/>
            <wp:effectExtent l="0" t="0" r="0" b="0"/>
            <wp:docPr id="5" name="Picture 5"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different colored bars&#10;&#10;Description automatically generated"/>
                    <pic:cNvPicPr/>
                  </pic:nvPicPr>
                  <pic:blipFill rotWithShape="1">
                    <a:blip r:embed="rId8"/>
                    <a:srcRect t="6283"/>
                    <a:stretch>
                      <a:fillRect/>
                    </a:stretch>
                  </pic:blipFill>
                  <pic:spPr bwMode="auto">
                    <a:xfrm>
                      <a:off x="0" y="0"/>
                      <a:ext cx="5730882" cy="3131214"/>
                    </a:xfrm>
                    <a:prstGeom prst="rect">
                      <a:avLst/>
                    </a:prstGeom>
                    <a:ln>
                      <a:noFill/>
                    </a:ln>
                    <a:extLst>
                      <a:ext uri="{53640926-AAD7-44D8-BBD7-CCE9431645EC}">
                        <a14:shadowObscured xmlns:a14="http://schemas.microsoft.com/office/drawing/2010/main"/>
                      </a:ext>
                    </a:extLst>
                  </pic:spPr>
                </pic:pic>
              </a:graphicData>
            </a:graphic>
          </wp:inline>
        </w:drawing>
      </w:r>
    </w:p>
    <w:p w14:paraId="303C0045" w14:textId="77777777" w:rsidR="00BC3496" w:rsidRPr="004D5894" w:rsidRDefault="00BC3496" w:rsidP="00BC3496">
      <w:pPr>
        <w:jc w:val="both"/>
        <w:rPr>
          <w:rFonts w:ascii="Times New Roman" w:hAnsi="Times New Roman" w:cs="Times New Roman"/>
          <w:bCs/>
          <w:color w:val="000000" w:themeColor="text1"/>
          <w:sz w:val="22"/>
        </w:rPr>
      </w:pPr>
      <w:r w:rsidRPr="004D5894">
        <w:rPr>
          <w:rFonts w:ascii="Times New Roman" w:hAnsi="Times New Roman" w:cs="Times New Roman"/>
          <w:color w:val="000000" w:themeColor="text1"/>
          <w:sz w:val="22"/>
        </w:rPr>
        <w:t xml:space="preserve">Footnote. </w:t>
      </w:r>
      <w:r w:rsidRPr="004D5894">
        <w:rPr>
          <w:rFonts w:ascii="Times New Roman" w:hAnsi="Times New Roman" w:cs="Times New Roman"/>
          <w:bCs/>
          <w:color w:val="000000" w:themeColor="text1"/>
          <w:sz w:val="22"/>
        </w:rPr>
        <w:t xml:space="preserve">Values are presented as weighted percentages with 95% confidence intervals (95% CI). Risk categories were defined according to the Globorisk-fatal equation recalibrated </w:t>
      </w:r>
      <w:r w:rsidRPr="004D5894">
        <w:rPr>
          <w:rFonts w:ascii="Times New Roman" w:hAnsi="Times New Roman" w:cs="Times New Roman"/>
          <w:bCs/>
          <w:color w:val="000000" w:themeColor="text1"/>
          <w:sz w:val="22"/>
          <w:lang w:val="en"/>
        </w:rPr>
        <w:t>as follows: low risk (≤5%), intermediate risk (6–9%), high risk (10–19%), and very high risk (≥20%).</w:t>
      </w:r>
      <w:r w:rsidRPr="004D5894">
        <w:rPr>
          <w:rFonts w:ascii="Times New Roman" w:hAnsi="Times New Roman" w:cs="Times New Roman"/>
          <w:bCs/>
          <w:color w:val="000000" w:themeColor="text1"/>
          <w:sz w:val="22"/>
        </w:rPr>
        <w:t xml:space="preserve"> </w:t>
      </w:r>
    </w:p>
    <w:p w14:paraId="3D293F26" w14:textId="3A336510" w:rsidR="00BC3496" w:rsidRPr="004D5894" w:rsidRDefault="00BC3496" w:rsidP="00BC3496">
      <w:pPr>
        <w:jc w:val="both"/>
        <w:rPr>
          <w:rFonts w:ascii="Times New Roman" w:hAnsi="Times New Roman" w:cs="Times New Roman"/>
          <w:color w:val="000000" w:themeColor="text1"/>
          <w:sz w:val="22"/>
        </w:rPr>
        <w:sectPr w:rsidR="00BC3496" w:rsidRPr="004D5894" w:rsidSect="00C21445">
          <w:pgSz w:w="12240" w:h="15840"/>
          <w:pgMar w:top="1418" w:right="1701" w:bottom="1418" w:left="1701" w:header="720" w:footer="720" w:gutter="0"/>
          <w:cols w:space="720"/>
          <w:docGrid w:linePitch="360"/>
        </w:sectPr>
      </w:pPr>
      <w:r w:rsidRPr="004D5894">
        <w:rPr>
          <w:rFonts w:ascii="Times New Roman" w:hAnsi="Times New Roman" w:cs="Times New Roman"/>
          <w:color w:val="000000" w:themeColor="text1"/>
          <w:sz w:val="22"/>
        </w:rPr>
        <w:t>Abbreviations: CI, confidence interval; CVD, cardiovascular disease</w:t>
      </w:r>
    </w:p>
    <w:p w14:paraId="000848AC" w14:textId="77777777" w:rsidR="00C21445" w:rsidRPr="004D5894" w:rsidRDefault="00C21445" w:rsidP="00C21445">
      <w:pPr>
        <w:pStyle w:val="Ttulo2"/>
        <w:rPr>
          <w:rFonts w:ascii="Times New Roman" w:hAnsi="Times New Roman" w:cs="Times New Roman"/>
          <w:color w:val="000000" w:themeColor="text1"/>
          <w:sz w:val="22"/>
          <w:szCs w:val="22"/>
        </w:rPr>
      </w:pPr>
      <w:bookmarkStart w:id="4" w:name="_Toc235526596"/>
      <w:r w:rsidRPr="004D5894">
        <w:rPr>
          <w:rFonts w:ascii="Times New Roman" w:hAnsi="Times New Roman" w:cs="Times New Roman"/>
          <w:color w:val="000000" w:themeColor="text1"/>
          <w:sz w:val="22"/>
          <w:szCs w:val="22"/>
        </w:rPr>
        <w:lastRenderedPageBreak/>
        <w:t>Supplementary Figure 4.</w:t>
      </w:r>
      <w:bookmarkEnd w:id="4"/>
      <w:r w:rsidRPr="004D5894">
        <w:rPr>
          <w:rFonts w:ascii="Times New Roman" w:hAnsi="Times New Roman" w:cs="Times New Roman"/>
          <w:color w:val="000000" w:themeColor="text1"/>
          <w:sz w:val="22"/>
          <w:szCs w:val="22"/>
        </w:rPr>
        <w:t xml:space="preserve"> </w:t>
      </w:r>
    </w:p>
    <w:p w14:paraId="58D8ADA6" w14:textId="77777777" w:rsidR="00C21445" w:rsidRPr="004D5894" w:rsidRDefault="00C21445" w:rsidP="00C21445">
      <w:pPr>
        <w:jc w:val="both"/>
        <w:rPr>
          <w:rFonts w:ascii="Times New Roman" w:hAnsi="Times New Roman" w:cs="Times New Roman"/>
          <w:color w:val="000000" w:themeColor="text1"/>
          <w:sz w:val="22"/>
        </w:rPr>
      </w:pPr>
      <w:r w:rsidRPr="004D5894">
        <w:rPr>
          <w:rFonts w:ascii="Times New Roman" w:hAnsi="Times New Roman" w:cs="Times New Roman"/>
          <w:color w:val="000000" w:themeColor="text1"/>
          <w:sz w:val="22"/>
        </w:rPr>
        <w:t xml:space="preserve">Representative example of the individual risk CVD estimation presented in the Shinny-App. For this scenario, we used as a hypothetical example a 62-year-old male living with diabetes, with a systolic blood pressure of 160 mmHg, a total cholesterol of 250 mg/dL, and no active smoking. The application reports an estimated 10-year fatal cardiovascular risk of 11% and automatically displays guideline-based therapeutic recommendations, LDL-C targets, pharmacological treatment, lifestyle interventions, and risk-factor alerts. The Shiny App that can be accessed at: </w:t>
      </w:r>
      <w:hyperlink r:id="rId9" w:history="1">
        <w:r w:rsidRPr="004D5894">
          <w:rPr>
            <w:rStyle w:val="Hipervnculo"/>
            <w:rFonts w:ascii="Times New Roman" w:hAnsi="Times New Roman" w:cs="Times New Roman"/>
            <w:sz w:val="22"/>
          </w:rPr>
          <w:t>https://antonio-villa-lab.shinyapps.io/CKD_RISK_APP/</w:t>
        </w:r>
      </w:hyperlink>
      <w:r w:rsidRPr="004D5894">
        <w:rPr>
          <w:rFonts w:ascii="Times New Roman" w:hAnsi="Times New Roman" w:cs="Times New Roman"/>
          <w:color w:val="000000" w:themeColor="text1"/>
          <w:sz w:val="22"/>
        </w:rPr>
        <w:t>.</w:t>
      </w:r>
    </w:p>
    <w:p w14:paraId="0B8A97DE" w14:textId="77777777" w:rsidR="00C21445" w:rsidRPr="004D5894" w:rsidRDefault="00C21445" w:rsidP="00C21445">
      <w:pPr>
        <w:jc w:val="center"/>
        <w:rPr>
          <w:rFonts w:ascii="Times New Roman" w:hAnsi="Times New Roman" w:cs="Times New Roman"/>
          <w:color w:val="000000" w:themeColor="text1"/>
          <w:sz w:val="22"/>
        </w:rPr>
      </w:pPr>
      <w:r w:rsidRPr="004D5894">
        <w:rPr>
          <w:rFonts w:ascii="Times New Roman" w:hAnsi="Times New Roman" w:cs="Times New Roman"/>
          <w:noProof/>
          <w:color w:val="000000" w:themeColor="text1"/>
          <w:sz w:val="22"/>
        </w:rPr>
        <w:drawing>
          <wp:inline distT="0" distB="0" distL="0" distR="0" wp14:anchorId="5B3E9D7F" wp14:editId="4E6DDF8D">
            <wp:extent cx="6601327" cy="2850948"/>
            <wp:effectExtent l="0" t="0" r="3175"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0"/>
                    <a:stretch>
                      <a:fillRect/>
                    </a:stretch>
                  </pic:blipFill>
                  <pic:spPr>
                    <a:xfrm>
                      <a:off x="0" y="0"/>
                      <a:ext cx="6653433" cy="2873451"/>
                    </a:xfrm>
                    <a:prstGeom prst="rect">
                      <a:avLst/>
                    </a:prstGeom>
                  </pic:spPr>
                </pic:pic>
              </a:graphicData>
            </a:graphic>
          </wp:inline>
        </w:drawing>
      </w:r>
    </w:p>
    <w:p w14:paraId="5EF0E99A" w14:textId="77777777" w:rsidR="00C21445" w:rsidRPr="004D5894" w:rsidRDefault="00C21445" w:rsidP="00C21445">
      <w:pPr>
        <w:rPr>
          <w:rFonts w:ascii="Times New Roman" w:hAnsi="Times New Roman" w:cs="Times New Roman"/>
          <w:color w:val="000000" w:themeColor="text1"/>
          <w:sz w:val="22"/>
        </w:rPr>
      </w:pPr>
    </w:p>
    <w:p w14:paraId="393119FC" w14:textId="595D64E9" w:rsidR="00C21445" w:rsidRPr="004D5894" w:rsidRDefault="00C21445">
      <w:pPr>
        <w:rPr>
          <w:rFonts w:ascii="Times New Roman" w:eastAsiaTheme="majorEastAsia" w:hAnsi="Times New Roman" w:cs="Times New Roman"/>
          <w:b/>
          <w:bCs/>
          <w:color w:val="000000" w:themeColor="text1"/>
          <w:sz w:val="22"/>
        </w:rPr>
      </w:pPr>
      <w:r w:rsidRPr="004D5894">
        <w:rPr>
          <w:rFonts w:ascii="Times New Roman" w:hAnsi="Times New Roman" w:cs="Times New Roman"/>
          <w:color w:val="000000" w:themeColor="text1"/>
          <w:sz w:val="22"/>
        </w:rPr>
        <w:br w:type="page"/>
      </w:r>
    </w:p>
    <w:p w14:paraId="2B4EB280" w14:textId="34707E52" w:rsidR="00084138" w:rsidRPr="004D5894" w:rsidRDefault="00782757" w:rsidP="002D6A2D">
      <w:pPr>
        <w:pStyle w:val="Ttulo2"/>
        <w:rPr>
          <w:rFonts w:ascii="Times New Roman" w:hAnsi="Times New Roman" w:cs="Times New Roman"/>
          <w:color w:val="000000" w:themeColor="text1"/>
          <w:sz w:val="22"/>
          <w:szCs w:val="22"/>
        </w:rPr>
      </w:pPr>
      <w:bookmarkStart w:id="5" w:name="_Toc235526595"/>
      <w:r w:rsidRPr="004D5894">
        <w:rPr>
          <w:rFonts w:ascii="Times New Roman" w:hAnsi="Times New Roman" w:cs="Times New Roman"/>
          <w:color w:val="000000" w:themeColor="text1"/>
          <w:sz w:val="22"/>
          <w:szCs w:val="22"/>
        </w:rPr>
        <w:lastRenderedPageBreak/>
        <w:t xml:space="preserve">Supplementary Figure </w:t>
      </w:r>
      <w:r w:rsidR="00C23778" w:rsidRPr="004D5894">
        <w:rPr>
          <w:rFonts w:ascii="Times New Roman" w:hAnsi="Times New Roman" w:cs="Times New Roman"/>
          <w:color w:val="000000" w:themeColor="text1"/>
          <w:sz w:val="22"/>
          <w:szCs w:val="22"/>
        </w:rPr>
        <w:t>5</w:t>
      </w:r>
      <w:bookmarkEnd w:id="5"/>
    </w:p>
    <w:p w14:paraId="30FD5033" w14:textId="2D4017EC" w:rsidR="00C23778" w:rsidRPr="004D5894" w:rsidRDefault="00115228" w:rsidP="00084138">
      <w:pPr>
        <w:jc w:val="both"/>
        <w:rPr>
          <w:rFonts w:ascii="Times New Roman" w:hAnsi="Times New Roman" w:cs="Times New Roman"/>
          <w:color w:val="000000" w:themeColor="text1"/>
          <w:sz w:val="22"/>
        </w:rPr>
      </w:pPr>
      <w:r w:rsidRPr="004D5894">
        <w:rPr>
          <w:rFonts w:ascii="Times New Roman" w:hAnsi="Times New Roman" w:cs="Times New Roman"/>
          <w:color w:val="000000" w:themeColor="text1"/>
          <w:sz w:val="22"/>
        </w:rPr>
        <w:t xml:space="preserve">Color-guided </w:t>
      </w:r>
      <w:r w:rsidR="00084138" w:rsidRPr="004D5894">
        <w:rPr>
          <w:rFonts w:ascii="Times New Roman" w:hAnsi="Times New Roman" w:cs="Times New Roman"/>
          <w:color w:val="000000" w:themeColor="text1"/>
          <w:sz w:val="22"/>
        </w:rPr>
        <w:t>risk tables</w:t>
      </w:r>
      <w:r w:rsidRPr="004D5894">
        <w:rPr>
          <w:rFonts w:ascii="Times New Roman" w:hAnsi="Times New Roman" w:cs="Times New Roman"/>
          <w:color w:val="000000" w:themeColor="text1"/>
          <w:sz w:val="22"/>
        </w:rPr>
        <w:t xml:space="preserve"> of 10-year fatal cardiovascular risk</w:t>
      </w:r>
      <w:r w:rsidR="00084138" w:rsidRPr="004D5894">
        <w:rPr>
          <w:rFonts w:ascii="Times New Roman" w:hAnsi="Times New Roman" w:cs="Times New Roman"/>
          <w:color w:val="000000" w:themeColor="text1"/>
          <w:sz w:val="22"/>
        </w:rPr>
        <w:t>.</w:t>
      </w:r>
      <w:r w:rsidR="00C23778" w:rsidRPr="004D5894">
        <w:rPr>
          <w:rFonts w:ascii="Times New Roman" w:hAnsi="Times New Roman" w:cs="Times New Roman"/>
          <w:color w:val="000000" w:themeColor="text1"/>
          <w:sz w:val="22"/>
        </w:rPr>
        <w:t xml:space="preserve"> A full-size resolution of this table can be found at: </w:t>
      </w:r>
    </w:p>
    <w:p w14:paraId="2537B4B7" w14:textId="5474E88E" w:rsidR="00C23778" w:rsidRPr="004D5894" w:rsidRDefault="00115228" w:rsidP="00084138">
      <w:pPr>
        <w:jc w:val="both"/>
        <w:rPr>
          <w:rFonts w:ascii="Times New Roman" w:hAnsi="Times New Roman" w:cs="Times New Roman"/>
          <w:color w:val="000000" w:themeColor="text1"/>
          <w:sz w:val="22"/>
        </w:rPr>
      </w:pPr>
      <w:r w:rsidRPr="004D5894">
        <w:rPr>
          <w:rFonts w:ascii="Times New Roman" w:hAnsi="Times New Roman" w:cs="Times New Roman"/>
          <w:noProof/>
          <w:color w:val="000000" w:themeColor="text1"/>
          <w:sz w:val="22"/>
        </w:rPr>
        <w:drawing>
          <wp:inline distT="0" distB="0" distL="0" distR="0" wp14:anchorId="240A8454" wp14:editId="24ED4128">
            <wp:extent cx="6836410" cy="3845560"/>
            <wp:effectExtent l="0" t="0" r="0" b="2540"/>
            <wp:docPr id="9540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3826" name="Picture 954003826"/>
                    <pic:cNvPicPr/>
                  </pic:nvPicPr>
                  <pic:blipFill>
                    <a:blip r:embed="rId11"/>
                    <a:stretch>
                      <a:fillRect/>
                    </a:stretch>
                  </pic:blipFill>
                  <pic:spPr>
                    <a:xfrm>
                      <a:off x="0" y="0"/>
                      <a:ext cx="6836410" cy="3845560"/>
                    </a:xfrm>
                    <a:prstGeom prst="rect">
                      <a:avLst/>
                    </a:prstGeom>
                  </pic:spPr>
                </pic:pic>
              </a:graphicData>
            </a:graphic>
          </wp:inline>
        </w:drawing>
      </w:r>
    </w:p>
    <w:p w14:paraId="769005BB" w14:textId="00FA811C" w:rsidR="006C68BD" w:rsidRPr="004D5894" w:rsidRDefault="00084138" w:rsidP="00084138">
      <w:pPr>
        <w:jc w:val="both"/>
        <w:rPr>
          <w:rFonts w:ascii="Times New Roman" w:hAnsi="Times New Roman" w:cs="Times New Roman"/>
          <w:color w:val="000000" w:themeColor="text1"/>
          <w:sz w:val="22"/>
        </w:rPr>
      </w:pPr>
      <w:r w:rsidRPr="004D5894">
        <w:rPr>
          <w:rFonts w:ascii="Times New Roman" w:hAnsi="Times New Roman" w:cs="Times New Roman"/>
          <w:color w:val="000000" w:themeColor="text1"/>
          <w:sz w:val="22"/>
        </w:rPr>
        <w:t xml:space="preserve"> </w:t>
      </w:r>
    </w:p>
    <w:p w14:paraId="0E38DB7C" w14:textId="3D76E4CA" w:rsidR="006C68BD" w:rsidRPr="004D5894" w:rsidRDefault="006C68BD">
      <w:pPr>
        <w:jc w:val="center"/>
        <w:rPr>
          <w:rFonts w:ascii="Times New Roman" w:hAnsi="Times New Roman" w:cs="Times New Roman"/>
          <w:color w:val="000000" w:themeColor="text1"/>
          <w:sz w:val="22"/>
        </w:rPr>
      </w:pPr>
    </w:p>
    <w:p w14:paraId="255E2BE3" w14:textId="66DA6B48" w:rsidR="006C68BD" w:rsidRPr="004D5894" w:rsidRDefault="00782757">
      <w:pPr>
        <w:rPr>
          <w:rFonts w:ascii="Times New Roman" w:hAnsi="Times New Roman" w:cs="Times New Roman"/>
          <w:b/>
          <w:bCs/>
          <w:color w:val="000000" w:themeColor="text1"/>
          <w:sz w:val="22"/>
        </w:rPr>
      </w:pPr>
      <w:r w:rsidRPr="004D5894">
        <w:rPr>
          <w:rFonts w:ascii="Times New Roman" w:hAnsi="Times New Roman" w:cs="Times New Roman"/>
          <w:color w:val="000000" w:themeColor="text1"/>
          <w:sz w:val="22"/>
        </w:rPr>
        <w:br w:type="page"/>
      </w:r>
      <w:r w:rsidR="00C21445" w:rsidRPr="004D5894">
        <w:rPr>
          <w:rFonts w:ascii="Times New Roman" w:hAnsi="Times New Roman" w:cs="Times New Roman"/>
          <w:b/>
          <w:bCs/>
          <w:color w:val="000000" w:themeColor="text1"/>
          <w:sz w:val="22"/>
        </w:rPr>
        <w:lastRenderedPageBreak/>
        <w:t>REFERENCES</w:t>
      </w:r>
    </w:p>
    <w:p w14:paraId="52B1AB96" w14:textId="77777777" w:rsidR="004D5894" w:rsidRPr="004D5894" w:rsidRDefault="004D5894" w:rsidP="004D5894">
      <w:pPr>
        <w:pStyle w:val="Bibliografa"/>
        <w:rPr>
          <w:rFonts w:ascii="Times New Roman" w:hAnsi="Times New Roman" w:cs="Times New Roman"/>
          <w:color w:val="000000"/>
          <w:sz w:val="22"/>
          <w:lang w:val="es-ES"/>
        </w:rPr>
      </w:pPr>
      <w:r w:rsidRPr="004D5894">
        <w:rPr>
          <w:rFonts w:ascii="Times New Roman" w:hAnsi="Times New Roman" w:cs="Times New Roman"/>
          <w:b/>
          <w:bCs/>
          <w:color w:val="000000" w:themeColor="text1"/>
          <w:sz w:val="22"/>
        </w:rPr>
        <w:fldChar w:fldCharType="begin"/>
      </w:r>
      <w:r w:rsidRPr="004D5894">
        <w:rPr>
          <w:rFonts w:ascii="Times New Roman" w:hAnsi="Times New Roman" w:cs="Times New Roman"/>
          <w:b/>
          <w:bCs/>
          <w:color w:val="000000" w:themeColor="text1"/>
          <w:sz w:val="22"/>
          <w:lang w:val="es-ES"/>
        </w:rPr>
        <w:instrText xml:space="preserve"> ADDIN ZOTERO_BIBL {"uncited":[],"omitted":[],"custom":[]} CSL_BIBLIOGRAPHY </w:instrText>
      </w:r>
      <w:r w:rsidRPr="004D5894">
        <w:rPr>
          <w:rFonts w:ascii="Times New Roman" w:hAnsi="Times New Roman" w:cs="Times New Roman"/>
          <w:b/>
          <w:bCs/>
          <w:color w:val="000000" w:themeColor="text1"/>
          <w:sz w:val="22"/>
        </w:rPr>
        <w:fldChar w:fldCharType="separate"/>
      </w:r>
      <w:r w:rsidRPr="004D5894">
        <w:rPr>
          <w:rFonts w:ascii="Times New Roman" w:hAnsi="Times New Roman" w:cs="Times New Roman"/>
          <w:color w:val="000000"/>
          <w:sz w:val="22"/>
          <w:lang w:val="es-ES"/>
        </w:rPr>
        <w:t>1.</w:t>
      </w:r>
      <w:r w:rsidRPr="004D5894">
        <w:rPr>
          <w:rFonts w:ascii="Times New Roman" w:hAnsi="Times New Roman" w:cs="Times New Roman"/>
          <w:color w:val="000000"/>
          <w:sz w:val="22"/>
          <w:lang w:val="es-ES"/>
        </w:rPr>
        <w:tab/>
        <w:t>Romero-Martínez M, Barrientos-Gutiérrez T, Cuevas-Nasu L, Bautista-Arrendondo S, Colchero MA, Gaona-Pineda EB, Martínez-Barnetche J, Alpuche-Aranda C, Gómez-Acosta LM, Mendoza-Alvarado LR, Rivera-Dommarco J, Lazcano-Ponce E, Shamah-Levy T. Metodología de la Encuesta Nacional de Salud y Nutrición 2022 y Planeación y diseño de la Ensanut Continua 2020-2024. Salud Pública de México. 2022 Aug 26;64(5, sept-oct):522–9. doi:10.21149/14186</w:t>
      </w:r>
    </w:p>
    <w:p w14:paraId="05106BEB" w14:textId="77777777" w:rsidR="004D5894" w:rsidRPr="004D5894" w:rsidRDefault="004D5894" w:rsidP="004D5894">
      <w:pPr>
        <w:pStyle w:val="Bibliografa"/>
        <w:rPr>
          <w:rFonts w:ascii="Times New Roman" w:hAnsi="Times New Roman" w:cs="Times New Roman"/>
          <w:color w:val="000000"/>
          <w:sz w:val="22"/>
        </w:rPr>
      </w:pPr>
      <w:r w:rsidRPr="004D5894">
        <w:rPr>
          <w:rFonts w:ascii="Times New Roman" w:hAnsi="Times New Roman" w:cs="Times New Roman"/>
          <w:color w:val="000000"/>
          <w:sz w:val="22"/>
          <w:lang w:val="es-ES"/>
        </w:rPr>
        <w:t>2.</w:t>
      </w:r>
      <w:r w:rsidRPr="004D5894">
        <w:rPr>
          <w:rFonts w:ascii="Times New Roman" w:hAnsi="Times New Roman" w:cs="Times New Roman"/>
          <w:color w:val="000000"/>
          <w:sz w:val="22"/>
          <w:lang w:val="es-ES"/>
        </w:rPr>
        <w:tab/>
        <w:t xml:space="preserve">Perezalonso-Espinosa J, Ramírez-García D, Díaz-Sánchez JP, Carrillo-Herrera KB, Cabrera-Quintana LA, Dávila-López G, Fermín-Martínez CA, Malagón-Liceaga A, Basile-Álvarez MR, Berumen-Campos J, Kuri-Morales P, Tapia-Conyer R, Alegre-Díaz J, Seiglie JA, Antonio-Villa NE, Bello-Chavolla OY. </w:t>
      </w:r>
      <w:r w:rsidRPr="004D5894">
        <w:rPr>
          <w:rFonts w:ascii="Times New Roman" w:hAnsi="Times New Roman" w:cs="Times New Roman"/>
          <w:color w:val="000000"/>
          <w:sz w:val="22"/>
        </w:rPr>
        <w:t>External validation and recalibration of cardiovascular risk scores for prediction of 10-year risk of fatal cardiovascular disease: a prospective,  observational, population-based cohort analysis of adults in Mexico City. Lancet Reg Health Am. 2026 Apr;56:101403. doi:10.1016/j.lana.2026.101403 PubMed PMID: 41732703; PubMed Central PMCID: PMC12925590.</w:t>
      </w:r>
    </w:p>
    <w:p w14:paraId="6208C25A" w14:textId="77777777" w:rsidR="004D5894" w:rsidRPr="004D5894" w:rsidRDefault="004D5894" w:rsidP="004D5894">
      <w:pPr>
        <w:pStyle w:val="Bibliografa"/>
        <w:rPr>
          <w:rFonts w:ascii="Times New Roman" w:hAnsi="Times New Roman" w:cs="Times New Roman"/>
          <w:color w:val="000000"/>
          <w:sz w:val="22"/>
        </w:rPr>
      </w:pPr>
      <w:r w:rsidRPr="004D5894">
        <w:rPr>
          <w:rFonts w:ascii="Times New Roman" w:hAnsi="Times New Roman" w:cs="Times New Roman"/>
          <w:color w:val="000000"/>
          <w:sz w:val="22"/>
        </w:rPr>
        <w:t>3.</w:t>
      </w:r>
      <w:r w:rsidRPr="004D5894">
        <w:rPr>
          <w:rFonts w:ascii="Times New Roman" w:hAnsi="Times New Roman" w:cs="Times New Roman"/>
          <w:color w:val="000000"/>
          <w:sz w:val="22"/>
        </w:rPr>
        <w:tab/>
        <w:t>Hajifathalian K, Ueda P, Lu Y, Woodward M, Ahmadvand A, Aguilar-Salinas CA, Azizi F, Cifkova R, Di Cesare M, Eriksen L, Farzadfar F, Ikeda N, Khalili D, Khang YH, Lanska V, León-Muñoz L, Magliano D, Msyamboza KP, Oh K, Rodríguez-Artalejo F, Rojas-Martinez R, Shaw JE, Stevens GA, Tolstrup J, Zhou B, Salomon JA, Ezzati M, Danaei G. A novel risk score to predict cardiovascular disease risk in national populations (Globorisk): a pooled analysis of prospective cohorts and health examination surveys. Lancet Diabetes Endocrinol. 2015 May;3(5):339–55. doi:10.1016/S2213-8587(15)00081-9 PubMed PMID: 25819778.</w:t>
      </w:r>
    </w:p>
    <w:p w14:paraId="0514E871" w14:textId="77777777" w:rsidR="004D5894" w:rsidRPr="004D5894" w:rsidRDefault="004D5894" w:rsidP="004D5894">
      <w:pPr>
        <w:pStyle w:val="Bibliografa"/>
        <w:rPr>
          <w:rFonts w:ascii="Times New Roman" w:hAnsi="Times New Roman" w:cs="Times New Roman"/>
          <w:color w:val="000000"/>
          <w:sz w:val="22"/>
        </w:rPr>
      </w:pPr>
      <w:r w:rsidRPr="004D5894">
        <w:rPr>
          <w:rFonts w:ascii="Times New Roman" w:hAnsi="Times New Roman" w:cs="Times New Roman"/>
          <w:color w:val="000000"/>
          <w:sz w:val="22"/>
        </w:rPr>
        <w:t>4.</w:t>
      </w:r>
      <w:r w:rsidRPr="004D5894">
        <w:rPr>
          <w:rFonts w:ascii="Times New Roman" w:hAnsi="Times New Roman" w:cs="Times New Roman"/>
          <w:color w:val="000000"/>
          <w:sz w:val="22"/>
        </w:rPr>
        <w:tab/>
        <w:t>Lumley T. survey: Analysis of Complex Survey Samples [Internet]. 2023 [cited 2023 Jun 10]. Available from: https://cran.r-project.org/web/packages/survey/index.html</w:t>
      </w:r>
    </w:p>
    <w:p w14:paraId="0E25E031" w14:textId="77777777" w:rsidR="004D5894" w:rsidRPr="004D5894" w:rsidRDefault="004D5894" w:rsidP="004D5894">
      <w:pPr>
        <w:pStyle w:val="Bibliografa"/>
        <w:rPr>
          <w:rFonts w:ascii="Times New Roman" w:hAnsi="Times New Roman" w:cs="Times New Roman"/>
          <w:color w:val="000000"/>
          <w:sz w:val="22"/>
        </w:rPr>
      </w:pPr>
      <w:r w:rsidRPr="004D5894">
        <w:rPr>
          <w:rFonts w:ascii="Times New Roman" w:hAnsi="Times New Roman" w:cs="Times New Roman"/>
          <w:color w:val="000000"/>
          <w:sz w:val="22"/>
        </w:rPr>
        <w:t>5.</w:t>
      </w:r>
      <w:r w:rsidRPr="004D5894">
        <w:rPr>
          <w:rFonts w:ascii="Times New Roman" w:hAnsi="Times New Roman" w:cs="Times New Roman"/>
          <w:color w:val="000000"/>
          <w:sz w:val="22"/>
        </w:rPr>
        <w:tab/>
        <w:t>Graubard BI, Korn EL. Modelling the sampling design in the analysis of health surveys. Stat Methods Med Res. 1996 Sep;5(3):263–81. doi:10.1177/096228029600500304 PubMed PMID: 8931196.</w:t>
      </w:r>
    </w:p>
    <w:p w14:paraId="1B58EC0D" w14:textId="765326E5" w:rsidR="00C21445" w:rsidRPr="00C21445" w:rsidRDefault="004D5894">
      <w:pPr>
        <w:rPr>
          <w:rFonts w:ascii="Times New Roman" w:hAnsi="Times New Roman" w:cs="Times New Roman"/>
          <w:b/>
          <w:bCs/>
          <w:color w:val="000000" w:themeColor="text1"/>
          <w:sz w:val="22"/>
        </w:rPr>
      </w:pPr>
      <w:r w:rsidRPr="004D5894">
        <w:rPr>
          <w:rFonts w:ascii="Times New Roman" w:hAnsi="Times New Roman" w:cs="Times New Roman"/>
          <w:b/>
          <w:bCs/>
          <w:color w:val="000000" w:themeColor="text1"/>
          <w:sz w:val="22"/>
        </w:rPr>
        <w:fldChar w:fldCharType="end"/>
      </w:r>
    </w:p>
    <w:sectPr w:rsidR="00C21445" w:rsidRPr="00C21445" w:rsidSect="00C23778">
      <w:pgSz w:w="12240" w:h="15840"/>
      <w:pgMar w:top="794" w:right="737" w:bottom="79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71929E1"/>
    <w:multiLevelType w:val="multilevel"/>
    <w:tmpl w:val="9BF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403713">
    <w:abstractNumId w:val="8"/>
  </w:num>
  <w:num w:numId="2" w16cid:durableId="892303905">
    <w:abstractNumId w:val="6"/>
  </w:num>
  <w:num w:numId="3" w16cid:durableId="1087193368">
    <w:abstractNumId w:val="5"/>
  </w:num>
  <w:num w:numId="4" w16cid:durableId="163054257">
    <w:abstractNumId w:val="4"/>
  </w:num>
  <w:num w:numId="5" w16cid:durableId="65538821">
    <w:abstractNumId w:val="7"/>
  </w:num>
  <w:num w:numId="6" w16cid:durableId="929239392">
    <w:abstractNumId w:val="3"/>
  </w:num>
  <w:num w:numId="7" w16cid:durableId="740523454">
    <w:abstractNumId w:val="2"/>
  </w:num>
  <w:num w:numId="8" w16cid:durableId="879319819">
    <w:abstractNumId w:val="1"/>
  </w:num>
  <w:num w:numId="9" w16cid:durableId="250238945">
    <w:abstractNumId w:val="0"/>
  </w:num>
  <w:num w:numId="10" w16cid:durableId="1174956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7EA"/>
    <w:rsid w:val="00084138"/>
    <w:rsid w:val="00115228"/>
    <w:rsid w:val="0015074B"/>
    <w:rsid w:val="00285425"/>
    <w:rsid w:val="0029639D"/>
    <w:rsid w:val="002D6A2D"/>
    <w:rsid w:val="00326F90"/>
    <w:rsid w:val="003616E4"/>
    <w:rsid w:val="003A69F4"/>
    <w:rsid w:val="004D5894"/>
    <w:rsid w:val="006C68BD"/>
    <w:rsid w:val="00782757"/>
    <w:rsid w:val="00786532"/>
    <w:rsid w:val="008163EE"/>
    <w:rsid w:val="008F7F75"/>
    <w:rsid w:val="00AA1D8D"/>
    <w:rsid w:val="00AB0FD7"/>
    <w:rsid w:val="00AD76B7"/>
    <w:rsid w:val="00B47730"/>
    <w:rsid w:val="00BC3496"/>
    <w:rsid w:val="00C21445"/>
    <w:rsid w:val="00C23778"/>
    <w:rsid w:val="00CB0664"/>
    <w:rsid w:val="00DA16AF"/>
    <w:rsid w:val="00E56386"/>
    <w:rsid w:val="00F961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ABE03"/>
  <w14:defaultImageDpi w14:val="300"/>
  <w15:docId w15:val="{A20DFBD6-D8DD-4E71-B22C-D669BD918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084138"/>
    <w:pPr>
      <w:spacing w:after="100"/>
      <w:ind w:left="200"/>
    </w:pPr>
  </w:style>
  <w:style w:type="character" w:styleId="Hipervnculo">
    <w:name w:val="Hyperlink"/>
    <w:basedOn w:val="Fuentedeprrafopredeter"/>
    <w:uiPriority w:val="99"/>
    <w:unhideWhenUsed/>
    <w:rsid w:val="00084138"/>
    <w:rPr>
      <w:color w:val="0000FF" w:themeColor="hyperlink"/>
      <w:u w:val="single"/>
    </w:rPr>
  </w:style>
  <w:style w:type="character" w:styleId="Mencinsinresolver">
    <w:name w:val="Unresolved Mention"/>
    <w:basedOn w:val="Fuentedeprrafopredeter"/>
    <w:uiPriority w:val="99"/>
    <w:semiHidden/>
    <w:unhideWhenUsed/>
    <w:rsid w:val="00084138"/>
    <w:rPr>
      <w:color w:val="605E5C"/>
      <w:shd w:val="clear" w:color="auto" w:fill="E1DFDD"/>
    </w:rPr>
  </w:style>
  <w:style w:type="paragraph" w:styleId="NormalWeb">
    <w:name w:val="Normal (Web)"/>
    <w:basedOn w:val="Normal"/>
    <w:uiPriority w:val="99"/>
    <w:semiHidden/>
    <w:unhideWhenUsed/>
    <w:rsid w:val="002D6A2D"/>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styleId="Bibliografa">
    <w:name w:val="Bibliography"/>
    <w:basedOn w:val="Normal"/>
    <w:next w:val="Normal"/>
    <w:uiPriority w:val="37"/>
    <w:unhideWhenUsed/>
    <w:rsid w:val="004D5894"/>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1146">
      <w:bodyDiv w:val="1"/>
      <w:marLeft w:val="0"/>
      <w:marRight w:val="0"/>
      <w:marTop w:val="0"/>
      <w:marBottom w:val="0"/>
      <w:divBdr>
        <w:top w:val="none" w:sz="0" w:space="0" w:color="auto"/>
        <w:left w:val="none" w:sz="0" w:space="0" w:color="auto"/>
        <w:bottom w:val="none" w:sz="0" w:space="0" w:color="auto"/>
        <w:right w:val="none" w:sz="0" w:space="0" w:color="auto"/>
      </w:divBdr>
    </w:div>
    <w:div w:id="931545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antonio-villa-lab.shinyapps.io/CKD_RISK_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8</Pages>
  <Words>3522</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Neftali Eduardo Antonio-Villa</cp:lastModifiedBy>
  <cp:revision>7</cp:revision>
  <dcterms:created xsi:type="dcterms:W3CDTF">2026-07-10T03:54:00Z</dcterms:created>
  <dcterms:modified xsi:type="dcterms:W3CDTF">2026-09-18T17:49:00Z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id="bKJ3GT4C"/&gt;&lt;style id="http://www.zotero.org/styles/nlm-citation-sequence-brackets-no-et-al" locale="en-US" hasBibliography="1" bibliographyStyleHasBeenSet="1"/&gt;&lt;prefs&gt;&lt;pref name="fieldType" value</vt:lpwstr>
  </property>
  <property fmtid="{D5CDD505-2E9C-101B-9397-08002B2CF9AE}" pid="3" name="ZOTERO_PREF_2">
    <vt:lpwstr>="Field"/&gt;&lt;/prefs&gt;&lt;/data&gt;</vt:lpwstr>
  </property>
</Properties>
</file>