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ind w:hanging="0" w:left="0" w:right="0"/>
        <w:jc w:val="center"/>
        <w:rPr/>
      </w:pPr>
      <w:r>
        <w:rPr/>
        <w:t>ESQUEMA DEL BACKEND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Sistema de Gestión Bibliotecaria Inteligente - SIGBI</w:t>
      </w:r>
      <w:r>
        <w:rPr/>
        <w:t xml:space="preserve"> Trabajo final del curso Java AI Full Stack - MitoCode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Textooriginal"/>
        </w:rPr>
        <w:t>AN070</w:t>
      </w:r>
      <w:r>
        <w:rPr/>
        <w:t xml:space="preserve"> - N.º AN-2026-007</w:t>
      </w:r>
    </w:p>
    <w:p>
      <w:pPr>
        <w:pStyle w:val="Heading2"/>
        <w:bidi w:val="0"/>
        <w:rPr/>
      </w:pPr>
      <w:r>
        <w:rPr/>
        <w:t>Datos principales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16"/>
        <w:gridCol w:w="6496"/>
      </w:tblGrid>
      <w:tr>
        <w:trPr>
          <w:tblHeader w:val="true"/>
        </w:trPr>
        <w:tc>
          <w:tcPr>
            <w:tcW w:w="291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649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29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Proyecto / Sistema</w:t>
            </w:r>
          </w:p>
        </w:tc>
        <w:tc>
          <w:tcPr>
            <w:tcW w:w="64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Sistema de Gestión Bibliotecaria Inteligente (SIGBI)</w:t>
            </w:r>
          </w:p>
        </w:tc>
      </w:tr>
      <w:tr>
        <w:trPr/>
        <w:tc>
          <w:tcPr>
            <w:tcW w:w="29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Código del documento</w:t>
            </w:r>
          </w:p>
        </w:tc>
        <w:tc>
          <w:tcPr>
            <w:tcW w:w="64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AN070</w:t>
            </w:r>
          </w:p>
        </w:tc>
      </w:tr>
      <w:tr>
        <w:trPr/>
        <w:tc>
          <w:tcPr>
            <w:tcW w:w="29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64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1.1</w:t>
            </w:r>
          </w:p>
        </w:tc>
      </w:tr>
      <w:tr>
        <w:trPr/>
        <w:tc>
          <w:tcPr>
            <w:tcW w:w="29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64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2026-09-15</w:t>
            </w:r>
          </w:p>
        </w:tc>
      </w:tr>
      <w:tr>
        <w:trPr/>
        <w:tc>
          <w:tcPr>
            <w:tcW w:w="29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4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</w:tr>
      <w:tr>
        <w:trPr/>
        <w:tc>
          <w:tcPr>
            <w:tcW w:w="29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  <w:tc>
          <w:tcPr>
            <w:tcW w:w="64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Vigente</w:t>
            </w:r>
          </w:p>
        </w:tc>
      </w:tr>
      <w:tr>
        <w:trPr/>
        <w:tc>
          <w:tcPr>
            <w:tcW w:w="29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Motor</w:t>
            </w:r>
          </w:p>
        </w:tc>
        <w:tc>
          <w:tcPr>
            <w:tcW w:w="64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PostgreSQL 15+</w:t>
            </w:r>
          </w:p>
        </w:tc>
      </w:tr>
      <w:tr>
        <w:trPr/>
        <w:tc>
          <w:tcPr>
            <w:tcW w:w="29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Base de datos</w:t>
            </w:r>
          </w:p>
        </w:tc>
        <w:tc>
          <w:tcPr>
            <w:tcW w:w="64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sigbi</w:t>
            </w:r>
          </w:p>
        </w:tc>
      </w:tr>
    </w:tbl>
    <w:p>
      <w:pPr>
        <w:pStyle w:val="Heading2"/>
        <w:bidi w:val="0"/>
        <w:rPr/>
      </w:pPr>
      <w:r>
        <w:rPr/>
        <w:t>Control de versiones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95"/>
        <w:gridCol w:w="1310"/>
        <w:gridCol w:w="890"/>
        <w:gridCol w:w="6217"/>
      </w:tblGrid>
      <w:tr>
        <w:trPr>
          <w:tblHeader w:val="true"/>
        </w:trPr>
        <w:tc>
          <w:tcPr>
            <w:tcW w:w="9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Descripción del cambio</w:t>
            </w:r>
          </w:p>
        </w:tc>
      </w:tr>
      <w:tr>
        <w:trPr/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1.0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2026-09-11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D. Quispe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 inicial. Esquema de cinco tablas de dominio derivado del enunciado.</w:t>
            </w:r>
          </w:p>
        </w:tc>
      </w:tr>
      <w:tr>
        <w:trPr/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1.1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2026-09-15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D. Quispe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ajusta el inventario a la base real tras retirar MediApp y el RAG: las dos tablas de Spring AI dejan de existir y se documentan las cinco de seguridad, que sí existen.</w:t>
            </w:r>
          </w:p>
        </w:tc>
      </w:tr>
    </w:tbl>
    <w:p>
      <w:pPr>
        <w:pStyle w:val="Heading2"/>
        <w:bidi w:val="0"/>
        <w:rPr/>
      </w:pPr>
      <w:r>
        <w:rPr/>
        <w:t>Aprobación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9"/>
        <w:gridCol w:w="5168"/>
        <w:gridCol w:w="2725"/>
      </w:tblGrid>
      <w:tr>
        <w:trPr>
          <w:tblHeader w:val="true"/>
        </w:trPr>
        <w:tc>
          <w:tcPr>
            <w:tcW w:w="151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Rol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Nombre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Firma / Fecha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Revisor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Docente del curso - MitoCode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1. Principios del esquema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La fuente de verdad son las entidades Java.</w:t>
      </w:r>
      <w:r>
        <w:rPr/>
        <w:t xml:space="preserve"> El DDL lo genera Hibernate con </w:t>
      </w:r>
      <w:r>
        <w:rPr>
          <w:rStyle w:val="Textooriginal"/>
        </w:rPr>
        <w:t>spring.jpa.hibernate.ddl-auto: update</w:t>
      </w:r>
      <w:r>
        <w:rPr/>
        <w:t xml:space="preserve">. No hay script de creación versionado ni herramienta de migraciones; este documento describe el esquema </w:t>
      </w:r>
      <w:r>
        <w:rPr>
          <w:rStyle w:val="Strong"/>
        </w:rPr>
        <w:t>resultante</w:t>
      </w:r>
      <w:r>
        <w:rPr/>
        <w:t xml:space="preserve">, no lo define.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Mínimo suficiente.</w:t>
      </w:r>
      <w:r>
        <w:rPr/>
        <w:t xml:space="preserve"> Cinco tablas de dominio. El enunciado excluye préstamos, devoluciones, multas, pagos, inventario avanzado y notificaciones, y el esquema no deja columnas "preparadas" para ellos.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Nombres derivados por convención.</w:t>
      </w:r>
      <w:r>
        <w:rPr/>
        <w:t xml:space="preserve"> Se usa </w:t>
      </w:r>
      <w:r>
        <w:rPr>
          <w:rStyle w:val="Textooriginal"/>
        </w:rPr>
        <w:t>CamelCaseToUnderscoresNamingStrategy</w:t>
      </w:r>
      <w:r>
        <w:rPr/>
        <w:t xml:space="preserve">, la estrategia por defecto de Spring Boot. No se declara </w:t>
      </w:r>
      <w:r>
        <w:rPr>
          <w:rStyle w:val="Textooriginal"/>
        </w:rPr>
        <w:t>@Table</w:t>
      </w:r>
      <w:r>
        <w:rPr/>
        <w:t xml:space="preserve"> ni </w:t>
      </w:r>
      <w:r>
        <w:rPr>
          <w:rStyle w:val="Textooriginal"/>
        </w:rPr>
        <w:t>@Column(name = ...)</w:t>
      </w:r>
      <w:r>
        <w:rPr/>
        <w:t xml:space="preserve"> salvo en las claves foráneas.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Identificadores en inglés.</w:t>
      </w:r>
      <w:r>
        <w:rPr/>
        <w:t xml:space="preserve"> Tablas, columnas y restricciones. Los rótulos que ve el usuario van en español y se resuelven en la capa de presentación.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Restricciones explícitas.</w:t>
      </w:r>
      <w:r>
        <w:rPr/>
        <w:t xml:space="preserve"> </w:t>
      </w:r>
      <w:r>
        <w:rPr>
          <w:rStyle w:val="Textooriginal"/>
        </w:rPr>
        <w:t>nullable</w:t>
      </w:r>
      <w:r>
        <w:rPr/>
        <w:t xml:space="preserve"> y </w:t>
      </w:r>
      <w:r>
        <w:rPr>
          <w:rStyle w:val="Textooriginal"/>
        </w:rPr>
        <w:t>length</w:t>
      </w:r>
      <w:r>
        <w:rPr/>
        <w:t xml:space="preserve"> se declaran siempre; nunca se dejan al valor por defecto de Hibernate.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Sin lógica en la base.</w:t>
      </w:r>
      <w:r>
        <w:rPr/>
        <w:t xml:space="preserve"> Ningún procedimiento almacenado, función ni disparador. Las reglas viven en la capa de servicio (DEC-02 del TRD). </w:t>
      </w:r>
    </w:p>
    <w:p>
      <w:pPr>
        <w:pStyle w:val="BodyText"/>
        <w:bidi w:val="0"/>
        <w:rPr/>
      </w:pPr>
      <w:r>
        <w:rPr/>
        <w:t xml:space="preserve">Las reglas de nomenclatura y tipado están normadas en </w:t>
      </w:r>
      <w:hyperlink r:id="rId2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EST010-estándar-de-base-de-datos.md</w:t>
        </w:r>
      </w:hyperlink>
      <w:r>
        <w:rPr/>
        <w:t>; aquí solo se aplican.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2. Dominios y tablas</w:t>
      </w:r>
    </w:p>
    <w:p>
      <w:pPr>
        <w:pStyle w:val="BodyText"/>
        <w:bidi w:val="0"/>
        <w:rPr/>
      </w:pPr>
      <w:r>
        <w:rPr/>
        <w:t xml:space="preserve">Diez tablas en total: </w:t>
      </w:r>
      <w:r>
        <w:rPr>
          <w:rStyle w:val="Strong"/>
        </w:rPr>
        <w:t>cinco de dominio</w:t>
      </w:r>
      <w:r>
        <w:rPr/>
        <w:t xml:space="preserve"> y </w:t>
      </w:r>
      <w:r>
        <w:rPr>
          <w:rStyle w:val="Strong"/>
        </w:rPr>
        <w:t>cinco de seguridad</w:t>
      </w:r>
      <w:r>
        <w:rPr/>
        <w:t>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01"/>
        <w:gridCol w:w="4617"/>
        <w:gridCol w:w="2694"/>
      </w:tblGrid>
      <w:tr>
        <w:trPr>
          <w:tblHeader w:val="true"/>
        </w:trPr>
        <w:tc>
          <w:tcPr>
            <w:tcW w:w="210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Dominio</w:t>
            </w:r>
          </w:p>
        </w:tc>
        <w:tc>
          <w:tcPr>
            <w:tcW w:w="461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Tablas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Origen</w:t>
            </w:r>
          </w:p>
        </w:tc>
      </w:tr>
      <w:tr>
        <w:trPr/>
        <w:tc>
          <w:tcPr>
            <w:tcW w:w="210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2.1 Catálogo</w:t>
            </w:r>
          </w:p>
        </w:tc>
        <w:tc>
          <w:tcPr>
            <w:tcW w:w="46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category</w:t>
            </w:r>
            <w:r>
              <w:rPr/>
              <w:t xml:space="preserve">, </w:t>
            </w:r>
            <w:r>
              <w:rPr>
                <w:rStyle w:val="Textooriginal"/>
              </w:rPr>
              <w:t>book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Dominio SIGBI</w:t>
            </w:r>
          </w:p>
        </w:tc>
      </w:tr>
      <w:tr>
        <w:trPr/>
        <w:tc>
          <w:tcPr>
            <w:tcW w:w="210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2.2 Clientes y reservas</w:t>
            </w:r>
          </w:p>
        </w:tc>
        <w:tc>
          <w:tcPr>
            <w:tcW w:w="46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client</w:t>
            </w:r>
            <w:r>
              <w:rPr/>
              <w:t xml:space="preserve">, </w:t>
            </w:r>
            <w:r>
              <w:rPr>
                <w:rStyle w:val="Textooriginal"/>
              </w:rPr>
              <w:t>reservation</w:t>
            </w:r>
            <w:r>
              <w:rPr/>
              <w:t xml:space="preserve">, </w:t>
            </w:r>
            <w:r>
              <w:rPr>
                <w:rStyle w:val="Textooriginal"/>
              </w:rPr>
              <w:t>reservation_detail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Dominio SIGBI</w:t>
            </w:r>
          </w:p>
        </w:tc>
      </w:tr>
      <w:tr>
        <w:trPr/>
        <w:tc>
          <w:tcPr>
            <w:tcW w:w="210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2.3 Seguridad</w:t>
            </w:r>
          </w:p>
        </w:tc>
        <w:tc>
          <w:tcPr>
            <w:tcW w:w="46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user_data</w:t>
            </w:r>
            <w:r>
              <w:rPr/>
              <w:t xml:space="preserve">, </w:t>
            </w:r>
            <w:r>
              <w:rPr>
                <w:rStyle w:val="Textooriginal"/>
              </w:rPr>
              <w:t>role</w:t>
            </w:r>
            <w:r>
              <w:rPr/>
              <w:t xml:space="preserve">, </w:t>
            </w:r>
            <w:r>
              <w:rPr>
                <w:rStyle w:val="Textooriginal"/>
              </w:rPr>
              <w:t>user_role</w:t>
            </w:r>
            <w:r>
              <w:rPr/>
              <w:t xml:space="preserve">, </w:t>
            </w:r>
            <w:r>
              <w:rPr>
                <w:rStyle w:val="Textooriginal"/>
              </w:rPr>
              <w:t>menu</w:t>
            </w:r>
            <w:r>
              <w:rPr/>
              <w:t xml:space="preserve">, </w:t>
            </w:r>
            <w:r>
              <w:rPr>
                <w:rStyle w:val="Textooriginal"/>
              </w:rPr>
              <w:t>menu_role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Heredadas del proyecto base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Las cinco de dominio son las que contienen datos.</w:t>
      </w:r>
      <w:r>
        <w:rPr/>
        <w:t xml:space="preserve"> Las de seguridad están vacías porque RF-18 es de prioridad C y no se ha implementado; se conservan porque el modelo de autorización del backend depende de ellas (ver sección 2.3).</w:t>
      </w:r>
    </w:p>
    <w:p>
      <w:pPr>
        <w:pStyle w:val="BodyText"/>
        <w:bidi w:val="0"/>
        <w:rPr/>
      </w:pPr>
      <w:r>
        <w:rPr>
          <w:rStyle w:val="Strong"/>
        </w:rPr>
        <w:t>No hay tablas de inteligencia artificial.</w:t>
      </w:r>
      <w:r>
        <w:rPr/>
        <w:t xml:space="preserve"> La versión 1.0 de este documento contaba dos, </w:t>
      </w:r>
      <w:r>
        <w:rPr>
          <w:rStyle w:val="Textooriginal"/>
        </w:rPr>
        <w:t>vector_store</w:t>
      </w:r>
      <w:r>
        <w:rPr/>
        <w:t xml:space="preserve"> y </w:t>
      </w:r>
      <w:r>
        <w:rPr>
          <w:rStyle w:val="Textooriginal"/>
        </w:rPr>
        <w:t>spring_ai_chat_memory</w:t>
      </w:r>
      <w:r>
        <w:rPr/>
        <w:t>, creadas automáticamente por Spring AI. Se eliminaron el 2026-09-15 junto con sus dependencias: RF-19 (RAG) no entra en la entrega, y la memoria conversacional del asistente vive en el proceso, no en la base.</w:t>
      </w:r>
    </w:p>
    <w:p>
      <w:pPr>
        <w:pStyle w:val="Heading3"/>
        <w:bidi w:val="0"/>
        <w:jc w:val="left"/>
        <w:rPr/>
      </w:pPr>
      <w:r>
        <w:rPr/>
        <w:t>2.1 Catálogo (2)</w:t>
      </w:r>
    </w:p>
    <w:p>
      <w:pPr>
        <w:pStyle w:val="Heading4"/>
        <w:bidi w:val="0"/>
        <w:jc w:val="left"/>
        <w:rPr/>
      </w:pPr>
      <w:r>
        <w:rPr>
          <w:rStyle w:val="Textooriginal"/>
        </w:rPr>
        <w:t>category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14"/>
        <w:gridCol w:w="2157"/>
        <w:gridCol w:w="777"/>
        <w:gridCol w:w="4464"/>
      </w:tblGrid>
      <w:tr>
        <w:trPr>
          <w:tblHeader w:val="true"/>
        </w:trPr>
        <w:tc>
          <w:tcPr>
            <w:tcW w:w="201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Columna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Tipo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Nulo</w:t>
            </w:r>
          </w:p>
        </w:tc>
        <w:tc>
          <w:tcPr>
            <w:tcW w:w="446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Regla</w:t>
            </w:r>
          </w:p>
        </w:tc>
      </w:tr>
      <w:tr>
        <w:trPr/>
        <w:tc>
          <w:tcPr>
            <w:tcW w:w="20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id_category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serial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44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PK, </w:t>
            </w:r>
            <w:r>
              <w:rPr>
                <w:rStyle w:val="Textooriginal"/>
              </w:rPr>
              <w:t>IDENTITY</w:t>
            </w:r>
          </w:p>
        </w:tc>
      </w:tr>
      <w:tr>
        <w:trPr/>
        <w:tc>
          <w:tcPr>
            <w:tcW w:w="20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name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varchar(60)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44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Nombre de la clasificación</w:t>
            </w:r>
          </w:p>
        </w:tc>
      </w:tr>
      <w:tr>
        <w:trPr/>
        <w:tc>
          <w:tcPr>
            <w:tcW w:w="20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description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varchar(150)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44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Texto descriptivo</w:t>
            </w:r>
          </w:p>
        </w:tc>
      </w:tr>
      <w:tr>
        <w:trPr/>
        <w:tc>
          <w:tcPr>
            <w:tcW w:w="20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status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bool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44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Categoría activa o retirada del uso</w:t>
            </w:r>
          </w:p>
        </w:tc>
      </w:tr>
    </w:tbl>
    <w:p>
      <w:pPr>
        <w:pStyle w:val="BodyText"/>
        <w:bidi w:val="0"/>
        <w:rPr/>
      </w:pPr>
      <w:r>
        <w:rPr>
          <w:rStyle w:val="Textooriginal"/>
        </w:rPr>
        <w:t>status</w:t>
      </w:r>
      <w:r>
        <w:rPr/>
        <w:t xml:space="preserve"> no borra: una categoría desactivada deja de ofrecerse al clasificar libros nuevos, pero los libros ya clasificados conservan su referencia.</w:t>
      </w:r>
    </w:p>
    <w:p>
      <w:pPr>
        <w:pStyle w:val="Heading4"/>
        <w:bidi w:val="0"/>
        <w:jc w:val="left"/>
        <w:rPr/>
      </w:pPr>
      <w:r>
        <w:rPr>
          <w:rStyle w:val="Textooriginal"/>
        </w:rPr>
        <w:t>book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97"/>
        <w:gridCol w:w="2353"/>
        <w:gridCol w:w="848"/>
        <w:gridCol w:w="4014"/>
      </w:tblGrid>
      <w:tr>
        <w:trPr>
          <w:tblHeader w:val="true"/>
        </w:trPr>
        <w:tc>
          <w:tcPr>
            <w:tcW w:w="219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Columna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Tipo</w:t>
            </w:r>
          </w:p>
        </w:tc>
        <w:tc>
          <w:tcPr>
            <w:tcW w:w="84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Nulo</w:t>
            </w:r>
          </w:p>
        </w:tc>
        <w:tc>
          <w:tcPr>
            <w:tcW w:w="401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Regla</w:t>
            </w:r>
          </w:p>
        </w:tc>
      </w:tr>
      <w:tr>
        <w:trPr/>
        <w:tc>
          <w:tcPr>
            <w:tcW w:w="21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id_book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serial</w:t>
            </w:r>
          </w:p>
        </w:tc>
        <w:tc>
          <w:tcPr>
            <w:tcW w:w="8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40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PK, </w:t>
            </w:r>
            <w:r>
              <w:rPr>
                <w:rStyle w:val="Textooriginal"/>
              </w:rPr>
              <w:t>IDENTITY</w:t>
            </w:r>
          </w:p>
        </w:tc>
      </w:tr>
      <w:tr>
        <w:trPr/>
        <w:tc>
          <w:tcPr>
            <w:tcW w:w="21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title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varchar(150)</w:t>
            </w:r>
          </w:p>
        </w:tc>
        <w:tc>
          <w:tcPr>
            <w:tcW w:w="8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40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Título</w:t>
            </w:r>
          </w:p>
        </w:tc>
      </w:tr>
      <w:tr>
        <w:trPr/>
        <w:tc>
          <w:tcPr>
            <w:tcW w:w="21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author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varchar(100)</w:t>
            </w:r>
          </w:p>
        </w:tc>
        <w:tc>
          <w:tcPr>
            <w:tcW w:w="8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40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 principal</w:t>
            </w:r>
          </w:p>
        </w:tc>
      </w:tr>
      <w:tr>
        <w:trPr/>
        <w:tc>
          <w:tcPr>
            <w:tcW w:w="21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isbn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varchar(13)</w:t>
            </w:r>
          </w:p>
        </w:tc>
        <w:tc>
          <w:tcPr>
            <w:tcW w:w="8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40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UNIQUE</w:t>
            </w:r>
          </w:p>
        </w:tc>
      </w:tr>
      <w:tr>
        <w:trPr/>
        <w:tc>
          <w:tcPr>
            <w:tcW w:w="21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available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bool</w:t>
            </w:r>
          </w:p>
        </w:tc>
        <w:tc>
          <w:tcPr>
            <w:tcW w:w="8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40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Disponibilidad para reservar</w:t>
            </w:r>
          </w:p>
        </w:tc>
      </w:tr>
      <w:tr>
        <w:trPr/>
        <w:tc>
          <w:tcPr>
            <w:tcW w:w="21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id_category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int4</w:t>
            </w:r>
          </w:p>
        </w:tc>
        <w:tc>
          <w:tcPr>
            <w:tcW w:w="8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40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FK -&gt; </w:t>
            </w:r>
            <w:r>
              <w:rPr>
                <w:rStyle w:val="Textooriginal"/>
              </w:rPr>
              <w:t>category</w:t>
            </w:r>
          </w:p>
        </w:tc>
      </w:tr>
    </w:tbl>
    <w:p>
      <w:pPr>
        <w:pStyle w:val="BodyText"/>
        <w:bidi w:val="0"/>
        <w:rPr/>
      </w:pPr>
      <w:r>
        <w:rPr>
          <w:rStyle w:val="Textooriginal"/>
        </w:rPr>
        <w:t>isbn</w:t>
      </w:r>
      <w:r>
        <w:rPr/>
        <w:t xml:space="preserve"> es único a nivel de base, no solo validado en el servicio (TD-04): la unicidad debe resistir dos altas simultáneas.</w:t>
      </w:r>
    </w:p>
    <w:p>
      <w:pPr>
        <w:pStyle w:val="BodyText"/>
        <w:bidi w:val="0"/>
        <w:rPr/>
      </w:pPr>
      <w:r>
        <w:rPr>
          <w:rStyle w:val="Textooriginal"/>
        </w:rPr>
        <w:t>available</w:t>
      </w:r>
      <w:r>
        <w:rPr/>
        <w:t xml:space="preserve"> es el estado que hace útil al catálogo (MN-01). Lo mueve la capa de servicio al registrar una reserva, nunca el cliente.</w:t>
      </w:r>
    </w:p>
    <w:p>
      <w:pPr>
        <w:pStyle w:val="Heading3"/>
        <w:bidi w:val="0"/>
        <w:jc w:val="left"/>
        <w:rPr/>
      </w:pPr>
      <w:r>
        <w:rPr/>
        <w:t>2.2 Clientes y reservas (3)</w:t>
      </w:r>
    </w:p>
    <w:p>
      <w:pPr>
        <w:pStyle w:val="Heading4"/>
        <w:bidi w:val="0"/>
        <w:jc w:val="left"/>
        <w:rPr/>
      </w:pPr>
      <w:r>
        <w:rPr>
          <w:rStyle w:val="Textooriginal"/>
        </w:rPr>
        <w:t>client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16"/>
        <w:gridCol w:w="2388"/>
        <w:gridCol w:w="932"/>
        <w:gridCol w:w="3876"/>
      </w:tblGrid>
      <w:tr>
        <w:trPr>
          <w:tblHeader w:val="true"/>
        </w:trPr>
        <w:tc>
          <w:tcPr>
            <w:tcW w:w="221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Columna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Tipo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Nulo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Regla</w:t>
            </w:r>
          </w:p>
        </w:tc>
      </w:tr>
      <w:tr>
        <w:trPr/>
        <w:tc>
          <w:tcPr>
            <w:tcW w:w="22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id_client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serial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PK, </w:t>
            </w:r>
            <w:r>
              <w:rPr>
                <w:rStyle w:val="Textooriginal"/>
              </w:rPr>
              <w:t>IDENTITY</w:t>
            </w:r>
          </w:p>
        </w:tc>
      </w:tr>
      <w:tr>
        <w:trPr/>
        <w:tc>
          <w:tcPr>
            <w:tcW w:w="22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first_name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varchar(70)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Nombres</w:t>
            </w:r>
          </w:p>
        </w:tc>
      </w:tr>
      <w:tr>
        <w:trPr/>
        <w:tc>
          <w:tcPr>
            <w:tcW w:w="22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last_name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varchar(70)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Apellidos</w:t>
            </w:r>
          </w:p>
        </w:tc>
      </w:tr>
      <w:tr>
        <w:trPr/>
        <w:tc>
          <w:tcPr>
            <w:tcW w:w="22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dni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varchar(8)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Documento de identidad</w:t>
            </w:r>
          </w:p>
        </w:tc>
      </w:tr>
      <w:tr>
        <w:trPr/>
        <w:tc>
          <w:tcPr>
            <w:tcW w:w="22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email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varchar(55)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Correo electrónico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Nota de nomenclatura.</w:t>
      </w:r>
      <w:r>
        <w:rPr/>
        <w:t xml:space="preserve"> El enunciado llama </w:t>
      </w:r>
      <w:r>
        <w:rPr>
          <w:rStyle w:val="Emphasis"/>
        </w:rPr>
        <w:t>cedula</w:t>
      </w:r>
      <w:r>
        <w:rPr/>
        <w:t xml:space="preserve"> a este campo. Se mantiene </w:t>
      </w:r>
      <w:r>
        <w:rPr>
          <w:rStyle w:val="Textooriginal"/>
        </w:rPr>
        <w:t>dni</w:t>
      </w:r>
      <w:r>
        <w:rPr/>
        <w:t xml:space="preserve"> por coherencia con </w:t>
      </w:r>
      <w:r>
        <w:rPr>
          <w:rStyle w:val="Textooriginal"/>
        </w:rPr>
        <w:t>Patient</w:t>
      </w:r>
      <w:r>
        <w:rPr/>
        <w:t xml:space="preserve"> del código base, y el rótulo en pantalla dice </w:t>
      </w:r>
      <w:r>
        <w:rPr>
          <w:rStyle w:val="Strong"/>
        </w:rPr>
        <w:t>"Documento"</w:t>
      </w:r>
      <w:r>
        <w:rPr/>
        <w:t>, que no presupone el tipo de documento ni el país. Es la separación deliberada entre identificador en inglés y texto visible en español.</w:t>
      </w:r>
    </w:p>
    <w:p>
      <w:pPr>
        <w:pStyle w:val="Heading4"/>
        <w:bidi w:val="0"/>
        <w:jc w:val="left"/>
        <w:rPr/>
      </w:pPr>
      <w:r>
        <w:rPr>
          <w:rStyle w:val="Textooriginal"/>
        </w:rPr>
        <w:t>reservation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23"/>
        <w:gridCol w:w="1821"/>
        <w:gridCol w:w="853"/>
        <w:gridCol w:w="3615"/>
      </w:tblGrid>
      <w:tr>
        <w:trPr>
          <w:tblHeader w:val="true"/>
        </w:trPr>
        <w:tc>
          <w:tcPr>
            <w:tcW w:w="312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Columna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Tipo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Nulo</w:t>
            </w:r>
          </w:p>
        </w:tc>
        <w:tc>
          <w:tcPr>
            <w:tcW w:w="361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Regla</w:t>
            </w:r>
          </w:p>
        </w:tc>
      </w:tr>
      <w:tr>
        <w:trPr/>
        <w:tc>
          <w:tcPr>
            <w:tcW w:w="31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id_reservation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serial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36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PK, </w:t>
            </w:r>
            <w:r>
              <w:rPr>
                <w:rStyle w:val="Textooriginal"/>
              </w:rPr>
              <w:t>IDENTITY</w:t>
            </w:r>
          </w:p>
        </w:tc>
      </w:tr>
      <w:tr>
        <w:trPr/>
        <w:tc>
          <w:tcPr>
            <w:tcW w:w="31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reservation_date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timestamp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36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 y hora del registro</w:t>
            </w:r>
          </w:p>
        </w:tc>
      </w:tr>
      <w:tr>
        <w:trPr/>
        <w:tc>
          <w:tcPr>
            <w:tcW w:w="31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id_client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int4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36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FK -&gt; </w:t>
            </w:r>
            <w:r>
              <w:rPr>
                <w:rStyle w:val="Textooriginal"/>
              </w:rPr>
              <w:t>client</w:t>
            </w:r>
          </w:p>
        </w:tc>
      </w:tr>
    </w:tbl>
    <w:p>
      <w:pPr>
        <w:pStyle w:val="BodyText"/>
        <w:bidi w:val="0"/>
        <w:rPr/>
      </w:pPr>
      <w:r>
        <w:rPr/>
        <w:t>Cabecera de la reserva. No lleva estado ni fecha de vencimiento: la caducidad y la devolución están fuera de alcance.</w:t>
      </w:r>
    </w:p>
    <w:p>
      <w:pPr>
        <w:pStyle w:val="Heading4"/>
        <w:bidi w:val="0"/>
        <w:jc w:val="left"/>
        <w:rPr/>
      </w:pPr>
      <w:r>
        <w:rPr>
          <w:rStyle w:val="Textooriginal"/>
        </w:rPr>
        <w:t>reservation_detail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02"/>
        <w:gridCol w:w="1295"/>
        <w:gridCol w:w="867"/>
        <w:gridCol w:w="3148"/>
      </w:tblGrid>
      <w:tr>
        <w:trPr>
          <w:tblHeader w:val="true"/>
        </w:trPr>
        <w:tc>
          <w:tcPr>
            <w:tcW w:w="410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Columna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Tipo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Nulo</w:t>
            </w:r>
          </w:p>
        </w:tc>
        <w:tc>
          <w:tcPr>
            <w:tcW w:w="314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Regla</w:t>
            </w:r>
          </w:p>
        </w:tc>
      </w:tr>
      <w:tr>
        <w:trPr/>
        <w:tc>
          <w:tcPr>
            <w:tcW w:w="41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id_reservation_detail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serial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31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PK, </w:t>
            </w:r>
            <w:r>
              <w:rPr>
                <w:rStyle w:val="Textooriginal"/>
              </w:rPr>
              <w:t>IDENTITY</w:t>
            </w:r>
          </w:p>
        </w:tc>
      </w:tr>
      <w:tr>
        <w:trPr/>
        <w:tc>
          <w:tcPr>
            <w:tcW w:w="41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id_reservation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int4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31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FK -&gt; </w:t>
            </w:r>
            <w:r>
              <w:rPr>
                <w:rStyle w:val="Textooriginal"/>
              </w:rPr>
              <w:t>reservation</w:t>
            </w:r>
          </w:p>
        </w:tc>
      </w:tr>
      <w:tr>
        <w:trPr/>
        <w:tc>
          <w:tcPr>
            <w:tcW w:w="41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id_book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int4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31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FK -&gt; </w:t>
            </w:r>
            <w:r>
              <w:rPr>
                <w:rStyle w:val="Textooriginal"/>
              </w:rPr>
              <w:t>book</w:t>
            </w:r>
          </w:p>
        </w:tc>
      </w:tr>
    </w:tbl>
    <w:p>
      <w:pPr>
        <w:pStyle w:val="BodyText"/>
        <w:bidi w:val="0"/>
        <w:rPr/>
      </w:pPr>
      <w:r>
        <w:rPr/>
        <w:t xml:space="preserve">Una línea por libro reservado. Tiene clave primaria propia y </w:t>
      </w:r>
      <w:r>
        <w:rPr>
          <w:rStyle w:val="Strong"/>
        </w:rPr>
        <w:t>no</w:t>
      </w:r>
      <w:r>
        <w:rPr/>
        <w:t xml:space="preserve"> clave compuesta: el patrón </w:t>
      </w:r>
      <w:r>
        <w:rPr>
          <w:rStyle w:val="Textooriginal"/>
        </w:rPr>
        <w:t>@Embeddable</w:t>
      </w:r>
      <w:r>
        <w:rPr/>
        <w:t xml:space="preserve"> + </w:t>
      </w:r>
      <w:r>
        <w:rPr>
          <w:rStyle w:val="Textooriginal"/>
        </w:rPr>
        <w:t>@IdClass</w:t>
      </w:r>
      <w:r>
        <w:rPr/>
        <w:t xml:space="preserve"> de </w:t>
      </w:r>
      <w:r>
        <w:rPr>
          <w:rStyle w:val="Textooriginal"/>
        </w:rPr>
        <w:t>ConsultExam</w:t>
      </w:r>
      <w:r>
        <w:rPr/>
        <w:t xml:space="preserve"> solo aplica a relaciones N:M puras sin atributos propios, y aquí la línea es una entidad con identidad.</w:t>
      </w:r>
    </w:p>
    <w:p>
      <w:pPr>
        <w:pStyle w:val="Heading3"/>
        <w:bidi w:val="0"/>
        <w:jc w:val="left"/>
        <w:rPr/>
      </w:pPr>
      <w:r>
        <w:rPr/>
        <w:t>2.3 Seguridad (5)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5"/>
        <w:gridCol w:w="7317"/>
        <w:gridCol w:w="890"/>
      </w:tblGrid>
      <w:tr>
        <w:trPr>
          <w:tblHeader w:val="true"/>
        </w:trPr>
        <w:tc>
          <w:tcPr>
            <w:tcW w:w="120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Tabla</w:t>
            </w:r>
          </w:p>
        </w:tc>
        <w:tc>
          <w:tcPr>
            <w:tcW w:w="731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Contenido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user_data</w:t>
            </w:r>
          </w:p>
        </w:tc>
        <w:tc>
          <w:tcPr>
            <w:tcW w:w="73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Usuario local, enlazado al de Supabase Auth por </w:t>
            </w:r>
            <w:r>
              <w:rPr>
                <w:rStyle w:val="Textooriginal"/>
              </w:rPr>
              <w:t>supabase_user_id</w:t>
            </w:r>
            <w:r>
              <w:rPr/>
              <w:t>. No guarda contraseñas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Vacía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role</w:t>
            </w:r>
          </w:p>
        </w:tc>
        <w:tc>
          <w:tcPr>
            <w:tcW w:w="73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Roles de la aplicación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Vacía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user_role</w:t>
            </w:r>
          </w:p>
        </w:tc>
        <w:tc>
          <w:tcPr>
            <w:tcW w:w="73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Qué roles tiene cada usuario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Vacía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menu</w:t>
            </w:r>
          </w:p>
        </w:tc>
        <w:tc>
          <w:tcPr>
            <w:tcW w:w="73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Destinos de navegación autorizables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Vacía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menu_role</w:t>
            </w:r>
          </w:p>
        </w:tc>
        <w:tc>
          <w:tcPr>
            <w:tcW w:w="73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Qué roles ven cada destino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Vacía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Las contraseñas no están aquí.</w:t>
      </w:r>
      <w:r>
        <w:rPr/>
        <w:t xml:space="preserve"> La identidad se delega en Supabase Auth; </w:t>
      </w:r>
      <w:r>
        <w:rPr>
          <w:rStyle w:val="Textooriginal"/>
        </w:rPr>
        <w:t>user_data</w:t>
      </w:r>
      <w:r>
        <w:rPr/>
        <w:t xml:space="preserve"> solo enlaza ese usuario con los roles locales, de modo que cambiar un permiso sea un </w:t>
      </w:r>
      <w:r>
        <w:rPr>
          <w:rStyle w:val="Textooriginal"/>
        </w:rPr>
        <w:t>UPDATE</w:t>
      </w:r>
      <w:r>
        <w:rPr/>
        <w:t xml:space="preserve"> y no reemitir un token.</w:t>
      </w:r>
    </w:p>
    <w:p>
      <w:pPr>
        <w:pStyle w:val="BodyText"/>
        <w:bidi w:val="0"/>
        <w:rPr/>
      </w:pPr>
      <w:r>
        <w:rPr>
          <w:rStyle w:val="Strong"/>
        </w:rPr>
        <w:t>Por qué siguen existiendo estando vacías.</w:t>
      </w:r>
      <w:r>
        <w:rPr/>
        <w:t xml:space="preserve"> </w:t>
      </w:r>
      <w:r>
        <w:rPr>
          <w:rStyle w:val="Textooriginal"/>
        </w:rPr>
        <w:t>WebSecurityConfig</w:t>
      </w:r>
      <w:r>
        <w:rPr/>
        <w:t xml:space="preserve"> consulta </w:t>
      </w:r>
      <w:r>
        <w:rPr>
          <w:rStyle w:val="Textooriginal"/>
        </w:rPr>
        <w:t>user_data</w:t>
      </w:r>
      <w:r>
        <w:rPr/>
        <w:t xml:space="preserve"> en cada petición para resolver los roles locales del token. Con </w:t>
      </w:r>
      <w:r>
        <w:rPr>
          <w:rStyle w:val="Textooriginal"/>
        </w:rPr>
        <w:t>app.auth.enabled</w:t>
      </w:r>
      <w:r>
        <w:rPr/>
        <w:t xml:space="preserve"> en </w:t>
      </w:r>
      <w:r>
        <w:rPr>
          <w:rStyle w:val="Textooriginal"/>
        </w:rPr>
        <w:t>false</w:t>
      </w:r>
      <w:r>
        <w:rPr/>
        <w:t xml:space="preserve"> -que es como se ejecuta la demostración- ese código no llega a ejecutarse, pero eliminar las tablas dejaría el arranque roto en cuanto alguien active la seguridad.</w:t>
      </w:r>
    </w:p>
    <w:p>
      <w:pPr>
        <w:pStyle w:val="BodyText"/>
        <w:bidi w:val="0"/>
        <w:rPr/>
      </w:pPr>
      <w:r>
        <w:rPr>
          <w:rStyle w:val="Strong"/>
        </w:rPr>
        <w:t>Deuda abierta.</w:t>
      </w:r>
      <w:r>
        <w:rPr/>
        <w:t xml:space="preserve"> El frontend ya no consume </w:t>
      </w:r>
      <w:r>
        <w:rPr>
          <w:rStyle w:val="Textooriginal"/>
        </w:rPr>
        <w:t>menu</w:t>
      </w:r>
      <w:r>
        <w:rPr/>
        <w:t xml:space="preserve">: su navegación son los seis destinos fijos de AN050 sección 3.3. Si RF-18 entra, el permiso se resolverá sobre esa lista y </w:t>
      </w:r>
      <w:r>
        <w:rPr>
          <w:rStyle w:val="Textooriginal"/>
        </w:rPr>
        <w:t>menu</w:t>
      </w:r>
      <w:r>
        <w:rPr/>
        <w:t xml:space="preserve"> y </w:t>
      </w:r>
      <w:r>
        <w:rPr>
          <w:rStyle w:val="Textooriginal"/>
        </w:rPr>
        <w:t>menu_role</w:t>
      </w:r>
      <w:r>
        <w:rPr/>
        <w:t xml:space="preserve"> sobrarán; si RF-18 se descarta, sobran las cinco.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3. Diagrama de relaciones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category                              client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+---------------+                    +---------------+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| id_category PK|                    | id_client  PK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| name          |                    | first_name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| description   |                    | last_name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| status        |                    | dni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+-------+-------+                    | email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| 1                          +-------+-------+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|                                    | 1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| N                                  | N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+-------v-------+                    +-------v-------------+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| book          |                    | reservation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| id_book    PK |                    | id_reservation   PK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| title         |                    | reservation_date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| author        |                    | id_client        FK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| isbn   UNIQUE |                    +-------+-------------+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| available     |                            | 1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| id_category FK|                            | N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+-------+-------+                    +-------v------------------+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| 1                          | reservation_detail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|                            | id_reservation_detail PK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+------------ N -------------| id_reservation        FK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</w:t>
      </w:r>
      <w:r>
        <w:rPr>
          <w:rStyle w:val="Textooriginal"/>
        </w:rPr>
        <w:t>| id_book               FK |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                                     </w:t>
      </w:r>
      <w:r>
        <w:rPr>
          <w:rStyle w:val="Textooriginal"/>
        </w:rPr>
        <w:t>+--------------------------+</w:t>
      </w:r>
    </w:p>
    <w:p>
      <w:pPr>
        <w:pStyle w:val="BodyText"/>
        <w:bidi w:val="0"/>
        <w:rPr/>
      </w:pPr>
      <w:r>
        <w:rPr/>
        <w:t xml:space="preserve">Cardinalidades: </w:t>
      </w:r>
      <w:r>
        <w:rPr>
          <w:rStyle w:val="Textooriginal"/>
        </w:rPr>
        <w:t>Category 1-N Book</w:t>
      </w:r>
      <w:r>
        <w:rPr/>
        <w:t xml:space="preserve"> - </w:t>
      </w:r>
      <w:r>
        <w:rPr>
          <w:rStyle w:val="Textooriginal"/>
        </w:rPr>
        <w:t>Client 1-N Reservation</w:t>
      </w:r>
      <w:r>
        <w:rPr/>
        <w:t xml:space="preserve"> - </w:t>
      </w:r>
      <w:r>
        <w:rPr>
          <w:rStyle w:val="Textooriginal"/>
        </w:rPr>
        <w:t>Reservation 1-N ReservationDetail</w:t>
      </w:r>
      <w:r>
        <w:rPr/>
        <w:t xml:space="preserve"> - </w:t>
      </w:r>
      <w:r>
        <w:rPr>
          <w:rStyle w:val="Textooriginal"/>
        </w:rPr>
        <w:t>Book 1-N ReservationDetail</w:t>
      </w:r>
      <w:r>
        <w:rPr/>
        <w:t>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4. Claves e integridad destacadas</w:t>
      </w:r>
    </w:p>
    <w:p>
      <w:pPr>
        <w:pStyle w:val="Heading3"/>
        <w:bidi w:val="0"/>
        <w:jc w:val="left"/>
        <w:rPr/>
      </w:pPr>
      <w:r>
        <w:rPr/>
        <w:t>4.1 Claves primarias</w:t>
      </w:r>
    </w:p>
    <w:p>
      <w:pPr>
        <w:pStyle w:val="BodyText"/>
        <w:bidi w:val="0"/>
        <w:rPr/>
      </w:pPr>
      <w:r>
        <w:rPr/>
        <w:t>Todas siguen la misma regla, sin excepción: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@Id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@GeneratedValue(strategy = GenerationType.IDENTITY)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@EqualsAndHashCode.Include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private Integer idBook;</w:t>
      </w:r>
    </w:p>
    <w:p>
      <w:pPr>
        <w:pStyle w:val="BodyText"/>
        <w:bidi w:val="0"/>
        <w:rPr/>
      </w:pPr>
      <w:r>
        <w:rPr/>
        <w:t xml:space="preserve">El nombre del campo es exactamente </w:t>
      </w:r>
      <w:r>
        <w:rPr>
          <w:rStyle w:val="Textooriginal"/>
        </w:rPr>
        <w:t>id</w:t>
      </w:r>
      <w:r>
        <w:rPr/>
        <w:t xml:space="preserve"> + el nombre simple de la clase. </w:t>
      </w:r>
      <w:r>
        <w:rPr>
          <w:rStyle w:val="Strong"/>
        </w:rPr>
        <w:t>No es estilo.</w:t>
      </w:r>
      <w:r>
        <w:rPr/>
        <w:t xml:space="preserve"> </w:t>
      </w:r>
      <w:r>
        <w:rPr>
          <w:rStyle w:val="Textooriginal"/>
        </w:rPr>
        <w:t>CRUDImpl.update()</w:t>
      </w:r>
      <w:r>
        <w:rPr/>
        <w:t xml:space="preserve"> resuelve el setter por reflexión: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String methodName = "setId" + entity.getClass().getSimpleName();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Method setIdMethod = entity.getClass().getMethod(methodName, id.getClass());</w:t>
      </w:r>
    </w:p>
    <w:p>
      <w:pPr>
        <w:pStyle w:val="BodyText"/>
        <w:bidi w:val="0"/>
        <w:rPr/>
      </w:pPr>
      <w:r>
        <w:rPr/>
        <w:t xml:space="preserve">Si </w:t>
      </w:r>
      <w:r>
        <w:rPr>
          <w:rStyle w:val="Textooriginal"/>
        </w:rPr>
        <w:t>Book</w:t>
      </w:r>
      <w:r>
        <w:rPr/>
        <w:t xml:space="preserve"> no expone </w:t>
      </w:r>
      <w:r>
        <w:rPr>
          <w:rStyle w:val="Textooriginal"/>
        </w:rPr>
        <w:t>setIdBook(Integer)</w:t>
      </w:r>
      <w:r>
        <w:rPr/>
        <w:t xml:space="preserve">, todo </w:t>
      </w:r>
      <w:r>
        <w:rPr>
          <w:rStyle w:val="Textooriginal"/>
        </w:rPr>
        <w:t>PUT /v1/books/{id}</w:t>
      </w:r>
      <w:r>
        <w:rPr/>
        <w:t xml:space="preserve"> falla en ejecución con </w:t>
      </w:r>
      <w:r>
        <w:rPr>
          <w:rStyle w:val="Textooriginal"/>
        </w:rPr>
        <w:t>NoSuchMethodException</w:t>
      </w:r>
      <w:r>
        <w:rPr/>
        <w:t>, y el compilador no avisa.</w:t>
      </w:r>
    </w:p>
    <w:p>
      <w:pPr>
        <w:pStyle w:val="Heading3"/>
        <w:bidi w:val="0"/>
        <w:jc w:val="left"/>
        <w:rPr/>
      </w:pPr>
      <w:r>
        <w:rPr/>
        <w:t>4.2 Claves foráneas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41"/>
        <w:gridCol w:w="2953"/>
        <w:gridCol w:w="1864"/>
        <w:gridCol w:w="1154"/>
      </w:tblGrid>
      <w:tr>
        <w:trPr>
          <w:tblHeader w:val="true"/>
        </w:trPr>
        <w:tc>
          <w:tcPr>
            <w:tcW w:w="344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Restricción</w:t>
            </w:r>
          </w:p>
        </w:tc>
        <w:tc>
          <w:tcPr>
            <w:tcW w:w="295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Tabla hija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Tabla padre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Nulable</w:t>
            </w:r>
          </w:p>
        </w:tc>
      </w:tr>
      <w:tr>
        <w:trPr/>
        <w:tc>
          <w:tcPr>
            <w:tcW w:w="34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FK_BOOK_CATEGORY</w:t>
            </w:r>
          </w:p>
        </w:tc>
        <w:tc>
          <w:tcPr>
            <w:tcW w:w="29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category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</w:tr>
      <w:tr>
        <w:trPr/>
        <w:tc>
          <w:tcPr>
            <w:tcW w:w="34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FK_RESERVATION_CLIENT</w:t>
            </w:r>
          </w:p>
        </w:tc>
        <w:tc>
          <w:tcPr>
            <w:tcW w:w="29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client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</w:tr>
      <w:tr>
        <w:trPr/>
        <w:tc>
          <w:tcPr>
            <w:tcW w:w="34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FK_DETAIL_RESERVATION</w:t>
            </w:r>
          </w:p>
        </w:tc>
        <w:tc>
          <w:tcPr>
            <w:tcW w:w="29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reservation_detail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</w:tr>
      <w:tr>
        <w:trPr/>
        <w:tc>
          <w:tcPr>
            <w:tcW w:w="34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FK_DETAIL_BOOK</w:t>
            </w:r>
          </w:p>
        </w:tc>
        <w:tc>
          <w:tcPr>
            <w:tcW w:w="29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reservation_detail</w:t>
            </w:r>
          </w:p>
        </w:tc>
        <w:tc>
          <w:tcPr>
            <w:tcW w:w="18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</w:tr>
    </w:tbl>
    <w:p>
      <w:pPr>
        <w:pStyle w:val="BodyText"/>
        <w:bidi w:val="0"/>
        <w:rPr/>
      </w:pPr>
      <w:r>
        <w:rPr/>
        <w:t>Declaración canónica: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@ManyToOne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@JoinColumn(name = "id_category", nullable = false,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foreignKey = @ForeignKey(name = "FK_BOOK_CATEGORY"))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private Category category;</w:t>
      </w:r>
    </w:p>
    <w:p>
      <w:pPr>
        <w:pStyle w:val="BodyText"/>
        <w:bidi w:val="0"/>
        <w:rPr/>
      </w:pPr>
      <w:r>
        <w:rPr/>
        <w:t>Ninguna es nulable: un libro sin categoría, una reserva sin cliente o un detalle sin libro no son estados válidos del negocio.</w:t>
      </w:r>
    </w:p>
    <w:p>
      <w:pPr>
        <w:pStyle w:val="Heading3"/>
        <w:bidi w:val="0"/>
        <w:jc w:val="left"/>
        <w:rPr/>
      </w:pPr>
      <w:r>
        <w:rPr/>
        <w:t>4.3 Restricciones de unicidad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15"/>
        <w:gridCol w:w="785"/>
        <w:gridCol w:w="995"/>
        <w:gridCol w:w="6217"/>
      </w:tblGrid>
      <w:tr>
        <w:trPr>
          <w:tblHeader w:val="true"/>
        </w:trPr>
        <w:tc>
          <w:tcPr>
            <w:tcW w:w="141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Restricción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Tabla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Columna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Motivo</w:t>
            </w:r>
          </w:p>
        </w:tc>
      </w:tr>
      <w:tr>
        <w:trPr/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ISBN único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isbn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 ISBN identifica un título; duplicarlo rompe la búsqueda y el catálogo</w:t>
            </w:r>
          </w:p>
        </w:tc>
      </w:tr>
    </w:tbl>
    <w:p>
      <w:pPr>
        <w:pStyle w:val="Heading3"/>
        <w:bidi w:val="0"/>
        <w:jc w:val="left"/>
        <w:rPr/>
      </w:pPr>
      <w:r>
        <w:rPr/>
        <w:t>4.4 Cascada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@OneToMany(mappedBy = "reservation", cascade = CascadeType.ALL)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private List&lt;ReservationDetail&gt; details;</w:t>
      </w:r>
    </w:p>
    <w:p>
      <w:pPr>
        <w:pStyle w:val="BodyText"/>
        <w:bidi w:val="0"/>
        <w:rPr/>
      </w:pPr>
      <w:r>
        <w:rPr>
          <w:rStyle w:val="Textooriginal"/>
        </w:rPr>
        <w:t>cascade = ALL</w:t>
      </w:r>
      <w:r>
        <w:rPr/>
        <w:t xml:space="preserve"> en la relación cabecera -&gt; detalle es lo que permite grabar la reserva completa con un solo </w:t>
      </w:r>
      <w:r>
        <w:rPr>
          <w:rStyle w:val="Textooriginal"/>
        </w:rPr>
        <w:t>save()</w:t>
      </w:r>
      <w:r>
        <w:rPr/>
        <w:t xml:space="preserve">, dentro de una transacción (TB-09). Es el mismo patrón que usa </w:t>
      </w:r>
      <w:r>
        <w:rPr>
          <w:rStyle w:val="Textooriginal"/>
        </w:rPr>
        <w:t>ConsultServiceImpl</w:t>
      </w:r>
      <w:r>
        <w:rPr/>
        <w:t xml:space="preserve"> en el código heredado.</w:t>
      </w:r>
    </w:p>
    <w:p>
      <w:pPr>
        <w:pStyle w:val="Heading3"/>
        <w:bidi w:val="0"/>
        <w:jc w:val="left"/>
        <w:rPr/>
      </w:pPr>
      <w:r>
        <w:rPr/>
        <w:t>4.5 Integridad referencial en el borrado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07"/>
        <w:gridCol w:w="5905"/>
      </w:tblGrid>
      <w:tr>
        <w:trPr>
          <w:tblHeader w:val="true"/>
        </w:trPr>
        <w:tc>
          <w:tcPr>
            <w:tcW w:w="350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Operación</w:t>
            </w:r>
          </w:p>
        </w:tc>
        <w:tc>
          <w:tcPr>
            <w:tcW w:w="590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Comportamiento</w:t>
            </w:r>
          </w:p>
        </w:tc>
      </w:tr>
      <w:tr>
        <w:trPr/>
        <w:tc>
          <w:tcPr>
            <w:tcW w:w="350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Borrar una </w:t>
            </w:r>
            <w:r>
              <w:rPr>
                <w:rStyle w:val="Textooriginal"/>
              </w:rPr>
              <w:t>category</w:t>
            </w:r>
            <w:r>
              <w:rPr/>
              <w:t xml:space="preserve"> con libros</w:t>
            </w:r>
          </w:p>
        </w:tc>
        <w:tc>
          <w:tcPr>
            <w:tcW w:w="59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La FK lo impide. Se desactiva con </w:t>
            </w:r>
            <w:r>
              <w:rPr>
                <w:rStyle w:val="Textooriginal"/>
              </w:rPr>
              <w:t>status = false</w:t>
            </w:r>
            <w:r>
              <w:rPr/>
              <w:t>, no se borra.</w:t>
            </w:r>
          </w:p>
        </w:tc>
      </w:tr>
      <w:tr>
        <w:trPr/>
        <w:tc>
          <w:tcPr>
            <w:tcW w:w="350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Borrar un </w:t>
            </w:r>
            <w:r>
              <w:rPr>
                <w:rStyle w:val="Textooriginal"/>
              </w:rPr>
              <w:t>book</w:t>
            </w:r>
            <w:r>
              <w:rPr/>
              <w:t xml:space="preserve"> con detalles de reserva</w:t>
            </w:r>
          </w:p>
        </w:tc>
        <w:tc>
          <w:tcPr>
            <w:tcW w:w="59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FK lo impide.</w:t>
            </w:r>
          </w:p>
        </w:tc>
      </w:tr>
      <w:tr>
        <w:trPr/>
        <w:tc>
          <w:tcPr>
            <w:tcW w:w="350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Borrar un </w:t>
            </w:r>
            <w:r>
              <w:rPr>
                <w:rStyle w:val="Textooriginal"/>
              </w:rPr>
              <w:t>client</w:t>
            </w:r>
            <w:r>
              <w:rPr/>
              <w:t xml:space="preserve"> con reservas</w:t>
            </w:r>
          </w:p>
        </w:tc>
        <w:tc>
          <w:tcPr>
            <w:tcW w:w="59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FK lo impide.</w:t>
            </w:r>
          </w:p>
        </w:tc>
      </w:tr>
      <w:tr>
        <w:trPr/>
        <w:tc>
          <w:tcPr>
            <w:tcW w:w="350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Borrar una </w:t>
            </w:r>
            <w:r>
              <w:rPr>
                <w:rStyle w:val="Textooriginal"/>
              </w:rPr>
              <w:t>reservation</w:t>
            </w:r>
          </w:p>
        </w:tc>
        <w:tc>
          <w:tcPr>
            <w:tcW w:w="59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Arrastra sus </w:t>
            </w:r>
            <w:r>
              <w:rPr>
                <w:rStyle w:val="Textooriginal"/>
              </w:rPr>
              <w:t>reservation_detail</w:t>
            </w:r>
            <w:r>
              <w:rPr/>
              <w:t xml:space="preserve"> por la cascada.</w:t>
            </w:r>
          </w:p>
        </w:tc>
      </w:tr>
    </w:tbl>
    <w:p>
      <w:pPr>
        <w:pStyle w:val="BodyText"/>
        <w:bidi w:val="0"/>
        <w:rPr/>
      </w:pPr>
      <w:r>
        <w:rPr/>
        <w:t xml:space="preserve">El rechazo llega al cliente como un error controlado por </w:t>
      </w:r>
      <w:r>
        <w:rPr>
          <w:rStyle w:val="Textooriginal"/>
        </w:rPr>
        <w:t>ResponseExceptionHandler</w:t>
      </w:r>
      <w:r>
        <w:rPr/>
        <w:t>, nunca como una traza de Hibernate.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5. Datos semilla</w:t>
      </w:r>
    </w:p>
    <w:p>
      <w:pPr>
        <w:pStyle w:val="BodyText"/>
        <w:bidi w:val="0"/>
        <w:rPr/>
      </w:pPr>
      <w:r>
        <w:rPr/>
        <w:t>No hay migración de un sistema previo. Para poder probar el sistema recién instalado se carga un mínimo: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15"/>
        <w:gridCol w:w="995"/>
        <w:gridCol w:w="7002"/>
      </w:tblGrid>
      <w:tr>
        <w:trPr>
          <w:tblHeader w:val="true"/>
        </w:trPr>
        <w:tc>
          <w:tcPr>
            <w:tcW w:w="141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Tabla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Volumen</w:t>
            </w:r>
          </w:p>
        </w:tc>
        <w:tc>
          <w:tcPr>
            <w:tcW w:w="700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Contenido</w:t>
            </w:r>
          </w:p>
        </w:tc>
      </w:tr>
      <w:tr>
        <w:trPr/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category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6</w:t>
            </w:r>
          </w:p>
        </w:tc>
        <w:tc>
          <w:tcPr>
            <w:tcW w:w="70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Índigo, cian, esmeralda, ámbar, rosa y pizarra son los tonos que el diseño asigna a las seis categorías de muestra</w:t>
            </w:r>
          </w:p>
        </w:tc>
      </w:tr>
      <w:tr>
        <w:trPr/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20-30</w:t>
            </w:r>
          </w:p>
        </w:tc>
        <w:tc>
          <w:tcPr>
            <w:tcW w:w="70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Títulos repartidos entre las seis categorías, todos </w:t>
            </w:r>
            <w:r>
              <w:rPr>
                <w:rStyle w:val="Textooriginal"/>
              </w:rPr>
              <w:t>available = true</w:t>
            </w:r>
          </w:p>
        </w:tc>
      </w:tr>
      <w:tr>
        <w:trPr/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client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</w:t>
            </w:r>
          </w:p>
        </w:tc>
        <w:tc>
          <w:tcPr>
            <w:tcW w:w="70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Personas de prueba con documento y correo ficticios</w:t>
            </w:r>
          </w:p>
        </w:tc>
      </w:tr>
      <w:tr>
        <w:trPr/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2-3</w:t>
            </w:r>
          </w:p>
        </w:tc>
        <w:tc>
          <w:tcPr>
            <w:tcW w:w="70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 dos o tres detalles cada una, para que el listado muestre el caso de varios libros</w:t>
            </w:r>
          </w:p>
        </w:tc>
      </w:tr>
    </w:tbl>
    <w:p>
      <w:pPr>
        <w:pStyle w:val="BodyText"/>
        <w:bidi w:val="0"/>
        <w:rPr/>
      </w:pPr>
      <w:r>
        <w:rPr/>
        <w:t xml:space="preserve">La carga se hace por la propia API, no con </w:t>
      </w:r>
      <w:r>
        <w:rPr>
          <w:rStyle w:val="Textooriginal"/>
        </w:rPr>
        <w:t>INSERT</w:t>
      </w:r>
      <w:r>
        <w:rPr/>
        <w:t xml:space="preserve"> a mano: así los datos de prueba pasan por las mismas validaciones que los reales y sirven de verificación del despliegue.</w:t>
      </w:r>
    </w:p>
    <w:p>
      <w:pPr>
        <w:pStyle w:val="BodyText"/>
        <w:bidi w:val="0"/>
        <w:rPr/>
      </w:pPr>
      <w:r>
        <w:rPr/>
        <w:t>Ningún dato semilla contiene información personal real.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6. Cómo se cambia el esquema</w:t>
      </w:r>
    </w:p>
    <w:p>
      <w:pPr>
        <w:pStyle w:val="BodyText"/>
        <w:bidi w:val="0"/>
        <w:rPr/>
      </w:pPr>
      <w:r>
        <w:rPr/>
        <w:t>Regla operativa, en este orden: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Se edita la entidad JPA.</w:t>
      </w:r>
      <w:r>
        <w:rPr/>
        <w:t xml:space="preserve"> Nunca la base directamente.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Se comprueba contra EST010</w:t>
      </w:r>
      <w:r>
        <w:rPr/>
        <w:t xml:space="preserve"> antes de compilar: nombre de la PK, nombre de la FK, </w:t>
      </w:r>
      <w:r>
        <w:rPr>
          <w:rStyle w:val="Textooriginal"/>
        </w:rPr>
        <w:t>nullable</w:t>
      </w:r>
      <w:r>
        <w:rPr/>
        <w:t xml:space="preserve"> y </w:t>
      </w:r>
      <w:r>
        <w:rPr>
          <w:rStyle w:val="Textooriginal"/>
        </w:rPr>
        <w:t>length</w:t>
      </w:r>
      <w:r>
        <w:rPr/>
        <w:t xml:space="preserve"> explícitos.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Se arranca el backend.</w:t>
      </w:r>
      <w:r>
        <w:rPr/>
        <w:t xml:space="preserve"> Hibernate aplica el cambio con </w:t>
      </w:r>
      <w:r>
        <w:rPr>
          <w:rStyle w:val="Textooriginal"/>
        </w:rPr>
        <w:t>ddl-auto: update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Si el cambio fue un renombrado o un borrado, se limpia a mano.</w:t>
      </w:r>
      <w:r>
        <w:rPr/>
        <w:t xml:space="preserve"> </w:t>
      </w:r>
      <w:r>
        <w:rPr>
          <w:rStyle w:val="Textooriginal"/>
        </w:rPr>
        <w:t>update</w:t>
      </w:r>
      <w:r>
        <w:rPr/>
        <w:t xml:space="preserve"> solo añade: la columna antigua queda huérfana en la tabla. En desarrollo lo razonable es recrear la base.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Se actualiza este documento</w:t>
      </w:r>
      <w:r>
        <w:rPr/>
        <w:t xml:space="preserve"> en el mismo commit que la entidad. Un esquema documentado que no coincide con el código es peor que no documentarlo. </w:t>
      </w:r>
    </w:p>
    <w:p>
      <w:pPr>
        <w:pStyle w:val="Heading3"/>
        <w:bidi w:val="0"/>
        <w:jc w:val="left"/>
        <w:rPr/>
      </w:pPr>
      <w:r>
        <w:rPr/>
        <w:t xml:space="preserve">6.1 Lo que </w:t>
      </w:r>
      <w:r>
        <w:rPr>
          <w:rStyle w:val="Textooriginal"/>
        </w:rPr>
        <w:t>ddl-auto: update</w:t>
      </w:r>
      <w:r>
        <w:rPr/>
        <w:t xml:space="preserve"> no hace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39"/>
        <w:gridCol w:w="4273"/>
      </w:tblGrid>
      <w:tr>
        <w:trPr>
          <w:tblHeader w:val="true"/>
        </w:trPr>
        <w:tc>
          <w:tcPr>
            <w:tcW w:w="513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No hace</w:t>
            </w:r>
          </w:p>
        </w:tc>
        <w:tc>
          <w:tcPr>
            <w:tcW w:w="427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Consecuencia</w:t>
            </w:r>
          </w:p>
        </w:tc>
      </w:tr>
      <w:tr>
        <w:trPr/>
        <w:tc>
          <w:tcPr>
            <w:tcW w:w="51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Borrar columnas</w:t>
            </w:r>
          </w:p>
        </w:tc>
        <w:tc>
          <w:tcPr>
            <w:tcW w:w="427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columna eliminada del modelo sigue en la tabla</w:t>
            </w:r>
          </w:p>
        </w:tc>
      </w:tr>
      <w:tr>
        <w:trPr/>
        <w:tc>
          <w:tcPr>
            <w:tcW w:w="51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Renombrar columnas</w:t>
            </w:r>
          </w:p>
        </w:tc>
        <w:tc>
          <w:tcPr>
            <w:tcW w:w="427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Crea la nueva y deja la vieja con sus datos</w:t>
            </w:r>
          </w:p>
        </w:tc>
      </w:tr>
      <w:tr>
        <w:trPr/>
        <w:tc>
          <w:tcPr>
            <w:tcW w:w="51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Cambiar el tipo de una columna existente</w:t>
            </w:r>
          </w:p>
        </w:tc>
        <w:tc>
          <w:tcPr>
            <w:tcW w:w="427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cambio se ignora en silencio</w:t>
            </w:r>
          </w:p>
        </w:tc>
      </w:tr>
      <w:tr>
        <w:trPr/>
        <w:tc>
          <w:tcPr>
            <w:tcW w:w="51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Añadir una restricción a una tabla con datos que la incumplen</w:t>
            </w:r>
          </w:p>
        </w:tc>
        <w:tc>
          <w:tcPr>
            <w:tcW w:w="427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Falla el arranque</w:t>
            </w:r>
          </w:p>
        </w:tc>
      </w:tr>
      <w:tr>
        <w:trPr/>
        <w:tc>
          <w:tcPr>
            <w:tcW w:w="51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Borrar tablas</w:t>
            </w:r>
          </w:p>
        </w:tc>
        <w:tc>
          <w:tcPr>
            <w:tcW w:w="427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tabla de una entidad eliminada permanece</w:t>
            </w:r>
          </w:p>
        </w:tc>
      </w:tr>
    </w:tbl>
    <w:p>
      <w:pPr>
        <w:pStyle w:val="BodyText"/>
        <w:bidi w:val="0"/>
        <w:rPr/>
      </w:pPr>
      <w:r>
        <w:rPr/>
        <w:t>Por eso el punto 4 no es opcional.</w:t>
      </w:r>
    </w:p>
    <w:p>
      <w:pPr>
        <w:pStyle w:val="BodyText"/>
        <w:bidi w:val="0"/>
        <w:rPr/>
      </w:pPr>
      <w:r>
        <w:rPr>
          <w:rStyle w:val="Strong"/>
        </w:rPr>
        <w:t>Ocurrió, y así se resolvió.</w:t>
      </w:r>
      <w:r>
        <w:rPr/>
        <w:t xml:space="preserve"> Al retirar el dominio médico el 2026-09-15, sus siete tablas siguieron en Supabase pese a no quedar ninguna entidad que las mapeara -exactamente lo que anticipa la fila de arriba-. Se eliminaron a mano, junto a las dos de Spring AI, con un </w:t>
      </w:r>
      <w:r>
        <w:rPr>
          <w:rStyle w:val="Textooriginal"/>
        </w:rPr>
        <w:t>DROP ... CASCADE</w:t>
      </w:r>
      <w:r>
        <w:rPr/>
        <w:t xml:space="preserve"> dentro de una transacción que comprueba que cada tabla esté vacía antes de tocarla y aborta con </w:t>
      </w:r>
      <w:r>
        <w:rPr>
          <w:rStyle w:val="Textooriginal"/>
        </w:rPr>
        <w:t>rollback</w:t>
      </w:r>
      <w:r>
        <w:rPr/>
        <w:t xml:space="preserve"> si alguna tiene filas. Nueve tablas, cero filas perdidas, y el inventario pasó de diecinueve a diez.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7. Correspondencia con el enunciado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11"/>
        <w:gridCol w:w="2045"/>
        <w:gridCol w:w="2150"/>
        <w:gridCol w:w="2506"/>
      </w:tblGrid>
      <w:tr>
        <w:trPr>
          <w:tblHeader w:val="true"/>
        </w:trPr>
        <w:tc>
          <w:tcPr>
            <w:tcW w:w="271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Enunciado (sección 3, entidades mínimas)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Clase Java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Tabla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Campos del enunciado cubiertos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Categoría - id, nombre, descripción, estado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Category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category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Los cuatro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Libro - id, título, autor, isbn, disponible, categoría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Los seis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Cliente - id, nombres, apellidos, cedula, email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Client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client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Los cinco (</w:t>
            </w:r>
            <w:r>
              <w:rPr>
                <w:rStyle w:val="Textooriginal"/>
              </w:rPr>
              <w:t>cedula</w:t>
            </w:r>
            <w:r>
              <w:rPr/>
              <w:t xml:space="preserve"> -&gt; </w:t>
            </w:r>
            <w:r>
              <w:rPr>
                <w:rStyle w:val="Textooriginal"/>
              </w:rPr>
              <w:t>dni</w:t>
            </w:r>
            <w:r>
              <w:rPr/>
              <w:t>)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Reserva - id, fechaReserva, cliente, detalleReserva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Los cuatro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DetalleReserva - id, reserva, libro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ReservationDetail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reservation_detail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Los tres</w:t>
            </w:r>
          </w:p>
        </w:tc>
      </w:tr>
    </w:tbl>
    <w:p>
      <w:pPr>
        <w:pStyle w:val="BodyText"/>
        <w:bidi w:val="0"/>
        <w:rPr/>
      </w:pPr>
      <w:r>
        <w:rPr/>
        <w:t>Relaciones exigidas por el enunciado, todas presentes: un libro pertenece a una categoría; una reserva pertenece a un cliente; una reserva contiene uno o más detalles; cada detalle referencia un libro.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Referencias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3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EST010-estándar-de-base-de-datos.md</w:t>
        </w:r>
      </w:hyperlink>
      <w:r>
        <w:rPr/>
        <w:t xml:space="preserve"> - norma de nomenclatura, tipos y plantilla de entidad.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4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AN020-arquitectura-del-sistema.md</w:t>
        </w:r>
      </w:hyperlink>
      <w:r>
        <w:rPr/>
        <w:t xml:space="preserve"> - dónde encaja la persistencia.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5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AN040-requerimientos-técnicos-trd.md</w:t>
        </w:r>
      </w:hyperlink>
      <w:r>
        <w:rPr/>
        <w:t xml:space="preserve"> - requisitos TD verificables.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rPr/>
      </w:pPr>
      <w:r>
        <w:rPr>
          <w:rStyle w:val="Textooriginal"/>
        </w:rPr>
        <w:t>evaluación-final/EvFinal_Java_AI_Full_Stack_MitoCode.pdf</w:t>
      </w:r>
      <w:r>
        <w:rPr/>
        <w:t xml:space="preserve"> - entidades y relaciones mínimas exigidas. </w:t>
      </w:r>
    </w:p>
    <w:sectPr>
      <w:type w:val="nextPage"/>
      <w:pgSz w:w="11906" w:h="16838"/>
      <w:pgMar w:left="1247" w:right="1247" w:gutter="0" w:header="0" w:top="1417" w:footer="0" w:bottom="141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ans;Calibri;sans-serif" w:hAnsi="Liberation Sans;Calibri;sans-serif" w:eastAsia="Liberation Sans;Calibri;sans-serif" w:cs="Liberation Sans;Calibri;sans-serif"/>
      <w:color w:val="1B1B34"/>
      <w:sz w:val="21"/>
      <w:szCs w:val="21"/>
      <w:lang w:val="es-ES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spacing w:before="240" w:after="240"/>
    </w:pPr>
    <w:rPr>
      <w:b/>
      <w:bCs/>
      <w:color w:val="312E81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400" w:after="120"/>
      <w:ind w:left="400" w:right="400"/>
      <w:jc w:val="center"/>
      <w:outlineLvl w:val="1"/>
    </w:pPr>
    <w:rPr>
      <w:rFonts w:ascii="Liberation Serif" w:hAnsi="Liberation Serif" w:eastAsia="Noto Serif CJK SC" w:cs="Noto Sans Devanagari"/>
      <w:b/>
      <w:bCs/>
      <w:color w:val="312E81"/>
      <w:sz w:val="30"/>
      <w:szCs w:val="30"/>
    </w:rPr>
  </w:style>
  <w:style w:type="paragraph" w:styleId="Heading3">
    <w:name w:val="heading 3"/>
    <w:basedOn w:val="Ttulo"/>
    <w:next w:val="BodyText"/>
    <w:qFormat/>
    <w:pPr>
      <w:keepNext w:val="true"/>
      <w:spacing w:before="280" w:after="100"/>
      <w:ind w:left="280" w:right="280"/>
      <w:jc w:val="left"/>
      <w:outlineLvl w:val="2"/>
    </w:pPr>
    <w:rPr>
      <w:rFonts w:ascii="Liberation Serif" w:hAnsi="Liberation Serif" w:eastAsia="Noto Serif CJK SC" w:cs="Noto Sans Devanagari"/>
      <w:b/>
      <w:bCs/>
      <w:color w:val="4338CA"/>
      <w:sz w:val="25"/>
      <w:szCs w:val="25"/>
    </w:rPr>
  </w:style>
  <w:style w:type="paragraph" w:styleId="Heading4">
    <w:name w:val="heading 4"/>
    <w:basedOn w:val="Ttulo"/>
    <w:next w:val="BodyText"/>
    <w:qFormat/>
    <w:pPr>
      <w:spacing w:before="240" w:after="80"/>
      <w:ind w:left="240" w:right="240"/>
      <w:jc w:val="left"/>
      <w:outlineLvl w:val="3"/>
    </w:pPr>
    <w:rPr>
      <w:rFonts w:ascii="Liberation Serif" w:hAnsi="Liberation Serif" w:eastAsia="Noto Serif CJK SC" w:cs="Noto Sans Devanagari"/>
      <w:b/>
      <w:bCs/>
      <w:color w:val="4A4A6A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4F46E5"/>
      <w:u w:val="single"/>
    </w:rPr>
  </w:style>
  <w:style w:type="character" w:styleId="Textooriginal">
    <w:name w:val="Texto original"/>
    <w:qFormat/>
    <w:rPr>
      <w:rFonts w:ascii="Liberation Mono;Consolas;monospace" w:hAnsi="Liberation Mono;Consolas;monospace" w:eastAsia="Liberation Mono;Consolas;monospace" w:cs="Liberation Mono;Consolas;monospace"/>
      <w:sz w:val="18"/>
      <w:szCs w:val="18"/>
      <w:shd w:fill="F6F7FE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FollowedHyperlink">
    <w:name w:val="FollowedHyperlink"/>
    <w:rPr>
      <w:color w:val="4F46E5"/>
      <w:u w:val="single"/>
    </w:rPr>
  </w:style>
  <w:style w:type="character" w:styleId="Emphasis">
    <w:name w:val="Emphasis"/>
    <w:qFormat/>
    <w:rPr>
      <w:i/>
      <w:i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>
      <w:jc w:val="left"/>
    </w:pPr>
    <w:rPr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eformateado">
    <w:name w:val="Texto preformateado"/>
    <w:basedOn w:val="Normal"/>
    <w:qFormat/>
    <w:pPr>
      <w:pBdr>
        <w:top w:val="single" w:sz="4" w:space="6" w:color="C5CBEA"/>
        <w:left w:val="single" w:sz="4" w:space="6" w:color="C5CBEA"/>
        <w:bottom w:val="single" w:sz="4" w:space="6" w:color="C5CBEA"/>
        <w:right w:val="single" w:sz="4" w:space="6" w:color="C5CBEA"/>
      </w:pBdr>
      <w:shd w:fill="F6F7FE" w:val="clear"/>
      <w:spacing w:before="0" w:after="0"/>
    </w:pPr>
    <w:rPr>
      <w:rFonts w:ascii="Liberation Mono;Consolas;monospace" w:hAnsi="Liberation Mono;Consolas;monospace" w:eastAsia="Liberation Mono;Consolas;monospace" w:cs="Liberation Mono;Consolas;monospace"/>
      <w:sz w:val="17"/>
      <w:szCs w:val="17"/>
    </w:rPr>
  </w:style>
  <w:style w:type="paragraph" w:styleId="Citaenbloque">
    <w:name w:val="Cita en bloque"/>
    <w:basedOn w:val="Normal"/>
    <w:qFormat/>
    <w:pPr>
      <w:pBdr>
        <w:left w:val="single" w:sz="24" w:space="10" w:color="4F46E5"/>
      </w:pBdr>
      <w:shd w:fill="F6F7FE" w:val="clear"/>
      <w:spacing w:before="160" w:after="160"/>
      <w:ind w:hanging="0" w:left="160" w:right="160"/>
    </w:pPr>
    <w:rPr/>
  </w:style>
  <w:style w:type="paragraph" w:styleId="Ttulodelatabla">
    <w:name w:val="Título de la tabla"/>
    <w:basedOn w:val="Contenidodelatabla"/>
    <w:qFormat/>
    <w:pPr>
      <w:suppressLineNumbers/>
      <w:shd w:fill="EEF1FD" w:val="clear"/>
      <w:jc w:val="left"/>
    </w:pPr>
    <w:rPr>
      <w:b/>
      <w:bCs/>
      <w:color w:val="1B1B34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/EST010-est&#225;ndar-de-base-de-datos.docx" TargetMode="External"/><Relationship Id="rId3" Type="http://schemas.openxmlformats.org/officeDocument/2006/relationships/hyperlink" Target="./EST010-est&#225;ndar-de-base-de-datos.docx" TargetMode="External"/><Relationship Id="rId4" Type="http://schemas.openxmlformats.org/officeDocument/2006/relationships/hyperlink" Target="AN020-arquitectura-del-sistema.docx" TargetMode="External"/><Relationship Id="rId5" Type="http://schemas.openxmlformats.org/officeDocument/2006/relationships/hyperlink" Target="./AN040-requerimientos-t&#233;cnicos-trd.docx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ESQUEMA DEL BACKEND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