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ESTÁNDAR DE BACKEND - JAVA / SPRING BOOT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EST020</w:t>
      </w:r>
      <w:r>
        <w:rPr/>
        <w:t xml:space="preserve"> - N.º EST-2026-002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6"/>
        <w:gridCol w:w="6496"/>
      </w:tblGrid>
      <w:tr>
        <w:trPr>
          <w:tblHeader w:val="true"/>
        </w:trPr>
        <w:tc>
          <w:tcPr>
            <w:tcW w:w="291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EST020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2026-09-11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Ámbito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Todo el código de </w:t>
            </w:r>
            <w:r>
              <w:rPr>
                <w:rStyle w:val="Textooriginal"/>
              </w:rPr>
              <w:t>backend/src/main/java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994"/>
        <w:gridCol w:w="6113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11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2026-09-11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1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inicial. Derivado del código existente, no propuesto desde cero.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Citaenbloque"/>
        <w:bidi w:val="0"/>
        <w:jc w:val="left"/>
        <w:rPr/>
      </w:pPr>
      <w:r>
        <w:rPr/>
        <w:t xml:space="preserve">Este estándar </w:t>
      </w:r>
      <w:r>
        <w:rPr>
          <w:rStyle w:val="Strong"/>
        </w:rPr>
        <w:t>no es una propuesta nueva</w:t>
      </w:r>
      <w:r>
        <w:rPr/>
        <w:t xml:space="preserve">: está derivado del backend existente. Toda clase nueva debe seguirlo para encajar con las abstracciones genéricas ya implementadas. Complementa a </w:t>
      </w: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EST010-estándar-de-base-de-datos.md</w:t>
        </w:r>
      </w:hyperlink>
      <w:r>
        <w:rPr/>
        <w:t>, que norma la persistencia.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Principios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Reutilizar antes que abstraer.</w:t>
      </w:r>
      <w:r>
        <w:rPr/>
        <w:t xml:space="preserve"> </w:t>
      </w:r>
      <w:r>
        <w:rPr>
          <w:rStyle w:val="Textooriginal"/>
        </w:rPr>
        <w:t>ICRUD</w:t>
      </w:r>
      <w:r>
        <w:rPr/>
        <w:t xml:space="preserve">, </w:t>
      </w:r>
      <w:r>
        <w:rPr>
          <w:rStyle w:val="Textooriginal"/>
        </w:rPr>
        <w:t>CRUDImpl</w:t>
      </w:r>
      <w:r>
        <w:rPr/>
        <w:t xml:space="preserve"> e </w:t>
      </w:r>
      <w:r>
        <w:rPr>
          <w:rStyle w:val="Textooriginal"/>
        </w:rPr>
        <w:t>IGenericRepo</w:t>
      </w:r>
      <w:r>
        <w:rPr/>
        <w:t xml:space="preserve"> resuelven el 90 % de un CRUD. Antes de crear una abstracción nueva hay que demostrar que ninguna de las tres sirve.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Una responsabilidad por capa.</w:t>
      </w:r>
      <w:r>
        <w:rPr/>
        <w:t xml:space="preserve"> El controlador traduce HTTP; el servicio decide; el repositorio persiste. Ninguna capa hace el trabajo de otra.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La entidad no sale del backend.</w:t>
      </w:r>
      <w:r>
        <w:rPr/>
        <w:t xml:space="preserve"> La frontera del sistema son los DTOs.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Nada implícito en la configuración.</w:t>
      </w:r>
      <w:r>
        <w:rPr/>
        <w:t xml:space="preserve"> </w:t>
      </w:r>
      <w:r>
        <w:rPr>
          <w:rStyle w:val="Textooriginal"/>
        </w:rPr>
        <w:t>nullable</w:t>
      </w:r>
      <w:r>
        <w:rPr/>
        <w:t xml:space="preserve">, </w:t>
      </w:r>
      <w:r>
        <w:rPr>
          <w:rStyle w:val="Textooriginal"/>
        </w:rPr>
        <w:t>length</w:t>
      </w:r>
      <w:r>
        <w:rPr/>
        <w:t xml:space="preserve">, códigos de estado y validaciones se declaran; no se dejan al valor por defecto.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Identificadores en inglés, texto de usuario en español.</w:t>
      </w:r>
      <w:r>
        <w:rPr/>
        <w:t xml:space="preserve"> Son dos idiomas y no se mezclan. </w:t>
      </w:r>
      <w:r>
        <w:rPr>
          <w:rStyle w:val="Textooriginal"/>
        </w:rPr>
        <w:t>messages.properties</w:t>
      </w:r>
      <w:r>
        <w:rPr/>
        <w:t xml:space="preserve"> es el locale por defecto y está en español.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Ningún secreto en el código.</w:t>
      </w:r>
      <w:r>
        <w:rPr/>
        <w:t xml:space="preserve"> Todo valor sensible entra por variable de entorno.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Estructura del proyecto</w:t>
      </w:r>
    </w:p>
    <w:p>
      <w:pPr>
        <w:pStyle w:val="BodyText"/>
        <w:bidi w:val="0"/>
        <w:rPr/>
      </w:pPr>
      <w:r>
        <w:rPr/>
        <w:t>Un solo módulo Maven. La separación es por paquete, no por proyecto: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com.sigbi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+-- controller     Endpoints REST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+-- service        Interfaces de caso de uso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|   +-- impl       Implementaciones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+-- repo           Interfaces Spring Data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+-- model          Entidades JPA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+-- dto            Contratos de entrada y salida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+-- config         Beans de configuración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+-- exception      Excepciones propias y manejador global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+-- security       Integración con el proveedor de identidad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+-- tool           Herramientas invocables por el agente de IA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+-- util           Utilidades transversales</w:t>
      </w:r>
    </w:p>
    <w:p>
      <w:pPr>
        <w:pStyle w:val="BodyText"/>
        <w:bidi w:val="0"/>
        <w:rPr/>
      </w:pPr>
      <w:r>
        <w:rPr>
          <w:rStyle w:val="Strong"/>
        </w:rPr>
        <w:t>Dirección de las dependencias, innegociable: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controller -&gt; service -&gt; repo -&gt; model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</w:t>
      </w:r>
      <w:r>
        <w:rPr>
          <w:rStyle w:val="Textooriginal"/>
        </w:rPr>
        <w:t>+-------&gt; dto &lt;----- (ModelMapper)</w:t>
      </w:r>
    </w:p>
    <w:p>
      <w:pPr>
        <w:pStyle w:val="BodyText"/>
        <w:bidi w:val="0"/>
        <w:rPr/>
      </w:pPr>
      <w:r>
        <w:rPr/>
        <w:t xml:space="preserve">Un controlador </w:t>
      </w:r>
      <w:r>
        <w:rPr>
          <w:rStyle w:val="Strong"/>
        </w:rPr>
        <w:t>nunca</w:t>
      </w:r>
      <w:r>
        <w:rPr/>
        <w:t xml:space="preserve"> inyecta un repositorio. Un servicio </w:t>
      </w:r>
      <w:r>
        <w:rPr>
          <w:rStyle w:val="Strong"/>
        </w:rPr>
        <w:t>nunca</w:t>
      </w:r>
      <w:r>
        <w:rPr/>
        <w:t xml:space="preserve"> devuelve un DTO ni recibe uno: trabaja con entidades; el mapeo ocurre en el controlador.</w:t>
      </w:r>
    </w:p>
    <w:p>
      <w:pPr>
        <w:pStyle w:val="BodyText"/>
        <w:bidi w:val="0"/>
        <w:rPr/>
      </w:pPr>
      <w:r>
        <w:rPr>
          <w:rStyle w:val="Strong"/>
        </w:rPr>
        <w:t>Resuelto el 2026-09-15:</w:t>
      </w:r>
      <w:r>
        <w:rPr/>
        <w:t xml:space="preserve"> el paquete raíz es </w:t>
      </w:r>
      <w:r>
        <w:rPr>
          <w:rStyle w:val="Textooriginal"/>
        </w:rPr>
        <w:t>com.sigbi</w:t>
      </w:r>
      <w:r>
        <w:rPr/>
        <w:t xml:space="preserve"> y el </w:t>
      </w:r>
      <w:r>
        <w:rPr>
          <w:rStyle w:val="Textooriginal"/>
        </w:rPr>
        <w:t>artifactId</w:t>
      </w:r>
      <w:r>
        <w:rPr/>
        <w:t xml:space="preserve">, </w:t>
      </w:r>
      <w:r>
        <w:rPr>
          <w:rStyle w:val="Textooriginal"/>
        </w:rPr>
        <w:t>sigbi-backend</w:t>
      </w:r>
      <w:r>
        <w:rPr/>
        <w:t>. Se renombraron en un commit único al cerrar la migración (D-01 de AN020).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El caso de uso (porción vertical)</w:t>
      </w:r>
    </w:p>
    <w:p>
      <w:pPr>
        <w:pStyle w:val="Heading3"/>
        <w:bidi w:val="0"/>
        <w:jc w:val="left"/>
        <w:rPr/>
      </w:pPr>
      <w:r>
        <w:rPr/>
        <w:t>3.1 Anatomía</w:t>
      </w:r>
    </w:p>
    <w:p>
      <w:pPr>
        <w:pStyle w:val="BodyText"/>
        <w:bidi w:val="0"/>
        <w:rPr/>
      </w:pPr>
      <w:r>
        <w:rPr/>
        <w:t>Una entidad de dominio son seis archivos. Ni uno más: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48"/>
        <w:gridCol w:w="5864"/>
      </w:tblGrid>
      <w:tr>
        <w:trPr>
          <w:tblHeader w:val="true"/>
        </w:trPr>
        <w:tc>
          <w:tcPr>
            <w:tcW w:w="354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Archivo</w:t>
            </w:r>
          </w:p>
        </w:tc>
        <w:tc>
          <w:tcPr>
            <w:tcW w:w="586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Contenido</w:t>
            </w:r>
          </w:p>
        </w:tc>
      </w:tr>
      <w:tr>
        <w:trPr/>
        <w:tc>
          <w:tcPr>
            <w:tcW w:w="35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model/Book.java</w:t>
            </w:r>
          </w:p>
        </w:tc>
        <w:tc>
          <w:tcPr>
            <w:tcW w:w="58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Entidad JPA. Ver EST010 sección 6 para la plantilla.</w:t>
            </w:r>
          </w:p>
        </w:tc>
      </w:tr>
      <w:tr>
        <w:trPr/>
        <w:tc>
          <w:tcPr>
            <w:tcW w:w="35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repo/IBookRepo.java</w:t>
            </w:r>
          </w:p>
        </w:tc>
        <w:tc>
          <w:tcPr>
            <w:tcW w:w="58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extends IGenericRepo&lt;Book, Integer&gt;</w:t>
            </w:r>
          </w:p>
        </w:tc>
      </w:tr>
      <w:tr>
        <w:trPr/>
        <w:tc>
          <w:tcPr>
            <w:tcW w:w="35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service/IBookService.java</w:t>
            </w:r>
          </w:p>
        </w:tc>
        <w:tc>
          <w:tcPr>
            <w:tcW w:w="58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extends ICRUD&lt;Book, Integer&gt;</w:t>
            </w:r>
          </w:p>
        </w:tc>
      </w:tr>
      <w:tr>
        <w:trPr/>
        <w:tc>
          <w:tcPr>
            <w:tcW w:w="35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service/impl/BookServiceImpl.java</w:t>
            </w:r>
          </w:p>
        </w:tc>
        <w:tc>
          <w:tcPr>
            <w:tcW w:w="58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extends CRUDImpl&lt;Book, Integer&gt; implements IBookService</w:t>
            </w:r>
          </w:p>
        </w:tc>
      </w:tr>
      <w:tr>
        <w:trPr/>
        <w:tc>
          <w:tcPr>
            <w:tcW w:w="35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dto/BookDTO.java</w:t>
            </w:r>
          </w:p>
        </w:tc>
        <w:tc>
          <w:tcPr>
            <w:tcW w:w="58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Contrato validado</w:t>
            </w:r>
          </w:p>
        </w:tc>
      </w:tr>
      <w:tr>
        <w:trPr/>
        <w:tc>
          <w:tcPr>
            <w:tcW w:w="35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controller/BookController.java</w:t>
            </w:r>
          </w:p>
        </w:tc>
        <w:tc>
          <w:tcPr>
            <w:tcW w:w="58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@RequestMapping("/v1/books")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3.2 Repositorio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public interface IBookRepo extends IGenericRepo&lt;Book, Integer&gt; {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pStyle w:val="BodyText"/>
        <w:bidi w:val="0"/>
        <w:rPr/>
      </w:pPr>
      <w:r>
        <w:rPr/>
        <w:t>Vacío si no hay consultas propias. Las consultas derivadas se declaran por nombre de método (</w:t>
      </w:r>
      <w:r>
        <w:rPr>
          <w:rStyle w:val="Textooriginal"/>
        </w:rPr>
        <w:t>findByIsbn</w:t>
      </w:r>
      <w:r>
        <w:rPr/>
        <w:t xml:space="preserve">, </w:t>
      </w:r>
      <w:r>
        <w:rPr>
          <w:rStyle w:val="Textooriginal"/>
        </w:rPr>
        <w:t>findByCategoryIdCategory</w:t>
      </w:r>
      <w:r>
        <w:rPr/>
        <w:t xml:space="preserve">); </w:t>
      </w:r>
      <w:r>
        <w:rPr>
          <w:rStyle w:val="Textooriginal"/>
        </w:rPr>
        <w:t>@Query</w:t>
      </w:r>
      <w:r>
        <w:rPr/>
        <w:t xml:space="preserve"> solo cuando el nombre derivado resultaría ilegible.</w:t>
      </w:r>
    </w:p>
    <w:p>
      <w:pPr>
        <w:pStyle w:val="Heading3"/>
        <w:bidi w:val="0"/>
        <w:jc w:val="left"/>
        <w:rPr/>
      </w:pPr>
      <w:r>
        <w:rPr/>
        <w:t>3.3 Servicio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public interface IBookService extends ICRUD&lt;Book, Integer&gt; {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@Service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@RequiredArgsConstructor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public class BookServiceImpl extends CRUDImpl&lt;Book, Integer&gt; implements IBookService {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final IBookRepo repo;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@Override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protected IGenericRepo&lt;Book, Integer&gt; getRepo()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 repo;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pStyle w:val="BodyText"/>
        <w:bidi w:val="0"/>
        <w:rPr/>
      </w:pPr>
      <w:r>
        <w:rPr/>
        <w:t xml:space="preserve">Un CRUD sin reglas propias es exactamente eso: un </w:t>
      </w:r>
      <w:r>
        <w:rPr>
          <w:rStyle w:val="Textooriginal"/>
        </w:rPr>
        <w:t>getRepo()</w:t>
      </w:r>
      <w:r>
        <w:rPr/>
        <w:t>. Si un servicio nuevo tiene más código que esto sin una regla de negocio que lo justifique, sobra código.</w:t>
      </w:r>
    </w:p>
    <w:p>
      <w:pPr>
        <w:pStyle w:val="BodyText"/>
        <w:bidi w:val="0"/>
        <w:rPr/>
      </w:pPr>
      <w:r>
        <w:rPr>
          <w:rStyle w:val="Strong"/>
        </w:rPr>
        <w:t>Reglas del servicio: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Es la </w:t>
      </w:r>
      <w:r>
        <w:rPr>
          <w:rStyle w:val="Strong"/>
        </w:rPr>
        <w:t>única</w:t>
      </w:r>
      <w:r>
        <w:rPr/>
        <w:t xml:space="preserve"> capa donde vive una regla de negocio.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Recibe y devuelve </w:t>
      </w:r>
      <w:r>
        <w:rPr>
          <w:rStyle w:val="Strong"/>
        </w:rPr>
        <w:t>entidades</w:t>
      </w:r>
      <w:r>
        <w:rPr/>
        <w:t xml:space="preserve">, nunca DTOs.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Los métodos propios se declaran primero en la interfaz, no solo en la implementación.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Las operaciones que tocan más de una tabla llevan </w:t>
      </w:r>
      <w:r>
        <w:rPr>
          <w:rStyle w:val="Textooriginal"/>
        </w:rPr>
        <w:t>@Transactional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No conoce HTTP: no devuelve </w:t>
      </w:r>
      <w:r>
        <w:rPr>
          <w:rStyle w:val="Textooriginal"/>
        </w:rPr>
        <w:t>ResponseEntity</w:t>
      </w:r>
      <w:r>
        <w:rPr/>
        <w:t xml:space="preserve"> ni lanza </w:t>
      </w:r>
      <w:r>
        <w:rPr>
          <w:rStyle w:val="Textooriginal"/>
        </w:rPr>
        <w:t>ResponseStatusException</w:t>
      </w:r>
      <w:r>
        <w:rPr/>
        <w:t xml:space="preserve"> salvo para un fallo de validación de recurso externo (por ejemplo, un archivo rechazado). </w:t>
      </w:r>
    </w:p>
    <w:p>
      <w:pPr>
        <w:pStyle w:val="Heading3"/>
        <w:bidi w:val="0"/>
        <w:jc w:val="left"/>
        <w:rPr/>
      </w:pPr>
      <w:r>
        <w:rPr/>
        <w:t>3.4 DTOs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@Data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@AllArgsConstructor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@NoArgsConstructor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@JsonInclude(JsonInclude.Include.NON_NULL)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public class BookDTO {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Integer idBook;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@NotBlank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@Size(max = 150)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String title;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@NotBlank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@Size(max = 100)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String author;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@NotBlank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@Size(min = 10, max = 13)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String isbn;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@NotNull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Boolean available;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@NotNull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Integer idCategory;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09"/>
        <w:gridCol w:w="5303"/>
      </w:tblGrid>
      <w:tr>
        <w:trPr>
          <w:tblHeader w:val="true"/>
        </w:trPr>
        <w:tc>
          <w:tcPr>
            <w:tcW w:w="410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  <w:tc>
          <w:tcPr>
            <w:tcW w:w="530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Motivo</w:t>
            </w:r>
          </w:p>
        </w:tc>
      </w:tr>
      <w:tr>
        <w:trPr/>
        <w:tc>
          <w:tcPr>
            <w:tcW w:w="41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DTO por recurso; se reutiliza en entrada y salida salvo que el contrato difiera de verdad</w:t>
            </w:r>
          </w:p>
        </w:tc>
        <w:tc>
          <w:tcPr>
            <w:tcW w:w="53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Dos clases casi idénticas se desincronizan</w:t>
            </w:r>
          </w:p>
        </w:tc>
      </w:tr>
      <w:tr>
        <w:trPr/>
        <w:tc>
          <w:tcPr>
            <w:tcW w:w="41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@NotBlank</w:t>
            </w:r>
            <w:r>
              <w:rPr/>
              <w:t xml:space="preserve"> en </w:t>
            </w:r>
            <w:r>
              <w:rPr>
                <w:rStyle w:val="Textooriginal"/>
              </w:rPr>
              <w:t>String</w:t>
            </w:r>
            <w:r>
              <w:rPr/>
              <w:t xml:space="preserve">, </w:t>
            </w:r>
            <w:r>
              <w:rPr>
                <w:rStyle w:val="Strong"/>
              </w:rPr>
              <w:t>no</w:t>
            </w:r>
            <w:r>
              <w:rPr/>
              <w:t xml:space="preserve"> </w:t>
            </w:r>
            <w:r>
              <w:rPr>
                <w:rStyle w:val="Textooriginal"/>
              </w:rPr>
              <w:t>@NotNull</w:t>
            </w:r>
          </w:p>
        </w:tc>
        <w:tc>
          <w:tcPr>
            <w:tcW w:w="53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@NotNull</w:t>
            </w:r>
            <w:r>
              <w:rPr/>
              <w:t xml:space="preserve"> acepta la cadena vacía. Las plantillas heredadas usan </w:t>
            </w:r>
            <w:r>
              <w:rPr>
                <w:rStyle w:val="Textooriginal"/>
              </w:rPr>
              <w:t>@NotNull</w:t>
            </w:r>
            <w:r>
              <w:rPr/>
              <w:t xml:space="preserve"> en textos; es un defecto, no el patrón a copiar</w:t>
            </w:r>
          </w:p>
        </w:tc>
      </w:tr>
      <w:tr>
        <w:trPr/>
        <w:tc>
          <w:tcPr>
            <w:tcW w:w="41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@Size(max = ...)</w:t>
            </w:r>
            <w:r>
              <w:rPr/>
              <w:t xml:space="preserve"> coincidiendo con el </w:t>
            </w:r>
            <w:r>
              <w:rPr>
                <w:rStyle w:val="Textooriginal"/>
              </w:rPr>
              <w:t>length</w:t>
            </w:r>
            <w:r>
              <w:rPr/>
              <w:t xml:space="preserve"> de la columna</w:t>
            </w:r>
          </w:p>
        </w:tc>
        <w:tc>
          <w:tcPr>
            <w:tcW w:w="53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texto más largo que la columna debe dar 400, no 500</w:t>
            </w:r>
          </w:p>
        </w:tc>
      </w:tr>
      <w:tr>
        <w:trPr/>
        <w:tc>
          <w:tcPr>
            <w:tcW w:w="41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Las relaciones viajan como </w:t>
            </w:r>
            <w:r>
              <w:rPr>
                <w:rStyle w:val="Textooriginal"/>
              </w:rPr>
              <w:t>idCategory</w:t>
            </w:r>
            <w:r>
              <w:rPr/>
              <w:t>, no como objeto anidado completo</w:t>
            </w:r>
          </w:p>
        </w:tc>
        <w:tc>
          <w:tcPr>
            <w:tcW w:w="53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Evita ciclos y respuestas infladas</w:t>
            </w:r>
          </w:p>
        </w:tc>
      </w:tr>
      <w:tr>
        <w:trPr/>
        <w:tc>
          <w:tcPr>
            <w:tcW w:w="41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@JsonInclude(NON_NULL)</w:t>
            </w:r>
          </w:p>
        </w:tc>
        <w:tc>
          <w:tcPr>
            <w:tcW w:w="53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respuestas no llevan campos nulos</w:t>
            </w:r>
          </w:p>
        </w:tc>
      </w:tr>
      <w:tr>
        <w:trPr/>
        <w:tc>
          <w:tcPr>
            <w:tcW w:w="41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DTO </w:t>
            </w:r>
            <w:r>
              <w:rPr>
                <w:rStyle w:val="Strong"/>
              </w:rPr>
              <w:t>no</w:t>
            </w:r>
            <w:r>
              <w:rPr/>
              <w:t xml:space="preserve"> lleva anotaciones JPA</w:t>
            </w:r>
          </w:p>
        </w:tc>
        <w:tc>
          <w:tcPr>
            <w:tcW w:w="53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 contrato, no persistencia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3.5 Mapeo</w:t>
      </w:r>
    </w:p>
    <w:p>
      <w:pPr>
        <w:pStyle w:val="BodyText"/>
        <w:bidi w:val="0"/>
        <w:rPr/>
      </w:pPr>
      <w:r>
        <w:rPr/>
        <w:t xml:space="preserve">ModelMapper, configurado en </w:t>
      </w:r>
      <w:r>
        <w:rPr>
          <w:rStyle w:val="Textooriginal"/>
        </w:rPr>
        <w:t>config/MapperConfig.java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Si los nombres de campo coinciden, basta el bean </w:t>
      </w:r>
      <w:r>
        <w:rPr>
          <w:rStyle w:val="Textooriginal"/>
        </w:rPr>
        <w:t>defaultMapper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Si difieren, se declara un bean de mapeador propio con </w:t>
      </w:r>
      <w:r>
        <w:rPr>
          <w:rStyle w:val="Textooriginal"/>
        </w:rPr>
        <w:t>createTypeMap</w:t>
      </w:r>
      <w:r>
        <w:rPr/>
        <w:t xml:space="preserve"> </w:t>
      </w:r>
      <w:r>
        <w:rPr>
          <w:rStyle w:val="Strong"/>
        </w:rPr>
        <w:t>en los dos sentidos</w:t>
      </w:r>
      <w:r>
        <w:rPr/>
        <w:t xml:space="preserve"> (lectura y escritura), como hace </w:t>
      </w:r>
      <w:r>
        <w:rPr>
          <w:rStyle w:val="Textooriginal"/>
        </w:rPr>
        <w:t>medicMapper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Si el DTO lleva un objeto anidado cuyo tipo renombra campos, el mapeo implícito no lo resuelve y deja nulos: hay que declarar las rutas profundas explícitamente (ver </w:t>
      </w:r>
      <w:r>
        <w:rPr>
          <w:rStyle w:val="Textooriginal"/>
        </w:rPr>
        <w:t>consultMapper</w:t>
      </w:r>
      <w:r>
        <w:rPr/>
        <w:t xml:space="preserve">). </w:t>
      </w:r>
    </w:p>
    <w:p>
      <w:pPr>
        <w:pStyle w:val="BodyText"/>
        <w:bidi w:val="0"/>
        <w:rPr/>
      </w:pPr>
      <w:r>
        <w:rPr/>
        <w:t>En SIGBI los nombres se eligen de forma que coincidan. Un mapeador propio es señal de que el DTO se apartó del modelo sin necesidad.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Nomenclatura Java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6"/>
        <w:gridCol w:w="2859"/>
        <w:gridCol w:w="4227"/>
      </w:tblGrid>
      <w:tr>
        <w:trPr>
          <w:tblHeader w:val="true"/>
        </w:trPr>
        <w:tc>
          <w:tcPr>
            <w:tcW w:w="232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Elemento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Convención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Ejemplo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Clase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PascalCase</w:t>
            </w:r>
            <w:r>
              <w:rPr/>
              <w:t>, singular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  <w:r>
              <w:rPr/>
              <w:t xml:space="preserve">, </w:t>
            </w:r>
            <w:r>
              <w:rPr>
                <w:rStyle w:val="Textooriginal"/>
              </w:rPr>
              <w:t>ReservationDetail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Interfaz de servicio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</w:t>
            </w:r>
            <w:r>
              <w:rPr/>
              <w:t xml:space="preserve"> + nombre + </w:t>
            </w:r>
            <w:r>
              <w:rPr>
                <w:rStyle w:val="Textooriginal"/>
              </w:rPr>
              <w:t>Service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IBookService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Implementación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nombre + </w:t>
            </w:r>
            <w:r>
              <w:rPr>
                <w:rStyle w:val="Textooriginal"/>
              </w:rPr>
              <w:t>ServiceImpl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BookServiceImpl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Interfaz de repositorio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</w:t>
            </w:r>
            <w:r>
              <w:rPr/>
              <w:t xml:space="preserve"> + nombre + </w:t>
            </w:r>
            <w:r>
              <w:rPr>
                <w:rStyle w:val="Textooriginal"/>
              </w:rPr>
              <w:t>Repo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IBookRepo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Controlador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nombre + </w:t>
            </w:r>
            <w:r>
              <w:rPr>
                <w:rStyle w:val="Textooriginal"/>
              </w:rPr>
              <w:t>Controller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BookController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DTO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nombre + </w:t>
            </w:r>
            <w:r>
              <w:rPr>
                <w:rStyle w:val="Textooriginal"/>
              </w:rPr>
              <w:t>DTO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BookDTO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Método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camelCase</w:t>
            </w:r>
            <w:r>
              <w:rPr/>
              <w:t>, verbo primero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findByIsbn</w:t>
            </w:r>
            <w:r>
              <w:rPr/>
              <w:t xml:space="preserve">, </w:t>
            </w:r>
            <w:r>
              <w:rPr>
                <w:rStyle w:val="Textooriginal"/>
              </w:rPr>
              <w:t>registerReservation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Constante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UPPER_SNAKE_CASE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MAX_BOOKS_PER_RESERVATION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Paquete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minúsculas, sin guiones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com.sigbi.service.impl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Variable de entorno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UPPER_SNAKE_CASE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OPENAI_API_KEY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Todo en inglés.</w:t>
      </w:r>
      <w:r>
        <w:rPr/>
        <w:t xml:space="preserve"> Ninguna clase, método, tabla o endpoint en español. El texto que ve el usuario es lo único en español, y se resuelve por </w:t>
      </w:r>
      <w:r>
        <w:rPr>
          <w:rStyle w:val="Textooriginal"/>
        </w:rPr>
        <w:t>messages*.properties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Lombok:</w:t>
      </w:r>
      <w:r>
        <w:rPr/>
        <w:t xml:space="preserve"> </w:t>
      </w:r>
      <w:r>
        <w:rPr>
          <w:rStyle w:val="Textooriginal"/>
        </w:rPr>
        <w:t>@Data</w:t>
      </w:r>
      <w:r>
        <w:rPr/>
        <w:t xml:space="preserve"> en entidades y DTOs; </w:t>
      </w:r>
      <w:r>
        <w:rPr>
          <w:rStyle w:val="Textooriginal"/>
        </w:rPr>
        <w:t>@RequiredArgsConstructor</w:t>
      </w:r>
      <w:r>
        <w:rPr/>
        <w:t xml:space="preserve"> en servicios, controladores y componentes; </w:t>
      </w:r>
      <w:r>
        <w:rPr>
          <w:rStyle w:val="Textooriginal"/>
        </w:rPr>
        <w:t>@Slf4j</w:t>
      </w:r>
      <w:r>
        <w:rPr/>
        <w:t xml:space="preserve"> donde haya registro. Inyección </w:t>
      </w:r>
      <w:r>
        <w:rPr>
          <w:rStyle w:val="Strong"/>
        </w:rPr>
        <w:t>por constructor</w:t>
      </w:r>
      <w:r>
        <w:rPr/>
        <w:t xml:space="preserve">; </w:t>
      </w:r>
      <w:r>
        <w:rPr>
          <w:rStyle w:val="Textooriginal"/>
        </w:rPr>
        <w:t>@Autowired</w:t>
      </w:r>
      <w:r>
        <w:rPr/>
        <w:t xml:space="preserve"> sobre campo no se usa en código nuevo.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API REST</w:t>
      </w:r>
    </w:p>
    <w:p>
      <w:pPr>
        <w:pStyle w:val="Heading3"/>
        <w:bidi w:val="0"/>
        <w:jc w:val="left"/>
        <w:rPr/>
      </w:pPr>
      <w:r>
        <w:rPr/>
        <w:t>5.1 Reglas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5"/>
        <w:gridCol w:w="7587"/>
      </w:tblGrid>
      <w:tr>
        <w:trPr>
          <w:tblHeader w:val="true"/>
        </w:trPr>
        <w:tc>
          <w:tcPr>
            <w:tcW w:w="18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Aspecto</w:t>
            </w:r>
          </w:p>
        </w:tc>
        <w:tc>
          <w:tcPr>
            <w:tcW w:w="758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Ruta</w:t>
            </w:r>
          </w:p>
        </w:tc>
        <w:tc>
          <w:tcPr>
            <w:tcW w:w="75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/v1/&lt;recurso-en-plural&gt;</w:t>
            </w:r>
            <w:r>
              <w:rPr/>
              <w:t xml:space="preserve"> en inglés y minúsculas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Identificador</w:t>
            </w:r>
          </w:p>
        </w:tc>
        <w:tc>
          <w:tcPr>
            <w:tcW w:w="75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Siempre en la ruta: </w:t>
            </w:r>
            <w:r>
              <w:rPr>
                <w:rStyle w:val="Textooriginal"/>
              </w:rPr>
              <w:t>/v1/books/{id}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Verbos</w:t>
            </w:r>
          </w:p>
        </w:tc>
        <w:tc>
          <w:tcPr>
            <w:tcW w:w="75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</w:t>
            </w:r>
            <w:r>
              <w:rPr/>
              <w:t xml:space="preserve"> consulta - </w:t>
            </w:r>
            <w:r>
              <w:rPr>
                <w:rStyle w:val="Textooriginal"/>
              </w:rPr>
              <w:t>POST</w:t>
            </w:r>
            <w:r>
              <w:rPr/>
              <w:t xml:space="preserve"> alta - </w:t>
            </w:r>
            <w:r>
              <w:rPr>
                <w:rStyle w:val="Textooriginal"/>
              </w:rPr>
              <w:t>PUT</w:t>
            </w:r>
            <w:r>
              <w:rPr/>
              <w:t xml:space="preserve"> reemplazo - </w:t>
            </w:r>
            <w:r>
              <w:rPr>
                <w:rStyle w:val="Textooriginal"/>
              </w:rPr>
              <w:t>DELETE</w:t>
            </w:r>
            <w:r>
              <w:rPr/>
              <w:t xml:space="preserve"> baja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Sub-recurso</w:t>
            </w:r>
          </w:p>
        </w:tc>
        <w:tc>
          <w:tcPr>
            <w:tcW w:w="75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/v1/reservations/client/{id}</w:t>
            </w:r>
            <w:r>
              <w:rPr/>
              <w:t xml:space="preserve"> para relaciones de lectura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Retorno</w:t>
            </w:r>
          </w:p>
        </w:tc>
        <w:tc>
          <w:tcPr>
            <w:tcW w:w="75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Siempre </w:t>
            </w:r>
            <w:r>
              <w:rPr>
                <w:rStyle w:val="Textooriginal"/>
              </w:rPr>
              <w:t>ResponseEntity&lt;...&gt;</w:t>
            </w:r>
            <w:r>
              <w:rPr/>
              <w:t>; nunca la entidad ni un tipo desnudo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201 Created</w:t>
            </w:r>
          </w:p>
        </w:tc>
        <w:tc>
          <w:tcPr>
            <w:tcW w:w="75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Devuelve cabecera </w:t>
            </w:r>
            <w:r>
              <w:rPr>
                <w:rStyle w:val="Textooriginal"/>
              </w:rPr>
              <w:t>Location</w:t>
            </w:r>
            <w:r>
              <w:rPr/>
              <w:t xml:space="preserve"> construida con </w:t>
            </w:r>
            <w:r>
              <w:rPr>
                <w:rStyle w:val="Textooriginal"/>
              </w:rPr>
              <w:t>ServletUriComponentsBuilder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204 No Content</w:t>
            </w:r>
          </w:p>
        </w:tc>
        <w:tc>
          <w:tcPr>
            <w:tcW w:w="75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Respuesta del </w:t>
            </w:r>
            <w:r>
              <w:rPr>
                <w:rStyle w:val="Textooriginal"/>
              </w:rPr>
              <w:t>DELETE</w:t>
            </w:r>
            <w:r>
              <w:rPr/>
              <w:t>; sin cuerpo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Formato</w:t>
            </w:r>
          </w:p>
        </w:tc>
        <w:tc>
          <w:tcPr>
            <w:tcW w:w="75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JSON. </w:t>
            </w:r>
            <w:r>
              <w:rPr>
                <w:rStyle w:val="Textooriginal"/>
              </w:rPr>
              <w:t>multipart/form-data</w:t>
            </w:r>
            <w:r>
              <w:rPr/>
              <w:t xml:space="preserve"> solo cuando viaja un archivo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5.2 Controlador canónico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@RestController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@RequiredArgsConstructor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@RequestMapping("/v1/books")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public class BookController {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final IBookService service;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final ModelMapper defaultMapper;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@GetMapping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ResponseEntity&lt;List&lt;BookDTO&gt;&gt; findAll() throws Exception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List&lt;BookDTO&gt; list = service.findAll().stream().map(this::convertToDto).toList();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 ResponseEntity.ok(list);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@GetMapping("/{id}")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ResponseEntity&lt;BookDTO&gt; findById(@PathVariable Integer id) throws Exception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 ResponseEntity.ok(convertToDto(service.findById(id)));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@PostMapping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ResponseEntity&lt;Void&gt; save(@Valid @RequestBody BookDTO dto) throws Exception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Book obj = service.save(convertToEntity(dto));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URI location = ServletUriComponentsBuilder.fromCurrentRequest()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.path("/{id}").buildAndExpand(obj.getIdBook()).toUri();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 ResponseEntity.created(location).build();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@PutMapping("/{id}")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ResponseEntity&lt;BookDTO&gt; update(@PathVariable Integer id,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</w:t>
      </w:r>
      <w:r>
        <w:rPr>
          <w:rStyle w:val="Textooriginal"/>
        </w:rPr>
        <w:t>@Valid @RequestBody BookDTO dto) throws Exception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 ResponseEntity.ok(convertToDto(service.update(id, convertToEntity(dto))));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@DeleteMapping("/{id}")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ResponseEntity&lt;Void&gt; delete(@PathVariable Integer id) throws Exception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service.delete(id);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 ResponseEntity.noContent().build();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Book convertToEntity(BookDTO dto)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 defaultMapper.map(dto, Book.class);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BookDTO convertToDto(Book obj)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 defaultMapper.map(obj, BookDTO.class);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pStyle w:val="BodyText"/>
        <w:bidi w:val="0"/>
        <w:rPr/>
      </w:pPr>
      <w:r>
        <w:rPr>
          <w:rStyle w:val="Strong"/>
        </w:rPr>
        <w:t>Lo que un controlador no hace nunca:</w:t>
      </w:r>
      <w:r>
        <w:rPr/>
        <w:t xml:space="preserve"> decidir una regla de negocio, tocar el repositorio, construir SQL, capturar excepciones para convertirlas en respuesta (de eso se encarga sección 7) ni devolver una entidad.</w:t>
      </w:r>
    </w:p>
    <w:p>
      <w:pPr>
        <w:pStyle w:val="BodyText"/>
        <w:bidi w:val="0"/>
        <w:rPr/>
      </w:pPr>
      <w:r>
        <w:rPr>
          <w:rStyle w:val="Strong"/>
        </w:rPr>
        <w:t>Código muerto:</w:t>
      </w:r>
      <w:r>
        <w:rPr/>
        <w:t xml:space="preserve"> el código base arrastra bloques comentados (constructores manuales, </w:t>
      </w:r>
      <w:r>
        <w:rPr>
          <w:rStyle w:val="Textooriginal"/>
        </w:rPr>
        <w:t>@Autowired</w:t>
      </w:r>
      <w:r>
        <w:rPr/>
        <w:t xml:space="preserve"> antiguos, alternativas descartadas). En código nuevo no se dejan: para eso está el historial de Git.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Seguridad (innegociable)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5"/>
        <w:gridCol w:w="6697"/>
      </w:tblGrid>
      <w:tr>
        <w:trPr>
          <w:tblHeader w:val="true"/>
        </w:trPr>
        <w:tc>
          <w:tcPr>
            <w:tcW w:w="271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Detalle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Ningún secreto en el repositorio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Ni en código, ni en </w:t>
            </w:r>
            <w:r>
              <w:rPr>
                <w:rStyle w:val="Textooriginal"/>
              </w:rPr>
              <w:t>application.yaml</w:t>
            </w:r>
            <w:r>
              <w:rPr/>
              <w:t xml:space="preserve">, ni en un comentario. Todo por </w:t>
            </w:r>
            <w:r>
              <w:rPr>
                <w:rStyle w:val="Textooriginal"/>
              </w:rPr>
              <w:t>${VARIABLE}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backend no guarda contraseñas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identidad se delega en Supabase Auth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token se valida siempre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OAuth2 Resource Server: firma, emisor y expiración. </w:t>
            </w:r>
            <w:r>
              <w:rPr>
                <w:rStyle w:val="Textooriginal"/>
              </w:rPr>
              <w:t>issuer-uri</w:t>
            </w:r>
            <w:r>
              <w:rPr/>
              <w:t xml:space="preserve"> obligatorio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CORS restringido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Un único origen, </w:t>
            </w:r>
            <w:r>
              <w:rPr>
                <w:rStyle w:val="Textooriginal"/>
              </w:rPr>
              <w:t>app.front.url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Consultas parametrizadas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Vía JPA. Nunca concatenación de cadenas en una consulta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Fallos de autenticación en JSON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RestAuthenticationEntryPoint</w:t>
            </w:r>
            <w:r>
              <w:rPr/>
              <w:t>; nunca una redirección a formulario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Sin datos sensibles en el log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 token, ni contraseña, ni correo, ni documento de identidad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Validación también en el servidor</w:t>
            </w:r>
          </w:p>
        </w:tc>
        <w:tc>
          <w:tcPr>
            <w:tcW w:w="6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Saltarse la interfaz y llamar a la API debe producir el mismo rechazo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7. Manejo de errores y registro</w:t>
      </w:r>
    </w:p>
    <w:p>
      <w:pPr>
        <w:pStyle w:val="Heading3"/>
        <w:bidi w:val="0"/>
        <w:jc w:val="left"/>
        <w:rPr/>
      </w:pPr>
      <w:r>
        <w:rPr/>
        <w:t>7.1 Manejo</w:t>
      </w:r>
    </w:p>
    <w:p>
      <w:pPr>
        <w:pStyle w:val="BodyText"/>
        <w:bidi w:val="0"/>
        <w:rPr/>
      </w:pPr>
      <w:r>
        <w:rPr/>
        <w:t xml:space="preserve">Centralizado en </w:t>
      </w:r>
      <w:r>
        <w:rPr>
          <w:rStyle w:val="Textooriginal"/>
        </w:rPr>
        <w:t>exception/ResponseExceptionHandler</w:t>
      </w:r>
      <w:r>
        <w:rPr/>
        <w:t xml:space="preserve"> (</w:t>
      </w:r>
      <w:r>
        <w:rPr>
          <w:rStyle w:val="Textooriginal"/>
        </w:rPr>
        <w:t>@RestControllerAdvice</w:t>
      </w:r>
      <w:r>
        <w:rPr/>
        <w:t xml:space="preserve">). </w:t>
      </w:r>
      <w:r>
        <w:rPr>
          <w:rStyle w:val="Strong"/>
        </w:rPr>
        <w:t>Un controlador no captura excepciones para transformarlas en respuesta.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79"/>
        <w:gridCol w:w="890"/>
        <w:gridCol w:w="5043"/>
      </w:tblGrid>
      <w:tr>
        <w:trPr>
          <w:tblHeader w:val="true"/>
        </w:trPr>
        <w:tc>
          <w:tcPr>
            <w:tcW w:w="347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Excepción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Origen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MethodArgumentNotValidException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400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Falla </w:t>
            </w:r>
            <w:r>
              <w:rPr>
                <w:rStyle w:val="Textooriginal"/>
              </w:rPr>
              <w:t>@Valid</w:t>
            </w:r>
            <w:r>
              <w:rPr/>
              <w:t xml:space="preserve">. El cuerpo lista </w:t>
            </w:r>
            <w:r>
              <w:rPr>
                <w:rStyle w:val="Textooriginal"/>
              </w:rPr>
              <w:t>campo: mensaje</w:t>
            </w:r>
            <w:r>
              <w:rPr/>
              <w:t xml:space="preserve"> por cada error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DateTimeParseException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400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sin componente horario; debe ser 400, no 500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ModelNotFoundException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404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lanza </w:t>
            </w:r>
            <w:r>
              <w:rPr>
                <w:rStyle w:val="Textooriginal"/>
              </w:rPr>
              <w:t>CRUDImpl</w:t>
            </w:r>
            <w:r>
              <w:rPr/>
              <w:t xml:space="preserve"> cuando el id no existe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ArithmeticException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406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Heredado del código base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Exception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500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Red de seguridad</w:t>
            </w:r>
          </w:p>
        </w:tc>
      </w:tr>
    </w:tbl>
    <w:p>
      <w:pPr>
        <w:pStyle w:val="BodyText"/>
        <w:bidi w:val="0"/>
        <w:rPr/>
      </w:pPr>
      <w:r>
        <w:rPr/>
        <w:t>Cuerpo de error uniforme (</w:t>
      </w:r>
      <w:r>
        <w:rPr>
          <w:rStyle w:val="Textooriginal"/>
        </w:rPr>
        <w:t>CustomErrorTemplate</w:t>
      </w:r>
      <w:r>
        <w:rPr/>
        <w:t>): marca de tiempo, mensaje y descripción de la petición.</w:t>
      </w:r>
    </w:p>
    <w:p>
      <w:pPr>
        <w:pStyle w:val="BodyText"/>
        <w:bidi w:val="0"/>
        <w:rPr/>
      </w:pPr>
      <w:r>
        <w:rPr>
          <w:rStyle w:val="Strong"/>
        </w:rPr>
        <w:t>Excepción registrada al estándar (E-01).</w:t>
      </w:r>
      <w:r>
        <w:rPr/>
        <w:t xml:space="preserve"> El manejador de </w:t>
      </w:r>
      <w:r>
        <w:rPr>
          <w:rStyle w:val="Textooriginal"/>
        </w:rPr>
        <w:t>Exception</w:t>
      </w:r>
      <w:r>
        <w:rPr/>
        <w:t xml:space="preserve"> devuelve </w:t>
      </w:r>
      <w:r>
        <w:rPr>
          <w:rStyle w:val="Textooriginal"/>
        </w:rPr>
        <w:t>ex.getMessage()</w:t>
      </w:r>
      <w:r>
        <w:rPr/>
        <w:t xml:space="preserve"> al cliente. Para un fallo no previsto eso puede filtrar detalle interno. Lo correcto es responder un mensaje genérico y dejar el detalle solo en el log. Se corrige al implementar el dominio de SIGBI; se documenta aquí para que nadie lo copie como patrón.</w:t>
      </w:r>
    </w:p>
    <w:p>
      <w:pPr>
        <w:pStyle w:val="Heading3"/>
        <w:bidi w:val="0"/>
        <w:jc w:val="left"/>
        <w:rPr/>
      </w:pPr>
      <w:r>
        <w:rPr/>
        <w:t>7.2 Excepciones propias</w:t>
      </w:r>
    </w:p>
    <w:p>
      <w:pPr>
        <w:pStyle w:val="BodyText"/>
        <w:bidi w:val="0"/>
        <w:rPr/>
      </w:pPr>
      <w:r>
        <w:rPr/>
        <w:t xml:space="preserve">Extienden </w:t>
      </w:r>
      <w:r>
        <w:rPr>
          <w:rStyle w:val="Textooriginal"/>
        </w:rPr>
        <w:t>RuntimeException</w:t>
      </w:r>
      <w:r>
        <w:rPr/>
        <w:t xml:space="preserve">, viven en </w:t>
      </w:r>
      <w:r>
        <w:rPr>
          <w:rStyle w:val="Textooriginal"/>
        </w:rPr>
        <w:t>exception/</w:t>
      </w:r>
      <w:r>
        <w:rPr/>
        <w:t xml:space="preserve"> y llevan un nombre que dice qué pasó, no dónde: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public class ModelNotFoundException extends RuntimeException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public ModelNotFoundException(String message)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super(message);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pStyle w:val="BodyText"/>
        <w:bidi w:val="0"/>
        <w:rPr/>
      </w:pPr>
      <w:r>
        <w:rPr/>
        <w:t>Se crea una excepción nueva solo si necesita un código HTTP distinto de los de arriba.</w:t>
      </w:r>
    </w:p>
    <w:p>
      <w:pPr>
        <w:pStyle w:val="Heading3"/>
        <w:bidi w:val="0"/>
        <w:jc w:val="left"/>
        <w:rPr/>
      </w:pPr>
      <w:r>
        <w:rPr/>
        <w:t>7.3 Registro</w:t>
      </w:r>
    </w:p>
    <w:p>
      <w:pPr>
        <w:pStyle w:val="BodyText"/>
        <w:bidi w:val="0"/>
        <w:rPr/>
      </w:pPr>
      <w:r>
        <w:rPr>
          <w:rStyle w:val="Textooriginal"/>
        </w:rPr>
        <w:t>@Slf4j</w:t>
      </w:r>
      <w:r>
        <w:rPr/>
        <w:t xml:space="preserve"> de Lombok. Niveles: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8627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Nivel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Uso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error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Fallo que impide completar la operación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warn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Operación completada con una anomalía tolerada (por ejemplo, un borrado de archivo que falló después de guardar)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info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Hitos de arranque y operaciones de negocio relevantes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debug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en desarrollo</w:t>
            </w:r>
          </w:p>
        </w:tc>
      </w:tr>
    </w:tbl>
    <w:p>
      <w:pPr>
        <w:pStyle w:val="BodyText"/>
        <w:bidi w:val="0"/>
        <w:rPr/>
      </w:pPr>
      <w:r>
        <w:rPr/>
        <w:t>Con marcadores (</w:t>
      </w:r>
      <w:r>
        <w:rPr>
          <w:rStyle w:val="Textooriginal"/>
        </w:rPr>
        <w:t>log.warn("PHOTO DELETE FAILED: {}", url, e)</w:t>
      </w:r>
      <w:r>
        <w:rPr/>
        <w:t>), nunca con concatenación.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8. Acceso a datos (JPA)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66"/>
        <w:gridCol w:w="5646"/>
      </w:tblGrid>
      <w:tr>
        <w:trPr>
          <w:tblHeader w:val="true"/>
        </w:trPr>
        <w:tc>
          <w:tcPr>
            <w:tcW w:w="376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  <w:tc>
          <w:tcPr>
            <w:tcW w:w="564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Detalle</w:t>
            </w:r>
          </w:p>
        </w:tc>
      </w:tr>
      <w:tr>
        <w:trPr/>
        <w:tc>
          <w:tcPr>
            <w:tcW w:w="376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entidades cumplen EST010</w:t>
            </w:r>
          </w:p>
        </w:tc>
        <w:tc>
          <w:tcPr>
            <w:tcW w:w="564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PK </w:t>
            </w:r>
            <w:r>
              <w:rPr>
                <w:rStyle w:val="Textooriginal"/>
              </w:rPr>
              <w:t>Integer id&lt;Clase&gt;</w:t>
            </w:r>
            <w:r>
              <w:rPr/>
              <w:t xml:space="preserve"> con </w:t>
            </w:r>
            <w:r>
              <w:rPr>
                <w:rStyle w:val="Textooriginal"/>
              </w:rPr>
              <w:t>IDENTITY</w:t>
            </w:r>
            <w:r>
              <w:rPr/>
              <w:t>; FK con nombre de restricción explícito</w:t>
            </w:r>
          </w:p>
        </w:tc>
      </w:tr>
      <w:tr>
        <w:trPr/>
        <w:tc>
          <w:tcPr>
            <w:tcW w:w="376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@EqualsAndHashCode(onlyExplicitlyIncluded = true)</w:t>
            </w:r>
          </w:p>
        </w:tc>
        <w:tc>
          <w:tcPr>
            <w:tcW w:w="564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Con </w:t>
            </w:r>
            <w:r>
              <w:rPr>
                <w:rStyle w:val="Textooriginal"/>
              </w:rPr>
              <w:t>Include</w:t>
            </w:r>
            <w:r>
              <w:rPr/>
              <w:t xml:space="preserve"> </w:t>
            </w:r>
            <w:r>
              <w:rPr>
                <w:rStyle w:val="Strong"/>
              </w:rPr>
              <w:t>solo</w:t>
            </w:r>
            <w:r>
              <w:rPr/>
              <w:t xml:space="preserve"> en la PK. Evita </w:t>
            </w:r>
            <w:r>
              <w:rPr>
                <w:rStyle w:val="Textooriginal"/>
              </w:rPr>
              <w:t>LazyInitializationException</w:t>
            </w:r>
            <w:r>
              <w:rPr/>
              <w:t xml:space="preserve"> y la recursión cabecera-detalle</w:t>
            </w:r>
          </w:p>
        </w:tc>
      </w:tr>
      <w:tr>
        <w:trPr/>
        <w:tc>
          <w:tcPr>
            <w:tcW w:w="376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nullable</w:t>
            </w:r>
            <w:r>
              <w:rPr/>
              <w:t xml:space="preserve"> y </w:t>
            </w:r>
            <w:r>
              <w:rPr>
                <w:rStyle w:val="Textooriginal"/>
              </w:rPr>
              <w:t>length</w:t>
            </w:r>
            <w:r>
              <w:rPr/>
              <w:t xml:space="preserve"> siempre declarados</w:t>
            </w:r>
          </w:p>
        </w:tc>
        <w:tc>
          <w:tcPr>
            <w:tcW w:w="564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En toda </w:t>
            </w:r>
            <w:r>
              <w:rPr>
                <w:rStyle w:val="Textooriginal"/>
              </w:rPr>
              <w:t>@Column</w:t>
            </w:r>
          </w:p>
        </w:tc>
      </w:tr>
      <w:tr>
        <w:trPr/>
        <w:tc>
          <w:tcPr>
            <w:tcW w:w="376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Cascada solo de cabecera a detalle</w:t>
            </w:r>
          </w:p>
        </w:tc>
        <w:tc>
          <w:tcPr>
            <w:tcW w:w="564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cascade = CascadeType.ALL</w:t>
            </w:r>
            <w:r>
              <w:rPr/>
              <w:t xml:space="preserve"> en el </w:t>
            </w:r>
            <w:r>
              <w:rPr>
                <w:rStyle w:val="Textooriginal"/>
              </w:rPr>
              <w:t>@OneToMany</w:t>
            </w:r>
            <w:r>
              <w:rPr/>
              <w:t xml:space="preserve"> de </w:t>
            </w:r>
            <w:r>
              <w:rPr>
                <w:rStyle w:val="Textooriginal"/>
              </w:rPr>
              <w:t>Reservation</w:t>
            </w:r>
          </w:p>
        </w:tc>
      </w:tr>
      <w:tr>
        <w:trPr/>
        <w:tc>
          <w:tcPr>
            <w:tcW w:w="376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Carga perezosa por defecto en colecciones</w:t>
            </w:r>
          </w:p>
        </w:tc>
        <w:tc>
          <w:tcPr>
            <w:tcW w:w="564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No se pone </w:t>
            </w:r>
            <w:r>
              <w:rPr>
                <w:rStyle w:val="Textooriginal"/>
              </w:rPr>
              <w:t>EAGER</w:t>
            </w:r>
            <w:r>
              <w:rPr/>
              <w:t xml:space="preserve"> para ahorrar una consulta</w:t>
            </w:r>
          </w:p>
        </w:tc>
      </w:tr>
      <w:tr>
        <w:trPr/>
        <w:tc>
          <w:tcPr>
            <w:tcW w:w="376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Sin lógica en la base</w:t>
            </w:r>
          </w:p>
        </w:tc>
        <w:tc>
          <w:tcPr>
            <w:tcW w:w="564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Ningún procedimiento, función ni disparador</w:t>
            </w:r>
          </w:p>
        </w:tc>
      </w:tr>
      <w:tr>
        <w:trPr/>
        <w:tc>
          <w:tcPr>
            <w:tcW w:w="376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esquema no se toca a mano</w:t>
            </w:r>
          </w:p>
        </w:tc>
        <w:tc>
          <w:tcPr>
            <w:tcW w:w="564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cambia la entidad y Hibernate lo aplica. Ver AN070 sección 6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9. Pruebas</w:t>
      </w:r>
    </w:p>
    <w:p>
      <w:pPr>
        <w:pStyle w:val="BodyText"/>
        <w:bidi w:val="0"/>
        <w:rPr/>
      </w:pPr>
      <w:r>
        <w:rPr/>
        <w:t>El enunciado no exige cobertura, pero sí que el sistema funcione. Mínimo razonable: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2"/>
        <w:gridCol w:w="3741"/>
        <w:gridCol w:w="4469"/>
      </w:tblGrid>
      <w:tr>
        <w:trPr>
          <w:tblHeader w:val="true"/>
        </w:trPr>
        <w:tc>
          <w:tcPr>
            <w:tcW w:w="12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Tipo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Herramienta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cubre</w:t>
            </w:r>
          </w:p>
        </w:tc>
      </w:tr>
      <w:tr>
        <w:trPr/>
        <w:tc>
          <w:tcPr>
            <w:tcW w:w="12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Slice de web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@WebMvcTest</w:t>
            </w:r>
            <w:r>
              <w:rPr/>
              <w:t xml:space="preserve"> (</w:t>
            </w:r>
            <w:r>
              <w:rPr>
                <w:rStyle w:val="Textooriginal"/>
              </w:rPr>
              <w:t>spring-boot-starter-webmvc-test</w:t>
            </w:r>
            <w:r>
              <w:rPr/>
              <w:t>)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Que un DTO inválido devuelva 400 y que las rutas respondan el código esperado</w:t>
            </w:r>
          </w:p>
        </w:tc>
      </w:tr>
      <w:tr>
        <w:trPr/>
        <w:tc>
          <w:tcPr>
            <w:tcW w:w="12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Unitaria de servicio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JUnit 5 + Mockito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reglas propias: reserva sin libros, ISBN duplicado, disponibilidad</w:t>
            </w:r>
          </w:p>
        </w:tc>
      </w:tr>
    </w:tbl>
    <w:p>
      <w:pPr>
        <w:pStyle w:val="BodyText"/>
        <w:bidi w:val="0"/>
        <w:rPr/>
      </w:pPr>
      <w:r>
        <w:rPr/>
        <w:t xml:space="preserve">Convenciones: la clase se llama </w:t>
      </w:r>
      <w:r>
        <w:rPr>
          <w:rStyle w:val="Textooriginal"/>
        </w:rPr>
        <w:t>&lt;ClaseBajoPrueba&gt;Test</w:t>
      </w:r>
      <w:r>
        <w:rPr/>
        <w:t>, el método describe el caso en inglés (</w:t>
      </w:r>
      <w:r>
        <w:rPr>
          <w:rStyle w:val="Textooriginal"/>
        </w:rPr>
        <w:t>savedReservationWithoutBooksIsRejected</w:t>
      </w:r>
      <w:r>
        <w:rPr/>
        <w:t>), y una prueba comprueba una cosa.</w:t>
      </w:r>
    </w:p>
    <w:p>
      <w:pPr>
        <w:pStyle w:val="BodyText"/>
        <w:bidi w:val="0"/>
        <w:rPr/>
      </w:pPr>
      <w:r>
        <w:rPr/>
        <w:t xml:space="preserve">Las pruebas se ejecutan bajo petición: la compilación habitual es </w:t>
      </w:r>
      <w:r>
        <w:rPr>
          <w:rStyle w:val="Textooriginal"/>
        </w:rPr>
        <w:t>./mvnw -DskipTests compile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10. Flujo de trabajo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Antes de escribir código</w:t>
      </w:r>
      <w:r>
        <w:rPr/>
        <w:t xml:space="preserve">, se lee </w:t>
      </w:r>
      <w:r>
        <w:rPr>
          <w:rStyle w:val="Textooriginal"/>
        </w:rPr>
        <w:t>CLAUDE.md</w:t>
      </w:r>
      <w:r>
        <w:rPr/>
        <w:t xml:space="preserve">, este estándar y EST010.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Antes de crear una abstracción</w:t>
      </w:r>
      <w:r>
        <w:rPr/>
        <w:t xml:space="preserve">, se comprueba que </w:t>
      </w:r>
      <w:r>
        <w:rPr>
          <w:rStyle w:val="Textooriginal"/>
        </w:rPr>
        <w:t>ICRUD</w:t>
      </w:r>
      <w:r>
        <w:rPr/>
        <w:t xml:space="preserve"> / </w:t>
      </w:r>
      <w:r>
        <w:rPr>
          <w:rStyle w:val="Textooriginal"/>
        </w:rPr>
        <w:t>CRUDImpl</w:t>
      </w:r>
      <w:r>
        <w:rPr/>
        <w:t xml:space="preserve"> / </w:t>
      </w:r>
      <w:r>
        <w:rPr>
          <w:rStyle w:val="Textooriginal"/>
        </w:rPr>
        <w:t>IGenericRepo</w:t>
      </w:r>
      <w:r>
        <w:rPr/>
        <w:t xml:space="preserve"> no la resuelven ya.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Antes de crear una entidad</w:t>
      </w:r>
      <w:r>
        <w:rPr/>
        <w:t xml:space="preserve">, se verifica el nombre de la PK contra EST010 sección 3.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Se compila</w:t>
      </w:r>
      <w:r>
        <w:rPr/>
        <w:t xml:space="preserve"> con </w:t>
      </w:r>
      <w:r>
        <w:rPr>
          <w:rStyle w:val="Textooriginal"/>
        </w:rPr>
        <w:t>./mvnw -DskipTests compile</w:t>
      </w:r>
      <w:r>
        <w:rPr/>
        <w:t xml:space="preserve">; no se entrega código con advertencias nuevas.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Un cambio de contrato toca las dos piezas</w:t>
      </w:r>
      <w:r>
        <w:rPr/>
        <w:t xml:space="preserve"> en el mismo commit: DTO del backend e interfaz de </w:t>
      </w:r>
      <w:r>
        <w:rPr>
          <w:rStyle w:val="Textooriginal"/>
        </w:rPr>
        <w:t>model/</w:t>
      </w:r>
      <w:r>
        <w:rPr/>
        <w:t xml:space="preserve"> del frontend.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 xml:space="preserve">Se revisa </w:t>
      </w:r>
      <w:r>
        <w:rPr>
          <w:rStyle w:val="Textooriginal"/>
        </w:rPr>
        <w:t>.gitignore</w:t>
      </w:r>
      <w:r>
        <w:rPr/>
        <w:t xml:space="preserve"> antes de cada commit. Ningún secreto, ningún artefacto de compilación.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 el cambio altera el esquema</w:t>
      </w:r>
      <w:r>
        <w:rPr/>
        <w:t xml:space="preserve">, se actualiza AN070 en el mismo commit.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11. Registro de excepciones al estándar</w:t>
      </w:r>
    </w:p>
    <w:p>
      <w:pPr>
        <w:pStyle w:val="BodyText"/>
        <w:bidi w:val="0"/>
        <w:rPr/>
      </w:pPr>
      <w:r>
        <w:rPr/>
        <w:t>Lo que hoy incumple esta norma, por qué y cuándo se corrige. Un incumplimiento no registrado es un defecto; registrado, es una decisión.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0"/>
        <w:gridCol w:w="2878"/>
        <w:gridCol w:w="2567"/>
        <w:gridCol w:w="3287"/>
      </w:tblGrid>
      <w:tr>
        <w:trPr>
          <w:tblHeader w:val="true"/>
        </w:trPr>
        <w:tc>
          <w:tcPr>
            <w:tcW w:w="6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287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Excepción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Motivo</w:t>
            </w:r>
          </w:p>
        </w:tc>
        <w:tc>
          <w:tcPr>
            <w:tcW w:w="328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Cierre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E-01</w:t>
            </w:r>
          </w:p>
        </w:tc>
        <w:tc>
          <w:tcPr>
            <w:tcW w:w="28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manejador de </w:t>
            </w:r>
            <w:r>
              <w:rPr>
                <w:rStyle w:val="Textooriginal"/>
              </w:rPr>
              <w:t>Exception</w:t>
            </w:r>
            <w:r>
              <w:rPr/>
              <w:t xml:space="preserve"> devuelve </w:t>
            </w:r>
            <w:r>
              <w:rPr>
                <w:rStyle w:val="Textooriginal"/>
              </w:rPr>
              <w:t>ex.getMessage()</w:t>
            </w:r>
            <w:r>
              <w:rPr/>
              <w:t xml:space="preserve"> al cliente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Heredado del código base</w:t>
            </w:r>
          </w:p>
        </w:tc>
        <w:tc>
          <w:tcPr>
            <w:tcW w:w="32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corrige al implementar el dominio de SIGBI (sección 7.1)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E-02</w:t>
            </w:r>
          </w:p>
        </w:tc>
        <w:tc>
          <w:tcPr>
            <w:tcW w:w="28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ConsultDetail</w:t>
            </w:r>
            <w:r>
              <w:rPr/>
              <w:t xml:space="preserve"> declara </w:t>
            </w:r>
            <w:r>
              <w:rPr>
                <w:rStyle w:val="Textooriginal"/>
              </w:rPr>
              <w:t>idDetail</w:t>
            </w:r>
            <w:r>
              <w:rPr/>
              <w:t xml:space="preserve"> en vez de </w:t>
            </w:r>
            <w:r>
              <w:rPr>
                <w:rStyle w:val="Textooriginal"/>
              </w:rPr>
              <w:t>idConsultDetail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Heredado; no explota porque nunca se actualiza por su propio servicio</w:t>
            </w:r>
          </w:p>
        </w:tc>
        <w:tc>
          <w:tcPr>
            <w:tcW w:w="32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Desaparece al retirar el dominio médico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E-03</w:t>
            </w:r>
          </w:p>
        </w:tc>
        <w:tc>
          <w:tcPr>
            <w:tcW w:w="28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DTOs heredados usan </w:t>
            </w:r>
            <w:r>
              <w:rPr>
                <w:rStyle w:val="Textooriginal"/>
              </w:rPr>
              <w:t>@NotNull</w:t>
            </w:r>
            <w:r>
              <w:rPr/>
              <w:t xml:space="preserve"> en campos </w:t>
            </w:r>
            <w:r>
              <w:rPr>
                <w:rStyle w:val="Textooriginal"/>
              </w:rPr>
              <w:t>String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Plantilla del curso</w:t>
            </w:r>
          </w:p>
        </w:tc>
        <w:tc>
          <w:tcPr>
            <w:tcW w:w="32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No se corrige: esos DTOs se retiran. Los nuevos usan </w:t>
            </w:r>
            <w:r>
              <w:rPr>
                <w:rStyle w:val="Textooriginal"/>
              </w:rPr>
              <w:t>@NotBlank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E-04</w:t>
            </w:r>
          </w:p>
        </w:tc>
        <w:tc>
          <w:tcPr>
            <w:tcW w:w="28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Bloques de código comentado en controladores y servicios heredados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Material didáctico del curso</w:t>
            </w:r>
          </w:p>
        </w:tc>
        <w:tc>
          <w:tcPr>
            <w:tcW w:w="32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retiran con sus clases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E-05</w:t>
            </w:r>
          </w:p>
        </w:tc>
        <w:tc>
          <w:tcPr>
            <w:tcW w:w="28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Paquete </w:t>
            </w:r>
            <w:r>
              <w:rPr>
                <w:rStyle w:val="Textooriginal"/>
              </w:rPr>
              <w:t>com.mitocode</w:t>
            </w:r>
            <w:r>
              <w:rPr/>
              <w:t xml:space="preserve"> y </w:t>
            </w:r>
            <w:r>
              <w:rPr>
                <w:rStyle w:val="Textooriginal"/>
              </w:rPr>
              <w:t>artifactId: mediapp-backend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Renombrar durante la migración rompería imports en masa</w:t>
            </w:r>
          </w:p>
        </w:tc>
        <w:tc>
          <w:tcPr>
            <w:tcW w:w="32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Cerrada el 2026-09-15:</w:t>
            </w:r>
            <w:r>
              <w:rPr/>
              <w:t xml:space="preserve"> </w:t>
            </w:r>
            <w:r>
              <w:rPr>
                <w:rStyle w:val="Textooriginal"/>
              </w:rPr>
              <w:t>com.sigbi</w:t>
            </w:r>
            <w:r>
              <w:rPr/>
              <w:t xml:space="preserve"> y </w:t>
            </w:r>
            <w:r>
              <w:rPr>
                <w:rStyle w:val="Textooriginal"/>
              </w:rPr>
              <w:t>sigbi-backend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E-06</w:t>
            </w:r>
          </w:p>
        </w:tc>
        <w:tc>
          <w:tcPr>
            <w:tcW w:w="28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spring-hateoas</w:t>
            </w:r>
            <w:r>
              <w:rPr/>
              <w:t xml:space="preserve"> y JasperReports siguen en el POM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Heredados; fuera del alcance de SIGBI</w:t>
            </w:r>
          </w:p>
        </w:tc>
        <w:tc>
          <w:tcPr>
            <w:tcW w:w="32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Cerrada el 2026-09-15:</w:t>
            </w:r>
            <w:r>
              <w:rPr/>
              <w:t xml:space="preserve"> retirados con el dominio médico, junto a MCP, pgvector y el lector de PDF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EST010-estándar-de-base-de-datos.md</w:t>
        </w:r>
      </w:hyperlink>
      <w:r>
        <w:rPr/>
        <w:t xml:space="preserve"> - norma de persistencia.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AN020-arquitectura-del-sistema.md</w:t>
        </w:r>
      </w:hyperlink>
      <w:r>
        <w:rPr/>
        <w:t xml:space="preserve"> - capas y componentes.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5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AN040-requerimientos-técnicos-trd.md</w:t>
        </w:r>
      </w:hyperlink>
      <w:r>
        <w:rPr/>
        <w:t xml:space="preserve"> - requisitos TB verificables.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r>
        <w:rPr>
          <w:rStyle w:val="Textooriginal"/>
        </w:rPr>
        <w:t>CLAUDE.md</w:t>
      </w:r>
      <w:r>
        <w:rPr/>
        <w:t xml:space="preserve"> - resumen operativo de estas convenciones para los agentes de IA.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4F46E5"/>
      <w:u w:val="single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EST010-est&#225;ndar-de-base-de-datos.docx" TargetMode="External"/><Relationship Id="rId3" Type="http://schemas.openxmlformats.org/officeDocument/2006/relationships/hyperlink" Target="./EST010-est&#225;ndar-de-base-de-datos.docx" TargetMode="External"/><Relationship Id="rId4" Type="http://schemas.openxmlformats.org/officeDocument/2006/relationships/hyperlink" Target="AN020-arquitectura-del-sistema.docx" TargetMode="External"/><Relationship Id="rId5" Type="http://schemas.openxmlformats.org/officeDocument/2006/relationships/hyperlink" Target="./AN040-requerimientos-t&#233;cnicos-trd.docx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ESTÁNDAR DE BACKEND - JAVA / SPRING BOOT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